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240" w:lineRule="auto"/>
        <w:rPr>
          <w:rFonts w:ascii="Calibri" w:cs="Calibri" w:eastAsia="Calibri" w:hAnsi="Calibri"/>
          <w:color w:val="2e75b5"/>
          <w:sz w:val="32"/>
          <w:szCs w:val="32"/>
        </w:rPr>
      </w:pPr>
      <w:bookmarkStart w:colFirst="0" w:colLast="0" w:name="_9p8s6v2l3bdg" w:id="0"/>
      <w:bookmarkEnd w:id="0"/>
      <w:r w:rsidDel="00000000" w:rsidR="00000000" w:rsidRPr="00000000">
        <w:rPr>
          <w:rFonts w:ascii="Calibri" w:cs="Calibri" w:eastAsia="Calibri" w:hAnsi="Calibri"/>
          <w:color w:val="2e75b5"/>
          <w:sz w:val="32"/>
          <w:szCs w:val="32"/>
          <w:rtl w:val="0"/>
        </w:rPr>
        <w:t xml:space="preserve"> </w:t>
      </w:r>
      <w:r w:rsidDel="00000000" w:rsidR="00000000" w:rsidRPr="00000000">
        <w:rPr>
          <w:rFonts w:ascii="Calibri" w:cs="Calibri" w:eastAsia="Calibri" w:hAnsi="Calibri"/>
          <w:color w:val="2e75b5"/>
          <w:sz w:val="32"/>
          <w:szCs w:val="32"/>
          <w:rtl w:val="0"/>
        </w:rPr>
        <w:t xml:space="preserve">Section 1: Student Details</w:t>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30"/>
          <w:szCs w:val="30"/>
        </w:rPr>
      </w:pPr>
      <w:r w:rsidDel="00000000" w:rsidR="00000000" w:rsidRPr="00000000">
        <w:rPr>
          <w:rFonts w:ascii="Calibri" w:cs="Calibri" w:eastAsia="Calibri" w:hAnsi="Calibri"/>
          <w:sz w:val="24"/>
          <w:szCs w:val="24"/>
          <w:rtl w:val="0"/>
        </w:rPr>
        <w:t xml:space="preserve">Full name: </w:t>
      </w:r>
      <w:r w:rsidDel="00000000" w:rsidR="00000000" w:rsidRPr="00000000">
        <w:rPr>
          <w:rFonts w:ascii="Calibri" w:cs="Calibri" w:eastAsia="Calibri" w:hAnsi="Calibri"/>
          <w:sz w:val="28"/>
          <w:szCs w:val="28"/>
          <w:rtl w:val="0"/>
        </w:rPr>
        <w:t xml:space="preserve">SHUXRAT TO’XTAMISHOV</w:t>
      </w:r>
      <w:r w:rsidDel="00000000" w:rsidR="00000000" w:rsidRPr="00000000">
        <w:rPr>
          <w:rFonts w:ascii="Calibri" w:cs="Calibri" w:eastAsia="Calibri" w:hAnsi="Calibri"/>
          <w:sz w:val="30"/>
          <w:szCs w:val="30"/>
          <w:rtl w:val="0"/>
        </w:rPr>
        <w:tab/>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Student number: </w:t>
      </w:r>
      <w:r w:rsidDel="00000000" w:rsidR="00000000" w:rsidRPr="00000000">
        <w:rPr>
          <w:rFonts w:ascii="Calibri" w:cs="Calibri" w:eastAsia="Calibri" w:hAnsi="Calibri"/>
          <w:sz w:val="28"/>
          <w:szCs w:val="28"/>
          <w:rtl w:val="0"/>
        </w:rPr>
        <w:t xml:space="preserve">2427309</w:t>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Award / course:  </w:t>
      </w:r>
      <w:r w:rsidDel="00000000" w:rsidR="00000000" w:rsidRPr="00000000">
        <w:rPr>
          <w:rFonts w:ascii="Calibri" w:cs="Calibri" w:eastAsia="Calibri" w:hAnsi="Calibri"/>
          <w:sz w:val="28"/>
          <w:szCs w:val="28"/>
          <w:rtl w:val="0"/>
        </w:rPr>
        <w:t xml:space="preserve">BSc Computer Science</w:t>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Email address:</w:t>
        <w:tab/>
      </w:r>
      <w:r w:rsidDel="00000000" w:rsidR="00000000" w:rsidRPr="00000000">
        <w:rPr>
          <w:rFonts w:ascii="Calibri" w:cs="Calibri" w:eastAsia="Calibri" w:hAnsi="Calibri"/>
          <w:sz w:val="28"/>
          <w:szCs w:val="28"/>
          <w:rtl w:val="0"/>
        </w:rPr>
        <w:t xml:space="preserve">s.toxtamishov@wlv.ac.uk</w:t>
        <w:tab/>
      </w:r>
    </w:p>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Supervisor:</w:t>
        <w:tab/>
        <w:tab/>
      </w:r>
      <w:r w:rsidDel="00000000" w:rsidR="00000000" w:rsidRPr="00000000">
        <w:rPr>
          <w:rFonts w:ascii="Calibri" w:cs="Calibri" w:eastAsia="Calibri" w:hAnsi="Calibri"/>
          <w:sz w:val="28"/>
          <w:szCs w:val="28"/>
          <w:rtl w:val="0"/>
        </w:rPr>
        <w:t xml:space="preserve">Alix Bergeret</w:t>
      </w:r>
    </w:p>
    <w:p w:rsidR="00000000" w:rsidDel="00000000" w:rsidP="00000000" w:rsidRDefault="00000000" w:rsidRPr="00000000" w14:paraId="0000000C">
      <w:pPr>
        <w:spacing w:line="240" w:lineRule="auto"/>
        <w:rPr>
          <w:rFonts w:ascii="Calibri" w:cs="Calibri" w:eastAsia="Calibri" w:hAnsi="Calibri"/>
          <w:sz w:val="24"/>
          <w:szCs w:val="24"/>
        </w:rPr>
      </w:pPr>
      <w:bookmarkStart w:colFirst="0" w:colLast="0" w:name="_q9e8c7jfv1cj" w:id="1"/>
      <w:bookmarkEnd w:id="1"/>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color w:val="ff0000"/>
          <w:sz w:val="28"/>
          <w:szCs w:val="28"/>
        </w:rPr>
      </w:pPr>
      <w:r w:rsidDel="00000000" w:rsidR="00000000" w:rsidRPr="00000000">
        <w:rPr>
          <w:rFonts w:ascii="Calibri" w:cs="Calibri" w:eastAsia="Calibri" w:hAnsi="Calibri"/>
          <w:sz w:val="24"/>
          <w:szCs w:val="24"/>
          <w:rtl w:val="0"/>
        </w:rPr>
        <w:t xml:space="preserve">Date of submission:</w:t>
        <w:tab/>
      </w:r>
      <w:r w:rsidDel="00000000" w:rsidR="00000000" w:rsidRPr="00000000">
        <w:rPr>
          <w:rFonts w:ascii="Calibri" w:cs="Calibri" w:eastAsia="Calibri" w:hAnsi="Calibri"/>
          <w:sz w:val="28"/>
          <w:szCs w:val="28"/>
          <w:rtl w:val="0"/>
        </w:rPr>
        <w:t xml:space="preserve">23.10.2025</w:t>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0" w:before="240" w:line="240" w:lineRule="auto"/>
        <w:rPr>
          <w:rFonts w:ascii="Calibri" w:cs="Calibri" w:eastAsia="Calibri" w:hAnsi="Calibri"/>
          <w:color w:val="2e75b5"/>
          <w:sz w:val="32"/>
          <w:szCs w:val="32"/>
        </w:rPr>
      </w:pPr>
      <w:bookmarkStart w:colFirst="0" w:colLast="0" w:name="_qg95pab4ao70" w:id="2"/>
      <w:bookmarkEnd w:id="2"/>
      <w:r w:rsidDel="00000000" w:rsidR="00000000" w:rsidRPr="00000000">
        <w:rPr>
          <w:rFonts w:ascii="Calibri" w:cs="Calibri" w:eastAsia="Calibri" w:hAnsi="Calibri"/>
          <w:color w:val="2e75b5"/>
          <w:sz w:val="32"/>
          <w:szCs w:val="32"/>
          <w:rtl w:val="0"/>
        </w:rPr>
        <w:t xml:space="preserve">Table of Contents</w:t>
      </w:r>
    </w:p>
    <w:sdt>
      <w:sdtPr>
        <w:id w:val="-1206739100"/>
        <w:docPartObj>
          <w:docPartGallery w:val="Table of Contents"/>
          <w:docPartUnique w:val="1"/>
        </w:docPartObj>
      </w:sdtPr>
      <w:sdtContent>
        <w:p w:rsidR="00000000" w:rsidDel="00000000" w:rsidP="00000000" w:rsidRDefault="00000000" w:rsidRPr="00000000" w14:paraId="00000010">
          <w:pPr>
            <w:tabs>
              <w:tab w:val="right" w:leader="dot" w:pos="9010"/>
            </w:tabs>
            <w:spacing w:before="120" w:line="240" w:lineRule="auto"/>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w:anchor="_9p8s6v2l3bdg">
            <w:r w:rsidDel="00000000" w:rsidR="00000000" w:rsidRPr="00000000">
              <w:rPr>
                <w:rFonts w:ascii="Calibri" w:cs="Calibri" w:eastAsia="Calibri" w:hAnsi="Calibri"/>
                <w:smallCaps w:val="1"/>
                <w:rtl w:val="0"/>
              </w:rPr>
              <w:t xml:space="preserve">Section 1: Student Details</w:t>
              <w:tab/>
              <w:t xml:space="preserve">1</w:t>
            </w:r>
          </w:hyperlink>
          <w:r w:rsidDel="00000000" w:rsidR="00000000" w:rsidRPr="00000000">
            <w:rPr>
              <w:rtl w:val="0"/>
            </w:rPr>
          </w:r>
        </w:p>
        <w:p w:rsidR="00000000" w:rsidDel="00000000" w:rsidP="00000000" w:rsidRDefault="00000000" w:rsidRPr="00000000" w14:paraId="00000011">
          <w:pPr>
            <w:tabs>
              <w:tab w:val="right" w:leader="dot" w:pos="9010"/>
            </w:tabs>
            <w:spacing w:before="120" w:line="240" w:lineRule="auto"/>
            <w:rPr>
              <w:rFonts w:ascii="Calibri" w:cs="Calibri" w:eastAsia="Calibri" w:hAnsi="Calibri"/>
            </w:rPr>
          </w:pPr>
          <w:hyperlink w:anchor="_qg95pab4ao70">
            <w:r w:rsidDel="00000000" w:rsidR="00000000" w:rsidRPr="00000000">
              <w:rPr>
                <w:rFonts w:ascii="Calibri" w:cs="Calibri" w:eastAsia="Calibri" w:hAnsi="Calibri"/>
                <w:smallCaps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2">
          <w:pPr>
            <w:tabs>
              <w:tab w:val="right" w:leader="dot" w:pos="9010"/>
            </w:tabs>
            <w:spacing w:before="120" w:line="240" w:lineRule="auto"/>
            <w:rPr>
              <w:rFonts w:ascii="Calibri" w:cs="Calibri" w:eastAsia="Calibri" w:hAnsi="Calibri"/>
            </w:rPr>
          </w:pPr>
          <w:hyperlink w:anchor="_kjgq8vvuqoko">
            <w:r w:rsidDel="00000000" w:rsidR="00000000" w:rsidRPr="00000000">
              <w:rPr>
                <w:rFonts w:ascii="Calibri" w:cs="Calibri" w:eastAsia="Calibri" w:hAnsi="Calibri"/>
                <w:smallCaps w:val="1"/>
                <w:rtl w:val="0"/>
              </w:rPr>
              <w:t xml:space="preserve">Section 2: Statement of Project Details</w:t>
              <w:tab/>
              <w:t xml:space="preserve">3</w:t>
            </w:r>
          </w:hyperlink>
          <w:r w:rsidDel="00000000" w:rsidR="00000000" w:rsidRPr="00000000">
            <w:rPr>
              <w:rtl w:val="0"/>
            </w:rPr>
          </w:r>
        </w:p>
        <w:p w:rsidR="00000000" w:rsidDel="00000000" w:rsidP="00000000" w:rsidRDefault="00000000" w:rsidRPr="00000000" w14:paraId="00000013">
          <w:pPr>
            <w:tabs>
              <w:tab w:val="right" w:leader="dot" w:pos="9010"/>
            </w:tabs>
            <w:spacing w:line="240" w:lineRule="auto"/>
            <w:ind w:left="240" w:firstLine="0"/>
            <w:rPr>
              <w:rFonts w:ascii="Calibri" w:cs="Calibri" w:eastAsia="Calibri" w:hAnsi="Calibri"/>
            </w:rPr>
          </w:pPr>
          <w:hyperlink w:anchor="_28436c98carf">
            <w:r w:rsidDel="00000000" w:rsidR="00000000" w:rsidRPr="00000000">
              <w:rPr>
                <w:rFonts w:ascii="Calibri" w:cs="Calibri" w:eastAsia="Calibri" w:hAnsi="Calibri"/>
                <w:smallCaps w:val="1"/>
                <w:rtl w:val="0"/>
              </w:rPr>
              <w:t xml:space="preserve">2.1 Project Title</w:t>
              <w:tab/>
              <w:t xml:space="preserve">3</w:t>
            </w:r>
          </w:hyperlink>
          <w:r w:rsidDel="00000000" w:rsidR="00000000" w:rsidRPr="00000000">
            <w:rPr>
              <w:rtl w:val="0"/>
            </w:rPr>
          </w:r>
        </w:p>
        <w:p w:rsidR="00000000" w:rsidDel="00000000" w:rsidP="00000000" w:rsidRDefault="00000000" w:rsidRPr="00000000" w14:paraId="00000014">
          <w:pPr>
            <w:tabs>
              <w:tab w:val="right" w:leader="dot" w:pos="9010"/>
            </w:tabs>
            <w:spacing w:line="240" w:lineRule="auto"/>
            <w:ind w:left="240" w:firstLine="0"/>
            <w:rPr>
              <w:rFonts w:ascii="Calibri" w:cs="Calibri" w:eastAsia="Calibri" w:hAnsi="Calibri"/>
            </w:rPr>
          </w:pPr>
          <w:hyperlink w:anchor="_ef08fe2ddvw7">
            <w:r w:rsidDel="00000000" w:rsidR="00000000" w:rsidRPr="00000000">
              <w:rPr>
                <w:rFonts w:ascii="Calibri" w:cs="Calibri" w:eastAsia="Calibri" w:hAnsi="Calibri"/>
                <w:smallCaps w:val="1"/>
                <w:rtl w:val="0"/>
              </w:rPr>
              <w:t xml:space="preserve">2.2 Academic Question</w:t>
              <w:tab/>
              <w:t xml:space="preserve">3</w:t>
            </w:r>
          </w:hyperlink>
          <w:r w:rsidDel="00000000" w:rsidR="00000000" w:rsidRPr="00000000">
            <w:rPr>
              <w:rtl w:val="0"/>
            </w:rPr>
          </w:r>
        </w:p>
        <w:p w:rsidR="00000000" w:rsidDel="00000000" w:rsidP="00000000" w:rsidRDefault="00000000" w:rsidRPr="00000000" w14:paraId="00000015">
          <w:pPr>
            <w:tabs>
              <w:tab w:val="right" w:leader="dot" w:pos="9010"/>
            </w:tabs>
            <w:spacing w:line="240" w:lineRule="auto"/>
            <w:ind w:left="240" w:firstLine="0"/>
            <w:rPr>
              <w:rFonts w:ascii="Calibri" w:cs="Calibri" w:eastAsia="Calibri" w:hAnsi="Calibri"/>
            </w:rPr>
          </w:pPr>
          <w:hyperlink w:anchor="_a86pjm1ox7yo">
            <w:r w:rsidDel="00000000" w:rsidR="00000000" w:rsidRPr="00000000">
              <w:rPr>
                <w:rFonts w:ascii="Calibri" w:cs="Calibri" w:eastAsia="Calibri" w:hAnsi="Calibri"/>
                <w:smallCaps w:val="1"/>
                <w:rtl w:val="0"/>
              </w:rPr>
              <w:t xml:space="preserve">2.3 Aims</w:t>
              <w:tab/>
              <w:t xml:space="preserve">3</w:t>
            </w:r>
          </w:hyperlink>
          <w:r w:rsidDel="00000000" w:rsidR="00000000" w:rsidRPr="00000000">
            <w:rPr>
              <w:rtl w:val="0"/>
            </w:rPr>
          </w:r>
        </w:p>
        <w:p w:rsidR="00000000" w:rsidDel="00000000" w:rsidP="00000000" w:rsidRDefault="00000000" w:rsidRPr="00000000" w14:paraId="00000016">
          <w:pPr>
            <w:tabs>
              <w:tab w:val="right" w:leader="dot" w:pos="9010"/>
            </w:tabs>
            <w:spacing w:line="240" w:lineRule="auto"/>
            <w:ind w:left="240" w:firstLine="0"/>
            <w:rPr>
              <w:rFonts w:ascii="Calibri" w:cs="Calibri" w:eastAsia="Calibri" w:hAnsi="Calibri"/>
            </w:rPr>
          </w:pPr>
          <w:hyperlink w:anchor="_gsxzdk1h9o27">
            <w:r w:rsidDel="00000000" w:rsidR="00000000" w:rsidRPr="00000000">
              <w:rPr>
                <w:rFonts w:ascii="Calibri" w:cs="Calibri" w:eastAsia="Calibri" w:hAnsi="Calibri"/>
                <w:smallCaps w:val="1"/>
                <w:rtl w:val="0"/>
              </w:rPr>
              <w:t xml:space="preserve">2.4 Objectives</w:t>
              <w:tab/>
              <w:t xml:space="preserve">3</w:t>
            </w:r>
          </w:hyperlink>
          <w:r w:rsidDel="00000000" w:rsidR="00000000" w:rsidRPr="00000000">
            <w:rPr>
              <w:rtl w:val="0"/>
            </w:rPr>
          </w:r>
        </w:p>
        <w:p w:rsidR="00000000" w:rsidDel="00000000" w:rsidP="00000000" w:rsidRDefault="00000000" w:rsidRPr="00000000" w14:paraId="00000017">
          <w:pPr>
            <w:tabs>
              <w:tab w:val="right" w:leader="dot" w:pos="9010"/>
            </w:tabs>
            <w:spacing w:line="240" w:lineRule="auto"/>
            <w:ind w:left="240" w:firstLine="0"/>
            <w:rPr>
              <w:rFonts w:ascii="Calibri" w:cs="Calibri" w:eastAsia="Calibri" w:hAnsi="Calibri"/>
            </w:rPr>
          </w:pPr>
          <w:hyperlink w:anchor="_vbawr6gcluzg">
            <w:r w:rsidDel="00000000" w:rsidR="00000000" w:rsidRPr="00000000">
              <w:rPr>
                <w:rFonts w:ascii="Calibri" w:cs="Calibri" w:eastAsia="Calibri" w:hAnsi="Calibri"/>
                <w:smallCaps w:val="1"/>
                <w:rtl w:val="0"/>
              </w:rPr>
              <w:t xml:space="preserve">2.5 Artefact (proposed) to be developed</w:t>
              <w:tab/>
              <w:t xml:space="preserve">3</w:t>
            </w:r>
          </w:hyperlink>
          <w:r w:rsidDel="00000000" w:rsidR="00000000" w:rsidRPr="00000000">
            <w:rPr>
              <w:rtl w:val="0"/>
            </w:rPr>
          </w:r>
        </w:p>
        <w:p w:rsidR="00000000" w:rsidDel="00000000" w:rsidP="00000000" w:rsidRDefault="00000000" w:rsidRPr="00000000" w14:paraId="00000018">
          <w:pPr>
            <w:tabs>
              <w:tab w:val="right" w:leader="dot" w:pos="9010"/>
            </w:tabs>
            <w:spacing w:before="120" w:line="240" w:lineRule="auto"/>
            <w:rPr>
              <w:rFonts w:ascii="Calibri" w:cs="Calibri" w:eastAsia="Calibri" w:hAnsi="Calibri"/>
            </w:rPr>
          </w:pPr>
          <w:hyperlink w:anchor="_1rj9z0pjyf0f">
            <w:r w:rsidDel="00000000" w:rsidR="00000000" w:rsidRPr="00000000">
              <w:rPr>
                <w:rFonts w:ascii="Calibri" w:cs="Calibri" w:eastAsia="Calibri" w:hAnsi="Calibri"/>
                <w:smallCaps w:val="1"/>
                <w:rtl w:val="0"/>
              </w:rPr>
              <w:t xml:space="preserve">Section 3: Project Proposal</w:t>
              <w:tab/>
              <w:t xml:space="preserve">4</w:t>
            </w:r>
          </w:hyperlink>
          <w:r w:rsidDel="00000000" w:rsidR="00000000" w:rsidRPr="00000000">
            <w:rPr>
              <w:rtl w:val="0"/>
            </w:rPr>
          </w:r>
        </w:p>
        <w:p w:rsidR="00000000" w:rsidDel="00000000" w:rsidP="00000000" w:rsidRDefault="00000000" w:rsidRPr="00000000" w14:paraId="00000019">
          <w:pPr>
            <w:tabs>
              <w:tab w:val="right" w:leader="dot" w:pos="9010"/>
            </w:tabs>
            <w:spacing w:line="240" w:lineRule="auto"/>
            <w:ind w:left="240" w:firstLine="0"/>
            <w:rPr>
              <w:rFonts w:ascii="Calibri" w:cs="Calibri" w:eastAsia="Calibri" w:hAnsi="Calibri"/>
            </w:rPr>
          </w:pPr>
          <w:hyperlink w:anchor="_wmgtcmx8dvwm">
            <w:r w:rsidDel="00000000" w:rsidR="00000000" w:rsidRPr="00000000">
              <w:rPr>
                <w:rFonts w:ascii="Calibri" w:cs="Calibri" w:eastAsia="Calibri" w:hAnsi="Calibri"/>
                <w:smallCaps w:val="1"/>
                <w:rtl w:val="0"/>
              </w:rPr>
              <w:t xml:space="preserve">3.1 Introduction</w:t>
              <w:tab/>
              <w:t xml:space="preserve">4</w:t>
            </w:r>
          </w:hyperlink>
          <w:r w:rsidDel="00000000" w:rsidR="00000000" w:rsidRPr="00000000">
            <w:rPr>
              <w:rtl w:val="0"/>
            </w:rPr>
          </w:r>
        </w:p>
        <w:p w:rsidR="00000000" w:rsidDel="00000000" w:rsidP="00000000" w:rsidRDefault="00000000" w:rsidRPr="00000000" w14:paraId="0000001A">
          <w:pPr>
            <w:tabs>
              <w:tab w:val="right" w:leader="dot" w:pos="9010"/>
            </w:tabs>
            <w:spacing w:line="240" w:lineRule="auto"/>
            <w:ind w:left="240" w:firstLine="0"/>
            <w:rPr>
              <w:rFonts w:ascii="Calibri" w:cs="Calibri" w:eastAsia="Calibri" w:hAnsi="Calibri"/>
            </w:rPr>
          </w:pPr>
          <w:hyperlink w:anchor="_p4en1b4zl9ci">
            <w:r w:rsidDel="00000000" w:rsidR="00000000" w:rsidRPr="00000000">
              <w:rPr>
                <w:rFonts w:ascii="Calibri" w:cs="Calibri" w:eastAsia="Calibri" w:hAnsi="Calibri"/>
                <w:smallCaps w:val="1"/>
                <w:rtl w:val="0"/>
              </w:rPr>
              <w:t xml:space="preserve">3.2 Initial Research into Sources of Information</w:t>
              <w:tab/>
              <w:t xml:space="preserve">4</w:t>
            </w:r>
          </w:hyperlink>
          <w:r w:rsidDel="00000000" w:rsidR="00000000" w:rsidRPr="00000000">
            <w:rPr>
              <w:rtl w:val="0"/>
            </w:rPr>
          </w:r>
        </w:p>
        <w:p w:rsidR="00000000" w:rsidDel="00000000" w:rsidP="00000000" w:rsidRDefault="00000000" w:rsidRPr="00000000" w14:paraId="0000001B">
          <w:pPr>
            <w:tabs>
              <w:tab w:val="right" w:leader="dot" w:pos="9010"/>
            </w:tabs>
            <w:spacing w:line="240" w:lineRule="auto"/>
            <w:ind w:left="240" w:firstLine="0"/>
            <w:rPr>
              <w:rFonts w:ascii="Calibri" w:cs="Calibri" w:eastAsia="Calibri" w:hAnsi="Calibri"/>
            </w:rPr>
          </w:pPr>
          <w:hyperlink w:anchor="_epb3nm3wvd16">
            <w:r w:rsidDel="00000000" w:rsidR="00000000" w:rsidRPr="00000000">
              <w:rPr>
                <w:rFonts w:ascii="Calibri" w:cs="Calibri" w:eastAsia="Calibri" w:hAnsi="Calibri"/>
                <w:smallCaps w:val="1"/>
                <w:rtl w:val="0"/>
              </w:rPr>
              <w:t xml:space="preserve">3.3 Artefact (proposed)</w:t>
              <w:tab/>
              <w:t xml:space="preserve">5</w:t>
            </w:r>
          </w:hyperlink>
          <w:r w:rsidDel="00000000" w:rsidR="00000000" w:rsidRPr="00000000">
            <w:rPr>
              <w:rtl w:val="0"/>
            </w:rPr>
          </w:r>
        </w:p>
        <w:p w:rsidR="00000000" w:rsidDel="00000000" w:rsidP="00000000" w:rsidRDefault="00000000" w:rsidRPr="00000000" w14:paraId="0000001C">
          <w:pPr>
            <w:tabs>
              <w:tab w:val="right" w:leader="dot" w:pos="9010"/>
            </w:tabs>
            <w:spacing w:line="240" w:lineRule="auto"/>
            <w:ind w:left="240" w:firstLine="0"/>
            <w:rPr>
              <w:rFonts w:ascii="Calibri" w:cs="Calibri" w:eastAsia="Calibri" w:hAnsi="Calibri"/>
            </w:rPr>
          </w:pPr>
          <w:hyperlink r:id="rId6">
            <w:r w:rsidDel="00000000" w:rsidR="00000000" w:rsidRPr="00000000">
              <w:rPr>
                <w:rFonts w:ascii="Calibri" w:cs="Calibri" w:eastAsia="Calibri" w:hAnsi="Calibri"/>
                <w:smallCaps w:val="1"/>
                <w:rtl w:val="0"/>
              </w:rPr>
              <w:t xml:space="preserve">3.4 Plan/Schedule</w:t>
              <w:tab/>
              <w:t xml:space="preserve">7</w:t>
            </w:r>
          </w:hyperlink>
          <w:r w:rsidDel="00000000" w:rsidR="00000000" w:rsidRPr="00000000">
            <w:rPr>
              <w:rtl w:val="0"/>
            </w:rPr>
          </w:r>
        </w:p>
        <w:p w:rsidR="00000000" w:rsidDel="00000000" w:rsidP="00000000" w:rsidRDefault="00000000" w:rsidRPr="00000000" w14:paraId="0000001D">
          <w:pPr>
            <w:tabs>
              <w:tab w:val="right" w:leader="dot" w:pos="9010"/>
            </w:tabs>
            <w:spacing w:line="240" w:lineRule="auto"/>
            <w:ind w:left="240" w:firstLine="0"/>
            <w:rPr>
              <w:rFonts w:ascii="Calibri" w:cs="Calibri" w:eastAsia="Calibri" w:hAnsi="Calibri"/>
            </w:rPr>
          </w:pPr>
          <w:hyperlink r:id="rId7">
            <w:r w:rsidDel="00000000" w:rsidR="00000000" w:rsidRPr="00000000">
              <w:rPr>
                <w:rFonts w:ascii="Calibri" w:cs="Calibri" w:eastAsia="Calibri" w:hAnsi="Calibri"/>
                <w:smallCaps w:val="1"/>
                <w:rtl w:val="0"/>
              </w:rPr>
              <w:t xml:space="preserve">3.5 References</w:t>
              <w:tab/>
              <w:t xml:space="preserve">8</w:t>
            </w:r>
          </w:hyperlink>
          <w:r w:rsidDel="00000000" w:rsidR="00000000" w:rsidRPr="00000000">
            <w:rPr>
              <w:rtl w:val="0"/>
            </w:rPr>
          </w:r>
        </w:p>
        <w:p w:rsidR="00000000" w:rsidDel="00000000" w:rsidP="00000000" w:rsidRDefault="00000000" w:rsidRPr="00000000" w14:paraId="0000001E">
          <w:pPr>
            <w:tabs>
              <w:tab w:val="right" w:leader="dot" w:pos="9010"/>
            </w:tabs>
            <w:spacing w:before="120" w:line="240" w:lineRule="auto"/>
            <w:rPr>
              <w:rFonts w:ascii="Calibri" w:cs="Calibri" w:eastAsia="Calibri" w:hAnsi="Calibri"/>
            </w:rPr>
          </w:pPr>
          <w:hyperlink r:id="rId8">
            <w:r w:rsidDel="00000000" w:rsidR="00000000" w:rsidRPr="00000000">
              <w:rPr>
                <w:rFonts w:ascii="Calibri" w:cs="Calibri" w:eastAsia="Calibri" w:hAnsi="Calibri"/>
                <w:smallCaps w:val="1"/>
                <w:rtl w:val="0"/>
              </w:rPr>
              <w:t xml:space="preserve">Section 4: Additional Sources of Information</w:t>
              <w:tab/>
              <w:t xml:space="preserve">10</w:t>
            </w:r>
          </w:hyperlink>
          <w:r w:rsidDel="00000000" w:rsidR="00000000" w:rsidRPr="00000000">
            <w:rPr>
              <w:rtl w:val="0"/>
            </w:rPr>
          </w:r>
        </w:p>
        <w:p w:rsidR="00000000" w:rsidDel="00000000" w:rsidP="00000000" w:rsidRDefault="00000000" w:rsidRPr="00000000" w14:paraId="0000001F">
          <w:pPr>
            <w:tabs>
              <w:tab w:val="right" w:leader="dot" w:pos="9010"/>
            </w:tabs>
            <w:spacing w:line="240" w:lineRule="auto"/>
            <w:ind w:left="240" w:firstLine="0"/>
            <w:rPr>
              <w:rFonts w:ascii="Calibri" w:cs="Calibri" w:eastAsia="Calibri" w:hAnsi="Calibri"/>
            </w:rPr>
          </w:pPr>
          <w:hyperlink r:id="rId9">
            <w:r w:rsidDel="00000000" w:rsidR="00000000" w:rsidRPr="00000000">
              <w:rPr>
                <w:rFonts w:ascii="Calibri" w:cs="Calibri" w:eastAsia="Calibri" w:hAnsi="Calibri"/>
                <w:smallCaps w:val="1"/>
                <w:rtl w:val="0"/>
              </w:rPr>
              <w:t xml:space="preserve">4.1 Ethical Considerations Form</w:t>
              <w:tab/>
              <w:t xml:space="preserve">10</w:t>
            </w:r>
          </w:hyperlink>
          <w:r w:rsidDel="00000000" w:rsidR="00000000" w:rsidRPr="00000000">
            <w:rPr>
              <w:rtl w:val="0"/>
            </w:rPr>
          </w:r>
        </w:p>
        <w:p w:rsidR="00000000" w:rsidDel="00000000" w:rsidP="00000000" w:rsidRDefault="00000000" w:rsidRPr="00000000" w14:paraId="00000020">
          <w:pPr>
            <w:tabs>
              <w:tab w:val="right" w:leader="dot" w:pos="9010"/>
            </w:tabs>
            <w:spacing w:line="240" w:lineRule="auto"/>
            <w:ind w:left="240" w:firstLine="0"/>
            <w:rPr>
              <w:rFonts w:ascii="Calibri" w:cs="Calibri" w:eastAsia="Calibri" w:hAnsi="Calibri"/>
            </w:rPr>
          </w:pPr>
          <w:hyperlink r:id="rId10">
            <w:r w:rsidDel="00000000" w:rsidR="00000000" w:rsidRPr="00000000">
              <w:rPr>
                <w:rFonts w:ascii="Calibri" w:cs="Calibri" w:eastAsia="Calibri" w:hAnsi="Calibri"/>
                <w:smallCaps w:val="1"/>
                <w:rtl w:val="0"/>
              </w:rPr>
              <w:t xml:space="preserve">4.2 Resources</w:t>
              <w:tab/>
              <w:t xml:space="preserve">10</w:t>
            </w:r>
          </w:hyperlink>
          <w:r w:rsidDel="00000000" w:rsidR="00000000" w:rsidRPr="00000000">
            <w:rPr>
              <w:rtl w:val="0"/>
            </w:rPr>
          </w:r>
        </w:p>
        <w:p w:rsidR="00000000" w:rsidDel="00000000" w:rsidP="00000000" w:rsidRDefault="00000000" w:rsidRPr="00000000" w14:paraId="00000021">
          <w:pPr>
            <w:tabs>
              <w:tab w:val="right" w:leader="dot" w:pos="9010"/>
            </w:tabs>
            <w:spacing w:line="240" w:lineRule="auto"/>
            <w:ind w:left="240" w:firstLine="0"/>
            <w:rPr>
              <w:rFonts w:ascii="Calibri" w:cs="Calibri" w:eastAsia="Calibri" w:hAnsi="Calibri"/>
            </w:rPr>
          </w:pPr>
          <w:hyperlink r:id="rId11">
            <w:r w:rsidDel="00000000" w:rsidR="00000000" w:rsidRPr="00000000">
              <w:rPr>
                <w:rFonts w:ascii="Calibri" w:cs="Calibri" w:eastAsia="Calibri" w:hAnsi="Calibri"/>
                <w:smallCaps w:val="1"/>
                <w:rtl w:val="0"/>
              </w:rPr>
              <w:t xml:space="preserve">4.2.1 Bibliography</w:t>
              <w:tab/>
              <w:t xml:space="preserve">10</w:t>
            </w:r>
          </w:hyperlink>
          <w:r w:rsidDel="00000000" w:rsidR="00000000" w:rsidRPr="00000000">
            <w:rPr>
              <w:rtl w:val="0"/>
            </w:rPr>
          </w:r>
        </w:p>
        <w:p w:rsidR="00000000" w:rsidDel="00000000" w:rsidP="00000000" w:rsidRDefault="00000000" w:rsidRPr="00000000" w14:paraId="00000022">
          <w:pPr>
            <w:tabs>
              <w:tab w:val="right" w:leader="dot" w:pos="9010"/>
            </w:tabs>
            <w:spacing w:line="240" w:lineRule="auto"/>
            <w:ind w:left="240" w:firstLine="0"/>
            <w:rPr>
              <w:rFonts w:ascii="Calibri" w:cs="Calibri" w:eastAsia="Calibri" w:hAnsi="Calibri"/>
            </w:rPr>
          </w:pPr>
          <w:hyperlink r:id="rId12">
            <w:r w:rsidDel="00000000" w:rsidR="00000000" w:rsidRPr="00000000">
              <w:rPr>
                <w:rFonts w:ascii="Calibri" w:cs="Calibri" w:eastAsia="Calibri" w:hAnsi="Calibri"/>
                <w:smallCaps w:val="1"/>
                <w:rtl w:val="0"/>
              </w:rPr>
              <w:t xml:space="preserve">4.3 Client</w:t>
              <w:tab/>
              <w:t xml:space="preserve">10</w:t>
            </w:r>
          </w:hyperlink>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0" w:before="240" w:line="240" w:lineRule="auto"/>
        <w:rPr>
          <w:rFonts w:ascii="Calibri" w:cs="Calibri" w:eastAsia="Calibri" w:hAnsi="Calibri"/>
          <w:color w:val="2e75b5"/>
          <w:sz w:val="32"/>
          <w:szCs w:val="32"/>
        </w:rPr>
      </w:pPr>
      <w:bookmarkStart w:colFirst="0" w:colLast="0" w:name="_kjgq8vvuqoko" w:id="3"/>
      <w:bookmarkEnd w:id="3"/>
      <w:r w:rsidDel="00000000" w:rsidR="00000000" w:rsidRPr="00000000">
        <w:rPr>
          <w:rFonts w:ascii="Calibri" w:cs="Calibri" w:eastAsia="Calibri" w:hAnsi="Calibri"/>
          <w:color w:val="2e75b5"/>
          <w:sz w:val="32"/>
          <w:szCs w:val="32"/>
          <w:rtl w:val="0"/>
        </w:rPr>
        <w:t xml:space="preserve">Section 2: Statement of Project Details</w:t>
      </w:r>
    </w:p>
    <w:p w:rsidR="00000000" w:rsidDel="00000000" w:rsidP="00000000" w:rsidRDefault="00000000" w:rsidRPr="00000000" w14:paraId="0000002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pStyle w:val="Heading2"/>
        <w:spacing w:after="0" w:before="40" w:line="240" w:lineRule="auto"/>
        <w:rPr>
          <w:rFonts w:ascii="Calibri" w:cs="Calibri" w:eastAsia="Calibri" w:hAnsi="Calibri"/>
          <w:color w:val="2e75b5"/>
          <w:sz w:val="26"/>
          <w:szCs w:val="26"/>
        </w:rPr>
      </w:pPr>
      <w:bookmarkStart w:colFirst="0" w:colLast="0" w:name="_28436c98carf" w:id="4"/>
      <w:bookmarkEnd w:id="4"/>
      <w:r w:rsidDel="00000000" w:rsidR="00000000" w:rsidRPr="00000000">
        <w:rPr>
          <w:rFonts w:ascii="Calibri" w:cs="Calibri" w:eastAsia="Calibri" w:hAnsi="Calibri"/>
          <w:color w:val="2e75b5"/>
          <w:sz w:val="26"/>
          <w:szCs w:val="26"/>
          <w:rtl w:val="0"/>
        </w:rPr>
        <w:t xml:space="preserve">2.1 Project Title</w:t>
      </w:r>
    </w:p>
    <w:p w:rsidR="00000000" w:rsidDel="00000000" w:rsidP="00000000" w:rsidRDefault="00000000" w:rsidRPr="00000000" w14:paraId="0000002B">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OWASP Top 3 Vulnerability Scanner for Web Applications</w:t>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pStyle w:val="Heading2"/>
        <w:spacing w:after="0" w:before="40" w:line="240" w:lineRule="auto"/>
        <w:rPr>
          <w:rFonts w:ascii="Calibri" w:cs="Calibri" w:eastAsia="Calibri" w:hAnsi="Calibri"/>
          <w:color w:val="2e75b5"/>
          <w:sz w:val="26"/>
          <w:szCs w:val="26"/>
        </w:rPr>
      </w:pPr>
      <w:bookmarkStart w:colFirst="0" w:colLast="0" w:name="_ef08fe2ddvw7" w:id="5"/>
      <w:bookmarkEnd w:id="5"/>
      <w:r w:rsidDel="00000000" w:rsidR="00000000" w:rsidRPr="00000000">
        <w:rPr>
          <w:rFonts w:ascii="Calibri" w:cs="Calibri" w:eastAsia="Calibri" w:hAnsi="Calibri"/>
          <w:color w:val="2e75b5"/>
          <w:sz w:val="26"/>
          <w:szCs w:val="26"/>
          <w:rtl w:val="0"/>
        </w:rPr>
        <w:t xml:space="preserve">2.2 Academic Question</w:t>
      </w:r>
    </w:p>
    <w:p w:rsidR="00000000" w:rsidDel="00000000" w:rsidP="00000000" w:rsidRDefault="00000000" w:rsidRPr="00000000" w14:paraId="0000002E">
      <w:pPr>
        <w:spacing w:after="12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effective is an automated scanner at detecting OWASP Top 3 vulnerabilities compared to manual testing methods?</w:t>
      </w:r>
    </w:p>
    <w:p w:rsidR="00000000" w:rsidDel="00000000" w:rsidP="00000000" w:rsidRDefault="00000000" w:rsidRPr="00000000" w14:paraId="0000002F">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30">
      <w:pPr>
        <w:pStyle w:val="Heading2"/>
        <w:spacing w:after="0" w:before="40" w:line="240" w:lineRule="auto"/>
        <w:rPr>
          <w:rFonts w:ascii="Calibri" w:cs="Calibri" w:eastAsia="Calibri" w:hAnsi="Calibri"/>
          <w:color w:val="2e75b5"/>
          <w:sz w:val="26"/>
          <w:szCs w:val="26"/>
        </w:rPr>
      </w:pPr>
      <w:bookmarkStart w:colFirst="0" w:colLast="0" w:name="_a86pjm1ox7yo" w:id="6"/>
      <w:bookmarkEnd w:id="6"/>
      <w:r w:rsidDel="00000000" w:rsidR="00000000" w:rsidRPr="00000000">
        <w:rPr>
          <w:rFonts w:ascii="Calibri" w:cs="Calibri" w:eastAsia="Calibri" w:hAnsi="Calibri"/>
          <w:color w:val="2e75b5"/>
          <w:sz w:val="26"/>
          <w:szCs w:val="26"/>
          <w:rtl w:val="0"/>
        </w:rPr>
        <w:t xml:space="preserve">2.3 Aims</w:t>
      </w:r>
    </w:p>
    <w:p w:rsidR="00000000" w:rsidDel="00000000" w:rsidP="00000000" w:rsidRDefault="00000000" w:rsidRPr="00000000" w14:paraId="00000031">
      <w:pPr>
        <w:numPr>
          <w:ilvl w:val="0"/>
          <w:numId w:val="16"/>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an automated web vulnerability scanner focusing on the OWASP Top 3.</w:t>
      </w:r>
    </w:p>
    <w:p w:rsidR="00000000" w:rsidDel="00000000" w:rsidP="00000000" w:rsidRDefault="00000000" w:rsidRPr="00000000" w14:paraId="00000032">
      <w:pPr>
        <w:numPr>
          <w:ilvl w:val="0"/>
          <w:numId w:val="16"/>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Evaluate and compare automated detection versus manual penetration testing.</w:t>
      </w:r>
    </w:p>
    <w:p w:rsidR="00000000" w:rsidDel="00000000" w:rsidP="00000000" w:rsidRDefault="00000000" w:rsidRPr="00000000" w14:paraId="00000033">
      <w:pPr>
        <w:numPr>
          <w:ilvl w:val="0"/>
          <w:numId w:val="16"/>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actionable recommendations to improve web application security.</w:t>
      </w:r>
    </w:p>
    <w:p w:rsidR="00000000" w:rsidDel="00000000" w:rsidP="00000000" w:rsidRDefault="00000000" w:rsidRPr="00000000" w14:paraId="00000034">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35">
      <w:pPr>
        <w:pStyle w:val="Heading2"/>
        <w:spacing w:after="0" w:before="40" w:line="240" w:lineRule="auto"/>
        <w:rPr>
          <w:rFonts w:ascii="Calibri" w:cs="Calibri" w:eastAsia="Calibri" w:hAnsi="Calibri"/>
          <w:color w:val="2e75b5"/>
          <w:sz w:val="26"/>
          <w:szCs w:val="26"/>
        </w:rPr>
      </w:pPr>
      <w:bookmarkStart w:colFirst="0" w:colLast="0" w:name="_gsxzdk1h9o27" w:id="7"/>
      <w:bookmarkEnd w:id="7"/>
      <w:r w:rsidDel="00000000" w:rsidR="00000000" w:rsidRPr="00000000">
        <w:rPr>
          <w:rFonts w:ascii="Calibri" w:cs="Calibri" w:eastAsia="Calibri" w:hAnsi="Calibri"/>
          <w:color w:val="2e75b5"/>
          <w:sz w:val="26"/>
          <w:szCs w:val="26"/>
          <w:rtl w:val="0"/>
        </w:rPr>
        <w:t xml:space="preserve">2.4 Objectives</w:t>
      </w:r>
    </w:p>
    <w:p w:rsidR="00000000" w:rsidDel="00000000" w:rsidP="00000000" w:rsidRDefault="00000000" w:rsidRPr="00000000" w14:paraId="00000036">
      <w:pPr>
        <w:numPr>
          <w:ilvl w:val="0"/>
          <w:numId w:val="11"/>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Research OWASP Top 3 vulnerabilities and detection approaches.</w:t>
      </w:r>
    </w:p>
    <w:p w:rsidR="00000000" w:rsidDel="00000000" w:rsidP="00000000" w:rsidRDefault="00000000" w:rsidRPr="00000000" w14:paraId="00000037">
      <w:pPr>
        <w:numPr>
          <w:ilvl w:val="0"/>
          <w:numId w:val="11"/>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implement a web-based scanning platform.</w:t>
      </w:r>
    </w:p>
    <w:p w:rsidR="00000000" w:rsidDel="00000000" w:rsidP="00000000" w:rsidRDefault="00000000" w:rsidRPr="00000000" w14:paraId="00000038">
      <w:pPr>
        <w:numPr>
          <w:ilvl w:val="0"/>
          <w:numId w:val="11"/>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Integrate existing tools (e.g., ZAP, SQLMap) and custom detection methods.</w:t>
      </w:r>
    </w:p>
    <w:p w:rsidR="00000000" w:rsidDel="00000000" w:rsidP="00000000" w:rsidRDefault="00000000" w:rsidRPr="00000000" w14:paraId="00000039">
      <w:pPr>
        <w:numPr>
          <w:ilvl w:val="0"/>
          <w:numId w:val="11"/>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system on intentionally vulnerable apps in safe environments.</w:t>
      </w:r>
    </w:p>
    <w:p w:rsidR="00000000" w:rsidDel="00000000" w:rsidP="00000000" w:rsidRDefault="00000000" w:rsidRPr="00000000" w14:paraId="0000003A">
      <w:pPr>
        <w:numPr>
          <w:ilvl w:val="0"/>
          <w:numId w:val="11"/>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 results: accuracy, false positives, limitations.</w:t>
      </w:r>
    </w:p>
    <w:p w:rsidR="00000000" w:rsidDel="00000000" w:rsidP="00000000" w:rsidRDefault="00000000" w:rsidRPr="00000000" w14:paraId="0000003B">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3C">
      <w:pPr>
        <w:pStyle w:val="Heading2"/>
        <w:spacing w:after="0" w:before="40" w:line="240" w:lineRule="auto"/>
        <w:rPr>
          <w:rFonts w:ascii="Calibri" w:cs="Calibri" w:eastAsia="Calibri" w:hAnsi="Calibri"/>
          <w:color w:val="2e75b5"/>
          <w:sz w:val="26"/>
          <w:szCs w:val="26"/>
        </w:rPr>
      </w:pPr>
      <w:bookmarkStart w:colFirst="0" w:colLast="0" w:name="_vbawr6gcluzg" w:id="8"/>
      <w:bookmarkEnd w:id="8"/>
      <w:r w:rsidDel="00000000" w:rsidR="00000000" w:rsidRPr="00000000">
        <w:rPr>
          <w:rFonts w:ascii="Calibri" w:cs="Calibri" w:eastAsia="Calibri" w:hAnsi="Calibri"/>
          <w:color w:val="2e75b5"/>
          <w:sz w:val="26"/>
          <w:szCs w:val="26"/>
          <w:rtl w:val="0"/>
        </w:rPr>
        <w:t xml:space="preserve">2.5 Artefact (proposed) to be developed</w:t>
      </w:r>
    </w:p>
    <w:p w:rsidR="00000000" w:rsidDel="00000000" w:rsidP="00000000" w:rsidRDefault="00000000" w:rsidRPr="00000000" w14:paraId="0000003D">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web-based tool (frontend and backend) that performs security scans for OWASP Top 3 vulnerabilities, generates comprehensive reports, and visualizes results in a user dashboard. The scanner will be tested on applications such as DVWA and Juice Shop; code will use Python (Flask/FastAPI) and React.</w:t>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0" w:before="240" w:line="240" w:lineRule="auto"/>
        <w:rPr>
          <w:rFonts w:ascii="Calibri" w:cs="Calibri" w:eastAsia="Calibri" w:hAnsi="Calibri"/>
          <w:color w:val="2e75b5"/>
          <w:sz w:val="32"/>
          <w:szCs w:val="32"/>
        </w:rPr>
      </w:pPr>
      <w:bookmarkStart w:colFirst="0" w:colLast="0" w:name="_1rj9z0pjyf0f" w:id="9"/>
      <w:bookmarkEnd w:id="9"/>
      <w:r w:rsidDel="00000000" w:rsidR="00000000" w:rsidRPr="00000000">
        <w:rPr>
          <w:rFonts w:ascii="Calibri" w:cs="Calibri" w:eastAsia="Calibri" w:hAnsi="Calibri"/>
          <w:color w:val="2e75b5"/>
          <w:sz w:val="32"/>
          <w:szCs w:val="32"/>
          <w:rtl w:val="0"/>
        </w:rPr>
        <w:t xml:space="preserve">Section 3: Project Proposal</w:t>
      </w:r>
    </w:p>
    <w:p w:rsidR="00000000" w:rsidDel="00000000" w:rsidP="00000000" w:rsidRDefault="00000000" w:rsidRPr="00000000" w14:paraId="00000040">
      <w:pPr>
        <w:pStyle w:val="Heading2"/>
        <w:spacing w:after="0" w:before="40" w:line="240" w:lineRule="auto"/>
        <w:rPr>
          <w:rFonts w:ascii="Calibri" w:cs="Calibri" w:eastAsia="Calibri" w:hAnsi="Calibri"/>
          <w:color w:val="2e75b5"/>
          <w:sz w:val="26"/>
          <w:szCs w:val="26"/>
        </w:rPr>
      </w:pPr>
      <w:bookmarkStart w:colFirst="0" w:colLast="0" w:name="_wmgtcmx8dvwm" w:id="10"/>
      <w:bookmarkEnd w:id="10"/>
      <w:r w:rsidDel="00000000" w:rsidR="00000000" w:rsidRPr="00000000">
        <w:rPr>
          <w:rFonts w:ascii="Calibri" w:cs="Calibri" w:eastAsia="Calibri" w:hAnsi="Calibri"/>
          <w:color w:val="2e75b5"/>
          <w:sz w:val="26"/>
          <w:szCs w:val="26"/>
          <w:rtl w:val="0"/>
        </w:rPr>
        <w:t xml:space="preserve">3.1 Introduction</w:t>
      </w:r>
    </w:p>
    <w:p w:rsidR="00000000" w:rsidDel="00000000" w:rsidP="00000000" w:rsidRDefault="00000000" w:rsidRPr="00000000" w14:paraId="000000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According to Verizon’s 2024 Data Breach Report, web applications are responsible for 43% of all data breaches. While the OWASP Top 10 defines the most critical security risks, many small to medium enterprises (SMEs) lack the budget and expertise for continuous security assessments.</w:t>
        <w:br w:type="textWrapping"/>
        <w:t xml:space="preserve"> Through my HackTheBox ethical hacking training (26% completion in web exploitation), I gained hands-on experience with SQL Injection, XSS, and other OWASP Top 10 vulnerabilities. This revealed a clear gap between security awareness and the ability to perform practical testing, especially for organizations without dedicated security teams.</w:t>
      </w:r>
    </w:p>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addresses that gap by developing an </w:t>
      </w:r>
      <w:r w:rsidDel="00000000" w:rsidR="00000000" w:rsidRPr="00000000">
        <w:rPr>
          <w:rFonts w:ascii="Calibri" w:cs="Calibri" w:eastAsia="Calibri" w:hAnsi="Calibri"/>
          <w:b w:val="1"/>
          <w:bCs w:val="1"/>
          <w:sz w:val="24"/>
          <w:szCs w:val="24"/>
          <w:rtl w:val="0"/>
        </w:rPr>
        <w:t xml:space="preserve">automated scanner</w:t>
      </w:r>
      <w:r w:rsidDel="00000000" w:rsidR="00000000" w:rsidRPr="00000000">
        <w:rPr>
          <w:rFonts w:ascii="Calibri" w:cs="Calibri" w:eastAsia="Calibri" w:hAnsi="Calibri"/>
          <w:sz w:val="24"/>
          <w:szCs w:val="24"/>
          <w:rtl w:val="0"/>
        </w:rPr>
        <w:t xml:space="preserve"> focused on three of the most automatable OWASP Top 10 (2021) vulnerabilities:</w:t>
      </w:r>
    </w:p>
    <w:p w:rsidR="00000000" w:rsidDel="00000000" w:rsidP="00000000" w:rsidRDefault="00000000" w:rsidRPr="00000000" w14:paraId="00000043">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A03 – Injection (SQL, XSS)</w:t>
        <w:br w:type="textWrapping"/>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A05 – Security Misconfiguration</w:t>
        <w:br w:type="textWrapping"/>
      </w:r>
    </w:p>
    <w:p w:rsidR="00000000" w:rsidDel="00000000" w:rsidP="00000000" w:rsidRDefault="00000000" w:rsidRPr="00000000" w14:paraId="00000045">
      <w:pPr>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A06 – Vulnerable and Outdated Components</w:t>
      </w:r>
      <w:r w:rsidDel="00000000" w:rsidR="00000000" w:rsidRPr="00000000">
        <w:rPr>
          <w:rtl w:val="0"/>
        </w:rPr>
      </w:r>
    </w:p>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Vulnerabilities that require understanding of complex business logic (such as A04: Insecure Design) are excluded, as they are difficult to automate effectively.</w:t>
      </w:r>
      <w:r w:rsidDel="00000000" w:rsidR="00000000" w:rsidRPr="00000000">
        <w:rPr>
          <w:rtl w:val="0"/>
        </w:rPr>
      </w:r>
    </w:p>
    <w:p w:rsidR="00000000" w:rsidDel="00000000" w:rsidP="00000000" w:rsidRDefault="00000000" w:rsidRPr="00000000" w14:paraId="00000047">
      <w:pPr>
        <w:pStyle w:val="Heading2"/>
        <w:spacing w:after="0" w:before="40" w:line="240" w:lineRule="auto"/>
        <w:rPr>
          <w:rFonts w:ascii="Calibri" w:cs="Calibri" w:eastAsia="Calibri" w:hAnsi="Calibri"/>
          <w:color w:val="2e75b5"/>
          <w:sz w:val="26"/>
          <w:szCs w:val="26"/>
        </w:rPr>
      </w:pPr>
      <w:bookmarkStart w:colFirst="0" w:colLast="0" w:name="_p4en1b4zl9ci" w:id="11"/>
      <w:bookmarkEnd w:id="11"/>
      <w:r w:rsidDel="00000000" w:rsidR="00000000" w:rsidRPr="00000000">
        <w:rPr>
          <w:rFonts w:ascii="Calibri" w:cs="Calibri" w:eastAsia="Calibri" w:hAnsi="Calibri"/>
          <w:color w:val="2e75b5"/>
          <w:sz w:val="26"/>
          <w:szCs w:val="26"/>
          <w:rtl w:val="0"/>
        </w:rPr>
        <w:t xml:space="preserve">3.2 Initial Research into Sources of Information</w:t>
      </w:r>
    </w:p>
    <w:p w:rsidR="00000000" w:rsidDel="00000000" w:rsidP="00000000" w:rsidRDefault="00000000" w:rsidRPr="00000000" w14:paraId="0000004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stage establishes a foundation for the project’s technical and methodological design through literature, official documentation, and practical ethical hacking practice.</w:t>
      </w:r>
    </w:p>
    <w:p w:rsidR="00000000" w:rsidDel="00000000" w:rsidP="00000000" w:rsidRDefault="00000000" w:rsidRPr="00000000" w14:paraId="0000004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Academic and industry sources:</w:t>
        <w:br w:type="textWrapping"/>
      </w:r>
      <w:r w:rsidDel="00000000" w:rsidR="00000000" w:rsidRPr="00000000">
        <w:rPr>
          <w:rFonts w:ascii="Calibri" w:cs="Calibri" w:eastAsia="Calibri" w:hAnsi="Calibri"/>
          <w:sz w:val="24"/>
          <w:szCs w:val="24"/>
          <w:rtl w:val="0"/>
        </w:rPr>
        <w:t xml:space="preserve"> The </w:t>
      </w:r>
      <w:r w:rsidDel="00000000" w:rsidR="00000000" w:rsidRPr="00000000">
        <w:rPr>
          <w:rFonts w:ascii="Calibri" w:cs="Calibri" w:eastAsia="Calibri" w:hAnsi="Calibri"/>
          <w:b w:val="1"/>
          <w:bCs w:val="1"/>
          <w:sz w:val="24"/>
          <w:szCs w:val="24"/>
          <w:rtl w:val="0"/>
        </w:rPr>
        <w:t xml:space="preserve">OWASP Top 10 (2021)</w:t>
      </w:r>
      <w:r w:rsidDel="00000000" w:rsidR="00000000" w:rsidRPr="00000000">
        <w:rPr>
          <w:rFonts w:ascii="Calibri" w:cs="Calibri" w:eastAsia="Calibri" w:hAnsi="Calibri"/>
          <w:sz w:val="24"/>
          <w:szCs w:val="24"/>
          <w:rtl w:val="0"/>
        </w:rPr>
        <w:t xml:space="preserve"> is the principal framework for vulnerability selection. Literature and industry analyses indicate that automated scanners can detect roughly </w:t>
      </w:r>
      <w:r w:rsidDel="00000000" w:rsidR="00000000" w:rsidRPr="00000000">
        <w:rPr>
          <w:rFonts w:ascii="Calibri" w:cs="Calibri" w:eastAsia="Calibri" w:hAnsi="Calibri"/>
          <w:b w:val="1"/>
          <w:bCs w:val="1"/>
          <w:sz w:val="24"/>
          <w:szCs w:val="24"/>
          <w:rtl w:val="0"/>
        </w:rPr>
        <w:t xml:space="preserve">70–85%</w:t>
      </w:r>
      <w:r w:rsidDel="00000000" w:rsidR="00000000" w:rsidRPr="00000000">
        <w:rPr>
          <w:rFonts w:ascii="Calibri" w:cs="Calibri" w:eastAsia="Calibri" w:hAnsi="Calibri"/>
          <w:sz w:val="24"/>
          <w:szCs w:val="24"/>
          <w:rtl w:val="0"/>
        </w:rPr>
        <w:t xml:space="preserve"> of common technical vulnerabilities such as SQLi and XSS, while they perform substantially worse on context-dependent and business-logic issues. These findings justify prioritising automatable, technical vulnerabilities for the scanner.</w:t>
      </w:r>
    </w:p>
    <w:p w:rsidR="00000000" w:rsidDel="00000000" w:rsidP="00000000" w:rsidRDefault="00000000" w:rsidRPr="00000000" w14:paraId="0000004A">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Technical documentation and tools:</w:t>
      </w:r>
    </w:p>
    <w:p w:rsidR="00000000" w:rsidDel="00000000" w:rsidP="00000000" w:rsidRDefault="00000000" w:rsidRPr="00000000" w14:paraId="0000004B">
      <w:pPr>
        <w:numPr>
          <w:ilvl w:val="0"/>
          <w:numId w:val="13"/>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OWASP ZAP (Zed Attack Proxy)</w:t>
      </w:r>
      <w:r w:rsidDel="00000000" w:rsidR="00000000" w:rsidRPr="00000000">
        <w:rPr>
          <w:rFonts w:ascii="Calibri" w:cs="Calibri" w:eastAsia="Calibri" w:hAnsi="Calibri"/>
          <w:sz w:val="24"/>
          <w:szCs w:val="24"/>
          <w:rtl w:val="0"/>
        </w:rPr>
        <w:t xml:space="preserve"> — open-source scanner with API and scripting support; suitable for integration and automation.</w:t>
        <w:br w:type="textWrapping"/>
      </w:r>
    </w:p>
    <w:p w:rsidR="00000000" w:rsidDel="00000000" w:rsidP="00000000" w:rsidRDefault="00000000" w:rsidRPr="00000000" w14:paraId="0000004C">
      <w:pPr>
        <w:numPr>
          <w:ilvl w:val="0"/>
          <w:numId w:val="1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SQLMap</w:t>
      </w:r>
      <w:r w:rsidDel="00000000" w:rsidR="00000000" w:rsidRPr="00000000">
        <w:rPr>
          <w:rFonts w:ascii="Calibri" w:cs="Calibri" w:eastAsia="Calibri" w:hAnsi="Calibri"/>
          <w:sz w:val="24"/>
          <w:szCs w:val="24"/>
          <w:rtl w:val="0"/>
        </w:rPr>
        <w:t xml:space="preserve"> — mature CLI tool for automated SQL injection detection and exploitation with broad DBMS support.</w:t>
        <w:br w:type="textWrapping"/>
      </w:r>
    </w:p>
    <w:p w:rsidR="00000000" w:rsidDel="00000000" w:rsidP="00000000" w:rsidRDefault="00000000" w:rsidRPr="00000000" w14:paraId="0000004D">
      <w:pPr>
        <w:numPr>
          <w:ilvl w:val="0"/>
          <w:numId w:val="1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Burp Suite (Community)</w:t>
      </w:r>
      <w:r w:rsidDel="00000000" w:rsidR="00000000" w:rsidRPr="00000000">
        <w:rPr>
          <w:rFonts w:ascii="Calibri" w:cs="Calibri" w:eastAsia="Calibri" w:hAnsi="Calibri"/>
          <w:sz w:val="24"/>
          <w:szCs w:val="24"/>
          <w:rtl w:val="0"/>
        </w:rPr>
        <w:t xml:space="preserve"> — methodology reference (Community edition lacks full automation but informs detection design).</w:t>
        <w:br w:type="textWrapping"/>
      </w:r>
    </w:p>
    <w:p w:rsidR="00000000" w:rsidDel="00000000" w:rsidP="00000000" w:rsidRDefault="00000000" w:rsidRPr="00000000" w14:paraId="0000004E">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 environments:</w:t>
      </w:r>
    </w:p>
    <w:p w:rsidR="00000000" w:rsidDel="00000000" w:rsidP="00000000" w:rsidRDefault="00000000" w:rsidRPr="00000000" w14:paraId="0000004F">
      <w:pPr>
        <w:numPr>
          <w:ilvl w:val="0"/>
          <w:numId w:val="2"/>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DVWA (Damn Vulnerable Web Application)</w:t>
      </w:r>
      <w:r w:rsidDel="00000000" w:rsidR="00000000" w:rsidRPr="00000000">
        <w:rPr>
          <w:rFonts w:ascii="Calibri" w:cs="Calibri" w:eastAsia="Calibri" w:hAnsi="Calibri"/>
          <w:sz w:val="24"/>
          <w:szCs w:val="24"/>
          <w:rtl w:val="0"/>
        </w:rPr>
        <w:t xml:space="preserve"> — controlled environment with configurable security levels.</w:t>
        <w:br w:type="textWrapping"/>
      </w:r>
    </w:p>
    <w:p w:rsidR="00000000" w:rsidDel="00000000" w:rsidP="00000000" w:rsidRDefault="00000000" w:rsidRPr="00000000" w14:paraId="00000050">
      <w:pPr>
        <w:numPr>
          <w:ilvl w:val="0"/>
          <w:numId w:val="2"/>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OWASP Juice Shop</w:t>
      </w:r>
      <w:r w:rsidDel="00000000" w:rsidR="00000000" w:rsidRPr="00000000">
        <w:rPr>
          <w:rFonts w:ascii="Calibri" w:cs="Calibri" w:eastAsia="Calibri" w:hAnsi="Calibri"/>
          <w:sz w:val="24"/>
          <w:szCs w:val="24"/>
          <w:rtl w:val="0"/>
        </w:rPr>
        <w:t xml:space="preserve"> — realistic, production-like application with many embedded vulnerabilities.</w:t>
        <w:br w:type="textWrapping"/>
      </w:r>
    </w:p>
    <w:p w:rsidR="00000000" w:rsidDel="00000000" w:rsidP="00000000" w:rsidRDefault="00000000" w:rsidRPr="00000000" w14:paraId="00000051">
      <w:pPr>
        <w:numPr>
          <w:ilvl w:val="0"/>
          <w:numId w:val="2"/>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HackTheBox labs</w:t>
      </w:r>
      <w:r w:rsidDel="00000000" w:rsidR="00000000" w:rsidRPr="00000000">
        <w:rPr>
          <w:rFonts w:ascii="Calibri" w:cs="Calibri" w:eastAsia="Calibri" w:hAnsi="Calibri"/>
          <w:sz w:val="24"/>
          <w:szCs w:val="24"/>
          <w:rtl w:val="0"/>
        </w:rPr>
        <w:t xml:space="preserve"> — practical exercises that informed manual testing techniques and realistic exploitation scenarios.</w:t>
        <w:br w:type="textWrapping"/>
      </w:r>
    </w:p>
    <w:p w:rsidR="00000000" w:rsidDel="00000000" w:rsidP="00000000" w:rsidRDefault="00000000" w:rsidRPr="00000000" w14:paraId="0000005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initial research balances theory and practice; documentation from official tool projects and peer-reviewed references will be prioritised in subsequent stages.</w:t>
      </w:r>
      <w:r w:rsidDel="00000000" w:rsidR="00000000" w:rsidRPr="00000000">
        <w:rPr>
          <w:rtl w:val="0"/>
        </w:rPr>
      </w:r>
    </w:p>
    <w:p w:rsidR="00000000" w:rsidDel="00000000" w:rsidP="00000000" w:rsidRDefault="00000000" w:rsidRPr="00000000" w14:paraId="00000053">
      <w:pPr>
        <w:pStyle w:val="Heading2"/>
        <w:spacing w:after="0" w:before="40" w:line="240" w:lineRule="auto"/>
        <w:rPr>
          <w:rFonts w:ascii="Calibri" w:cs="Calibri" w:eastAsia="Calibri" w:hAnsi="Calibri"/>
          <w:color w:val="2e75b5"/>
          <w:sz w:val="26"/>
          <w:szCs w:val="26"/>
        </w:rPr>
      </w:pPr>
      <w:bookmarkStart w:colFirst="0" w:colLast="0" w:name="_epb3nm3wvd16" w:id="12"/>
      <w:bookmarkEnd w:id="12"/>
      <w:r w:rsidDel="00000000" w:rsidR="00000000" w:rsidRPr="00000000">
        <w:rPr>
          <w:rFonts w:ascii="Calibri" w:cs="Calibri" w:eastAsia="Calibri" w:hAnsi="Calibri"/>
          <w:color w:val="2e75b5"/>
          <w:sz w:val="26"/>
          <w:szCs w:val="26"/>
          <w:rtl w:val="0"/>
        </w:rPr>
        <w:t xml:space="preserve">3.3 Artefact (proposed)</w:t>
      </w:r>
    </w:p>
    <w:p w:rsidR="00000000" w:rsidDel="00000000" w:rsidP="00000000" w:rsidRDefault="00000000" w:rsidRPr="00000000" w14:paraId="0000005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Analysis Phase involves studying OWASP vulnerability definitions, analyzing existing scanning tools (ZAP, Burp Suite, Acunetix), and identifying automatable detection patterns. Requirements gathering focuses on functional needs (what vulnerabilities to detect, reporting format) and non-functional requirements (performance, accuracy, usability).</w:t>
      </w:r>
    </w:p>
    <w:p w:rsidR="00000000" w:rsidDel="00000000" w:rsidP="00000000" w:rsidRDefault="00000000" w:rsidRPr="00000000" w14:paraId="0000005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Phase encompasses system architecture planning and defining how components interact. The architecture follows a three-tier model: presentation layer (React frontend), application layer (Flask/FastAPI backend with the scanning engine), and data layer (PostgreSQL for scan results). API design prioritizes RESTful principles to ensure maintainability and support potential future integrations.</w:t>
      </w:r>
    </w:p>
    <w:p w:rsidR="00000000" w:rsidDel="00000000" w:rsidP="00000000" w:rsidRDefault="00000000" w:rsidRPr="00000000" w14:paraId="0000005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Implementation Phase adopts an MVP (Minimum Viable Product) approach. The first sprint implements SQL injection detection as a proof-of-concept, establishing the scanning workflow and reporting pipeline. Subsequent sprints add XSS detection, security misconfiguration checks, and outdated component identification. Each module undergoes unit testing prior to integration.</w:t>
      </w:r>
    </w:p>
    <w:p w:rsidR="00000000" w:rsidDel="00000000" w:rsidP="00000000" w:rsidRDefault="00000000" w:rsidRPr="00000000" w14:paraId="0000005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Phase evaluates both technical functionality and effectiveness against the project’s research objectives. Technical testing verifies that the scanner correctly identifies known vulnerabilities in DVWA and Juice Shop. Effectiveness testing compares automated results with manual penetration testing outcomes, measuring true positives, false positives, and false negatives.</w:t>
      </w:r>
    </w:p>
    <w:p w:rsidR="00000000" w:rsidDel="00000000" w:rsidP="00000000" w:rsidRDefault="00000000" w:rsidRPr="00000000" w14:paraId="00000058">
      <w:pPr>
        <w:pStyle w:val="Heading1"/>
        <w:keepNext w:val="0"/>
        <w:keepLines w:val="0"/>
        <w:spacing w:before="480" w:line="240" w:lineRule="auto"/>
        <w:rPr>
          <w:rFonts w:ascii="Calibri" w:cs="Calibri" w:eastAsia="Calibri" w:hAnsi="Calibri"/>
          <w:sz w:val="28"/>
          <w:szCs w:val="28"/>
        </w:rPr>
      </w:pPr>
      <w:bookmarkStart w:colFirst="0" w:colLast="0" w:name="_f17eer816yo0" w:id="13"/>
      <w:bookmarkEnd w:id="13"/>
      <w:r w:rsidDel="00000000" w:rsidR="00000000" w:rsidRPr="00000000">
        <w:rPr>
          <w:rFonts w:ascii="Calibri" w:cs="Calibri" w:eastAsia="Calibri" w:hAnsi="Calibri"/>
          <w:sz w:val="28"/>
          <w:szCs w:val="28"/>
          <w:rtl w:val="0"/>
        </w:rPr>
        <w:t xml:space="preserve">Tool Selection and Justification</w:t>
      </w:r>
    </w:p>
    <w:p w:rsidR="00000000" w:rsidDel="00000000" w:rsidP="00000000" w:rsidRDefault="00000000" w:rsidRPr="00000000" w14:paraId="00000059">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 (Flask/FastAPI) was selected for backend development due to Python’s extensive ecosystem of security-focused libraries (requests, beautifulsoup4, scapy) and Flask’s lightweight, flexible architecture. FastAPI offers superior performance and automatic API documentation; the final choice between Flask and FastAPI will depend on early prototyping results. Both frameworks support asynchronous operations required for concurrent vulnerability scanning.</w:t>
      </w:r>
    </w:p>
    <w:p w:rsidR="00000000" w:rsidDel="00000000" w:rsidP="00000000" w:rsidRDefault="00000000" w:rsidRPr="00000000" w14:paraId="0000005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React is chosen for the frontend because its component-based architecture enables modular UI development. The scan results dashboard requires real-time updates during scanning, which React handles efficiently through state management. Tailwind CSS is selected to enable rapid styling without the overhead of extensive custom CSS.</w:t>
      </w:r>
    </w:p>
    <w:p w:rsidR="00000000" w:rsidDel="00000000" w:rsidP="00000000" w:rsidRDefault="00000000" w:rsidRPr="00000000" w14:paraId="0000005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OWASP ZAP integration provides battle-tested vulnerability detection via its Python API (zaproxy). ZAP supports passive and active scanning, spider functionality, and detailed reporting. Alternative tools such as Burp Suite Pro were excluded due to licensing costs (≈ £400+ annually), which are inappropriate for an academic project.</w:t>
      </w:r>
    </w:p>
    <w:p w:rsidR="00000000" w:rsidDel="00000000" w:rsidP="00000000" w:rsidRDefault="00000000" w:rsidRPr="00000000" w14:paraId="0000005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SQLMap specializes in SQL injection detection and exploitation, supporting MySQL, PostgreSQL, SQL Server, and other database systems. Its command-line interface integrates smoothly into Python scripts, and its wide range of detection techniques covers error-based, boolean-based blind, time-based blind, and UNION query injections.</w:t>
      </w:r>
    </w:p>
    <w:p w:rsidR="00000000" w:rsidDel="00000000" w:rsidP="00000000" w:rsidRDefault="00000000" w:rsidRPr="00000000" w14:paraId="0000005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PostgreSQL is chosen to store scan results, user configurations, and historical data for trend analysis. Its JSON capabilities permit flexible storage of heterogeneous vulnerability data structures without forcing rigid schema constraints.</w:t>
      </w:r>
    </w:p>
    <w:p w:rsidR="00000000" w:rsidDel="00000000" w:rsidP="00000000" w:rsidRDefault="00000000" w:rsidRPr="00000000" w14:paraId="0000005E">
      <w:pPr>
        <w:pStyle w:val="Heading1"/>
        <w:keepNext w:val="0"/>
        <w:keepLines w:val="0"/>
        <w:spacing w:before="480" w:line="240" w:lineRule="auto"/>
        <w:rPr>
          <w:rFonts w:ascii="Calibri" w:cs="Calibri" w:eastAsia="Calibri" w:hAnsi="Calibri"/>
          <w:sz w:val="28"/>
          <w:szCs w:val="28"/>
        </w:rPr>
      </w:pPr>
      <w:bookmarkStart w:colFirst="0" w:colLast="0" w:name="_ybrnp9rks3ce" w:id="14"/>
      <w:bookmarkEnd w:id="14"/>
      <w:r w:rsidDel="00000000" w:rsidR="00000000" w:rsidRPr="00000000">
        <w:rPr>
          <w:rFonts w:ascii="Calibri" w:cs="Calibri" w:eastAsia="Calibri" w:hAnsi="Calibri"/>
          <w:sz w:val="28"/>
          <w:szCs w:val="28"/>
          <w:rtl w:val="0"/>
        </w:rPr>
        <w:t xml:space="preserve">Planned Testing Strategy</w:t>
      </w:r>
    </w:p>
    <w:p w:rsidR="00000000" w:rsidDel="00000000" w:rsidP="00000000" w:rsidRDefault="00000000" w:rsidRPr="00000000" w14:paraId="0000005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will be conducted on three deliberately vulnerable applications hosted in isolated Docker containers to eliminate any risk to production systems.</w:t>
      </w:r>
    </w:p>
    <w:p w:rsidR="00000000" w:rsidDel="00000000" w:rsidP="00000000" w:rsidRDefault="00000000" w:rsidRPr="00000000" w14:paraId="00000060">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DVWA (Damn Vulnerable Web Application) offers three security levels—low, medium, and high—allowing evaluation of scanner effectiveness across varying defensive measures. Low security provides no protections, medium implements basic input validation, and high employs more advanced defenses. Testing across all levels reveals scanner limitations and strengths.</w:t>
      </w:r>
    </w:p>
    <w:p w:rsidR="00000000" w:rsidDel="00000000" w:rsidP="00000000" w:rsidRDefault="00000000" w:rsidRPr="00000000" w14:paraId="0000006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OWASP Juice Shop contains over 100 challenges that represent modern web vulnerabilities in a realistic e-commerce context. Unlike DVWA’s didactic format, Juice Shop mimics production applications, testing whether the scanner can identify vulnerabilities in authentic-looking code.</w:t>
      </w:r>
    </w:p>
    <w:p w:rsidR="00000000" w:rsidDel="00000000" w:rsidP="00000000" w:rsidRDefault="00000000" w:rsidRPr="00000000" w14:paraId="0000006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 Test Application (if time permits) will include specific edge cases and vulnerability variations discovered during research, ensuring more comprehensive detection coverage.</w:t>
      </w:r>
    </w:p>
    <w:p w:rsidR="00000000" w:rsidDel="00000000" w:rsidP="00000000" w:rsidRDefault="00000000" w:rsidRPr="00000000" w14:paraId="00000063">
      <w:pPr>
        <w:pStyle w:val="Heading1"/>
        <w:keepNext w:val="0"/>
        <w:keepLines w:val="0"/>
        <w:spacing w:before="480" w:line="240" w:lineRule="auto"/>
        <w:rPr>
          <w:rFonts w:ascii="Calibri" w:cs="Calibri" w:eastAsia="Calibri" w:hAnsi="Calibri"/>
          <w:sz w:val="28"/>
          <w:szCs w:val="28"/>
        </w:rPr>
      </w:pPr>
      <w:bookmarkStart w:colFirst="0" w:colLast="0" w:name="_lmd3n9nac2l8" w:id="15"/>
      <w:bookmarkEnd w:id="15"/>
      <w:r w:rsidDel="00000000" w:rsidR="00000000" w:rsidRPr="00000000">
        <w:rPr>
          <w:rFonts w:ascii="Calibri" w:cs="Calibri" w:eastAsia="Calibri" w:hAnsi="Calibri"/>
          <w:sz w:val="28"/>
          <w:szCs w:val="28"/>
          <w:rtl w:val="0"/>
        </w:rPr>
        <w:t xml:space="preserve">Testing Metrics and Comparison</w:t>
      </w:r>
    </w:p>
    <w:p w:rsidR="00000000" w:rsidDel="00000000" w:rsidP="00000000" w:rsidRDefault="00000000" w:rsidRPr="00000000" w14:paraId="0000006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Scanner effectiveness will be quantified using established security testing metrics:</w:t>
      </w:r>
    </w:p>
    <w:p w:rsidR="00000000" w:rsidDel="00000000" w:rsidP="00000000" w:rsidRDefault="00000000" w:rsidRPr="00000000" w14:paraId="00000065">
      <w:pPr>
        <w:numPr>
          <w:ilvl w:val="0"/>
          <w:numId w:val="15"/>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True Positive Rate: Percentage of actual vulnerabilities correctly identified.</w:t>
        <w:br w:type="textWrapping"/>
      </w:r>
    </w:p>
    <w:p w:rsidR="00000000" w:rsidDel="00000000" w:rsidP="00000000" w:rsidRDefault="00000000" w:rsidRPr="00000000" w14:paraId="00000066">
      <w:pPr>
        <w:numPr>
          <w:ilvl w:val="0"/>
          <w:numId w:val="1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False Positive Rate: Percentage of reported vulnerabilities that do not exist.</w:t>
        <w:br w:type="textWrapping"/>
      </w:r>
    </w:p>
    <w:p w:rsidR="00000000" w:rsidDel="00000000" w:rsidP="00000000" w:rsidRDefault="00000000" w:rsidRPr="00000000" w14:paraId="00000067">
      <w:pPr>
        <w:numPr>
          <w:ilvl w:val="0"/>
          <w:numId w:val="1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False Negative Rate: Percentage of actual vulnerabilities that were missed.</w:t>
        <w:br w:type="textWrapping"/>
      </w:r>
    </w:p>
    <w:p w:rsidR="00000000" w:rsidDel="00000000" w:rsidP="00000000" w:rsidRDefault="00000000" w:rsidRPr="00000000" w14:paraId="00000068">
      <w:pPr>
        <w:numPr>
          <w:ilvl w:val="0"/>
          <w:numId w:val="1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Detection Time: Average time required to complete a full scan.</w:t>
        <w:br w:type="textWrapping"/>
      </w:r>
    </w:p>
    <w:p w:rsidR="00000000" w:rsidDel="00000000" w:rsidP="00000000" w:rsidRDefault="00000000" w:rsidRPr="00000000" w14:paraId="00000069">
      <w:pPr>
        <w:numPr>
          <w:ilvl w:val="0"/>
          <w:numId w:val="15"/>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Resource Usage: CPU and memory consumption observed during scanning.</w:t>
        <w:br w:type="textWrapping"/>
      </w:r>
    </w:p>
    <w:p w:rsidR="00000000" w:rsidDel="00000000" w:rsidP="00000000" w:rsidRDefault="00000000" w:rsidRPr="00000000" w14:paraId="0000006A">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penetration testing—using techniques and methods practiced on HackTheBox—will establish baseline results for comparison. The same applications scanned automatically will undergo manual testing; results will be documented and compared to directly address the academic question of automated vs. manual testing effectiveness.</w:t>
      </w:r>
    </w:p>
    <w:p w:rsidR="00000000" w:rsidDel="00000000" w:rsidP="00000000" w:rsidRDefault="00000000" w:rsidRPr="00000000" w14:paraId="0000006B">
      <w:pPr>
        <w:pStyle w:val="Heading1"/>
        <w:keepNext w:val="0"/>
        <w:keepLines w:val="0"/>
        <w:spacing w:before="480" w:line="240" w:lineRule="auto"/>
        <w:rPr>
          <w:rFonts w:ascii="Calibri" w:cs="Calibri" w:eastAsia="Calibri" w:hAnsi="Calibri"/>
          <w:sz w:val="26"/>
          <w:szCs w:val="26"/>
        </w:rPr>
      </w:pPr>
      <w:bookmarkStart w:colFirst="0" w:colLast="0" w:name="_afpczwnt1c9r" w:id="16"/>
      <w:bookmarkEnd w:id="16"/>
      <w:r w:rsidDel="00000000" w:rsidR="00000000" w:rsidRPr="00000000">
        <w:rPr>
          <w:rFonts w:ascii="Calibri" w:cs="Calibri" w:eastAsia="Calibri" w:hAnsi="Calibri"/>
          <w:sz w:val="26"/>
          <w:szCs w:val="26"/>
          <w:rtl w:val="0"/>
        </w:rPr>
        <w:t xml:space="preserve">Ethical and Legal Considerations</w:t>
      </w:r>
    </w:p>
    <w:p w:rsidR="00000000" w:rsidDel="00000000" w:rsidP="00000000" w:rsidRDefault="00000000" w:rsidRPr="00000000" w14:paraId="0000006C">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testing will be performed exclusively on intentionally vulnerable applications designed for security training. The scanner will present prominent warnings regarding the legal implications of unauthorized scanning. Terms of service will require users to confirm authorization before initiating scans, and usage logs will record all scanning activity for accountability.</w:t>
      </w:r>
    </w:p>
    <w:p w:rsidR="00000000" w:rsidDel="00000000" w:rsidP="00000000" w:rsidRDefault="00000000" w:rsidRPr="00000000" w14:paraId="0000006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br w:type="textWrapping"/>
      </w:r>
      <w:r w:rsidDel="00000000" w:rsidR="00000000" w:rsidRPr="00000000">
        <w:rPr>
          <w:rFonts w:ascii="Calibri" w:cs="Calibri" w:eastAsia="Calibri" w:hAnsi="Calibri"/>
          <w:color w:val="2e75b5"/>
          <w:sz w:val="26"/>
          <w:szCs w:val="26"/>
          <w:rtl w:val="0"/>
        </w:rPr>
        <w:t xml:space="preserve">3.4 Plan/Schedule</w:t>
      </w:r>
      <w:r w:rsidDel="00000000" w:rsidR="00000000" w:rsidRPr="00000000">
        <w:rPr>
          <w:rFonts w:ascii="Calibri" w:cs="Calibri" w:eastAsia="Calibri" w:hAnsi="Calibri"/>
          <w:sz w:val="24"/>
          <w:szCs w:val="24"/>
          <w:rtl w:val="0"/>
        </w:rPr>
        <w:br w:type="textWrapping"/>
        <w:t xml:space="preserve">Phase 1: Research and Analysis (October–November, 8 weeks)</w:t>
      </w:r>
    </w:p>
    <w:p w:rsidR="00000000" w:rsidDel="00000000" w:rsidP="00000000" w:rsidRDefault="00000000" w:rsidRPr="00000000" w14:paraId="0000006E">
      <w:pPr>
        <w:numPr>
          <w:ilvl w:val="0"/>
          <w:numId w:val="1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1–2: Conduct a comprehensive literature review on the OWASP Top 10.</w:t>
        <w:br w:type="textWrapping"/>
      </w:r>
    </w:p>
    <w:p w:rsidR="00000000" w:rsidDel="00000000" w:rsidP="00000000" w:rsidRDefault="00000000" w:rsidRPr="00000000" w14:paraId="0000006F">
      <w:pPr>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3–4: Analyze existing web vulnerability scanning tools.</w:t>
        <w:br w:type="textWrapping"/>
      </w:r>
    </w:p>
    <w:p w:rsidR="00000000" w:rsidDel="00000000" w:rsidP="00000000" w:rsidRDefault="00000000" w:rsidRPr="00000000" w14:paraId="00000070">
      <w:pPr>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5–6: Define functional and non-functional requirements.</w:t>
        <w:br w:type="textWrapping"/>
      </w:r>
    </w:p>
    <w:p w:rsidR="00000000" w:rsidDel="00000000" w:rsidP="00000000" w:rsidRDefault="00000000" w:rsidRPr="00000000" w14:paraId="00000071">
      <w:pPr>
        <w:numPr>
          <w:ilvl w:val="0"/>
          <w:numId w:val="1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7–8: Develop system design documentation.</w:t>
        <w:br w:type="textWrapping"/>
      </w:r>
    </w:p>
    <w:p w:rsidR="00000000" w:rsidDel="00000000" w:rsidP="00000000" w:rsidRDefault="00000000" w:rsidRPr="00000000" w14:paraId="00000072">
      <w:pPr>
        <w:numPr>
          <w:ilvl w:val="0"/>
          <w:numId w:val="1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Deliverable: Project Proposal Report.</w:t>
        <w:br w:type="textWrapping"/>
      </w:r>
    </w:p>
    <w:p w:rsidR="00000000" w:rsidDel="00000000" w:rsidP="00000000" w:rsidRDefault="00000000" w:rsidRPr="00000000" w14:paraId="0000007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Phase 2: Design (December, 4 weeks)</w:t>
      </w:r>
    </w:p>
    <w:p w:rsidR="00000000" w:rsidDel="00000000" w:rsidP="00000000" w:rsidRDefault="00000000" w:rsidRPr="00000000" w14:paraId="00000074">
      <w:pPr>
        <w:numPr>
          <w:ilvl w:val="0"/>
          <w:numId w:val="9"/>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9–10: Design overall system architecture.</w:t>
        <w:br w:type="textWrapping"/>
      </w:r>
    </w:p>
    <w:p w:rsidR="00000000" w:rsidDel="00000000" w:rsidP="00000000" w:rsidRDefault="00000000" w:rsidRPr="00000000" w14:paraId="00000075">
      <w:pPr>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 11: Create database schema.</w:t>
        <w:br w:type="textWrapping"/>
      </w:r>
    </w:p>
    <w:p w:rsidR="00000000" w:rsidDel="00000000" w:rsidP="00000000" w:rsidRDefault="00000000" w:rsidRPr="00000000" w14:paraId="00000076">
      <w:pPr>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 12: Develop API structure and UI mockups.</w:t>
        <w:br w:type="textWrapping"/>
      </w:r>
    </w:p>
    <w:p w:rsidR="00000000" w:rsidDel="00000000" w:rsidP="00000000" w:rsidRDefault="00000000" w:rsidRPr="00000000" w14:paraId="00000077">
      <w:pPr>
        <w:numPr>
          <w:ilvl w:val="0"/>
          <w:numId w:val="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Deliverable: Design and Test Plan.</w:t>
        <w:br w:type="textWrapping"/>
      </w:r>
    </w:p>
    <w:p w:rsidR="00000000" w:rsidDel="00000000" w:rsidP="00000000" w:rsidRDefault="00000000" w:rsidRPr="00000000" w14:paraId="0000007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Phase 3: Implementation (January–February, 8 weeks)</w:t>
      </w:r>
    </w:p>
    <w:p w:rsidR="00000000" w:rsidDel="00000000" w:rsidP="00000000" w:rsidRDefault="00000000" w:rsidRPr="00000000" w14:paraId="00000079">
      <w:pPr>
        <w:numPr>
          <w:ilvl w:val="0"/>
          <w:numId w:val="3"/>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13–14: Set up backend framework and core infrastructure.</w:t>
        <w:br w:type="textWrapping"/>
      </w:r>
    </w:p>
    <w:p w:rsidR="00000000" w:rsidDel="00000000" w:rsidP="00000000" w:rsidRDefault="00000000" w:rsidRPr="00000000" w14:paraId="0000007A">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15–16: Implement first vulnerability module (SQL Injection).</w:t>
        <w:br w:type="textWrapping"/>
      </w:r>
    </w:p>
    <w:p w:rsidR="00000000" w:rsidDel="00000000" w:rsidP="00000000" w:rsidRDefault="00000000" w:rsidRPr="00000000" w14:paraId="0000007B">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17–18: Develop additional modules (XSS, Security Misconfigurations).</w:t>
        <w:br w:type="textWrapping"/>
      </w:r>
    </w:p>
    <w:p w:rsidR="00000000" w:rsidDel="00000000" w:rsidP="00000000" w:rsidRDefault="00000000" w:rsidRPr="00000000" w14:paraId="0000007C">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19–20: Build frontend dashboard and integrate modules.</w:t>
        <w:br w:type="textWrapping"/>
      </w:r>
    </w:p>
    <w:p w:rsidR="00000000" w:rsidDel="00000000" w:rsidP="00000000" w:rsidRDefault="00000000" w:rsidRPr="00000000" w14:paraId="0000007D">
      <w:pPr>
        <w:numPr>
          <w:ilvl w:val="0"/>
          <w:numId w:val="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Deliverable: Functional Prototype.</w:t>
        <w:br w:type="textWrapping"/>
      </w:r>
    </w:p>
    <w:p w:rsidR="00000000" w:rsidDel="00000000" w:rsidP="00000000" w:rsidRDefault="00000000" w:rsidRPr="00000000" w14:paraId="0000007E">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Phase 4: Testing and Evaluation (March, 4 weeks)</w:t>
      </w:r>
    </w:p>
    <w:p w:rsidR="00000000" w:rsidDel="00000000" w:rsidP="00000000" w:rsidRDefault="00000000" w:rsidRPr="00000000" w14:paraId="0000007F">
      <w:pPr>
        <w:numPr>
          <w:ilvl w:val="0"/>
          <w:numId w:val="6"/>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 21: Conduct testing using DVWA (Damn Vulnerable Web Application).</w:t>
        <w:br w:type="textWrapping"/>
      </w:r>
    </w:p>
    <w:p w:rsidR="00000000" w:rsidDel="00000000" w:rsidP="00000000" w:rsidRDefault="00000000" w:rsidRPr="00000000" w14:paraId="00000080">
      <w:pPr>
        <w:numPr>
          <w:ilvl w:val="0"/>
          <w:numId w:val="6"/>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 22: Perform testing on OWASP Juice Shop.</w:t>
        <w:br w:type="textWrapping"/>
      </w:r>
    </w:p>
    <w:p w:rsidR="00000000" w:rsidDel="00000000" w:rsidP="00000000" w:rsidRDefault="00000000" w:rsidRPr="00000000" w14:paraId="00000081">
      <w:pPr>
        <w:numPr>
          <w:ilvl w:val="0"/>
          <w:numId w:val="6"/>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 23: Compare results with manual penetration testing outcomes.</w:t>
        <w:br w:type="textWrapping"/>
      </w:r>
    </w:p>
    <w:p w:rsidR="00000000" w:rsidDel="00000000" w:rsidP="00000000" w:rsidRDefault="00000000" w:rsidRPr="00000000" w14:paraId="00000082">
      <w:pPr>
        <w:numPr>
          <w:ilvl w:val="0"/>
          <w:numId w:val="6"/>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 24: Analyze test results and evaluate effectiveness.</w:t>
        <w:br w:type="textWrapping"/>
      </w:r>
    </w:p>
    <w:p w:rsidR="00000000" w:rsidDel="00000000" w:rsidP="00000000" w:rsidRDefault="00000000" w:rsidRPr="00000000" w14:paraId="00000083">
      <w:pPr>
        <w:numPr>
          <w:ilvl w:val="0"/>
          <w:numId w:val="6"/>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Deliverable: Test Results and Analysis Report.</w:t>
        <w:br w:type="textWrapping"/>
      </w:r>
    </w:p>
    <w:p w:rsidR="00000000" w:rsidDel="00000000" w:rsidP="00000000" w:rsidRDefault="00000000" w:rsidRPr="00000000" w14:paraId="0000008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Phase 5: Documentation (April–May, 6 weeks)</w:t>
      </w:r>
    </w:p>
    <w:p w:rsidR="00000000" w:rsidDel="00000000" w:rsidP="00000000" w:rsidRDefault="00000000" w:rsidRPr="00000000" w14:paraId="00000085">
      <w:pPr>
        <w:numPr>
          <w:ilvl w:val="0"/>
          <w:numId w:val="4"/>
        </w:numPr>
        <w:spacing w:after="0" w:afterAutospacing="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25–26: Finalize literature review.</w:t>
        <w:br w:type="textWrapping"/>
      </w:r>
    </w:p>
    <w:p w:rsidR="00000000" w:rsidDel="00000000" w:rsidP="00000000" w:rsidRDefault="00000000" w:rsidRPr="00000000" w14:paraId="00000086">
      <w:pPr>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Weeks 27–28: Write the final project report.</w:t>
        <w:br w:type="textWrapping"/>
      </w:r>
    </w:p>
    <w:p w:rsidR="00000000" w:rsidDel="00000000" w:rsidP="00000000" w:rsidRDefault="00000000" w:rsidRPr="00000000" w14:paraId="00000087">
      <w:pPr>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 29: Complete the Professionalism section.</w:t>
        <w:br w:type="textWrapping"/>
      </w:r>
    </w:p>
    <w:p w:rsidR="00000000" w:rsidDel="00000000" w:rsidP="00000000" w:rsidRDefault="00000000" w:rsidRPr="00000000" w14:paraId="00000088">
      <w:pPr>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 30: Conduct critical evaluation and proofreading.</w:t>
        <w:br w:type="textWrapping"/>
      </w:r>
    </w:p>
    <w:p w:rsidR="00000000" w:rsidDel="00000000" w:rsidP="00000000" w:rsidRDefault="00000000" w:rsidRPr="00000000" w14:paraId="00000089">
      <w:pPr>
        <w:numPr>
          <w:ilvl w:val="0"/>
          <w:numId w:val="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Deliverable: Final Report and Artefact.</w:t>
      </w:r>
    </w:p>
    <w:p w:rsidR="00000000" w:rsidDel="00000000" w:rsidP="00000000" w:rsidRDefault="00000000" w:rsidRPr="00000000" w14:paraId="0000008A">
      <w:pPr>
        <w:pStyle w:val="Heading3"/>
        <w:keepNext w:val="0"/>
        <w:keepLines w:val="0"/>
        <w:spacing w:before="280" w:line="240" w:lineRule="auto"/>
        <w:rPr>
          <w:rFonts w:ascii="Calibri" w:cs="Calibri" w:eastAsia="Calibri" w:hAnsi="Calibri"/>
          <w:color w:val="000000"/>
          <w:sz w:val="26"/>
          <w:szCs w:val="26"/>
        </w:rPr>
      </w:pPr>
      <w:bookmarkStart w:colFirst="0" w:colLast="0" w:name="_1k1caqz6dfao" w:id="17"/>
      <w:bookmarkEnd w:id="17"/>
      <w:r w:rsidDel="00000000" w:rsidR="00000000" w:rsidRPr="00000000">
        <w:rPr>
          <w:rFonts w:ascii="Calibri" w:cs="Calibri" w:eastAsia="Calibri" w:hAnsi="Calibri"/>
          <w:color w:val="000000"/>
          <w:sz w:val="26"/>
          <w:szCs w:val="26"/>
          <w:rtl w:val="0"/>
        </w:rPr>
        <w:t xml:space="preserve">Risk Management</w:t>
      </w:r>
    </w:p>
    <w:p w:rsidR="00000000" w:rsidDel="00000000" w:rsidP="00000000" w:rsidRDefault="00000000" w:rsidRPr="00000000" w14:paraId="0000008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1: Tool Integration Challenges</w:t>
      </w:r>
    </w:p>
    <w:p w:rsidR="00000000" w:rsidDel="00000000" w:rsidP="00000000" w:rsidRDefault="00000000" w:rsidRPr="00000000" w14:paraId="0000008C">
      <w:pPr>
        <w:numPr>
          <w:ilvl w:val="0"/>
          <w:numId w:val="1"/>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Mitigation:</w:t>
      </w:r>
      <w:r w:rsidDel="00000000" w:rsidR="00000000" w:rsidRPr="00000000">
        <w:rPr>
          <w:rFonts w:ascii="Calibri" w:cs="Calibri" w:eastAsia="Calibri" w:hAnsi="Calibri"/>
          <w:sz w:val="24"/>
          <w:szCs w:val="24"/>
          <w:rtl w:val="0"/>
        </w:rPr>
        <w:t xml:space="preserve"> Perform early testing of APIs and maintain fallback options for alternative tools.</w:t>
      </w:r>
    </w:p>
    <w:p w:rsidR="00000000" w:rsidDel="00000000" w:rsidP="00000000" w:rsidRDefault="00000000" w:rsidRPr="00000000" w14:paraId="0000008D">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2: Insufficient Testing Data</w:t>
      </w:r>
    </w:p>
    <w:p w:rsidR="00000000" w:rsidDel="00000000" w:rsidP="00000000" w:rsidRDefault="00000000" w:rsidRPr="00000000" w14:paraId="0000008E">
      <w:pPr>
        <w:numPr>
          <w:ilvl w:val="0"/>
          <w:numId w:val="5"/>
        </w:numPr>
        <w:spacing w:after="24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Mitigation:</w:t>
      </w:r>
      <w:r w:rsidDel="00000000" w:rsidR="00000000" w:rsidRPr="00000000">
        <w:rPr>
          <w:rFonts w:ascii="Calibri" w:cs="Calibri" w:eastAsia="Calibri" w:hAnsi="Calibri"/>
          <w:sz w:val="24"/>
          <w:szCs w:val="24"/>
          <w:rtl w:val="0"/>
        </w:rPr>
        <w:t xml:space="preserve"> Utilize multiple vulnerable web applications and generate synthetic test cases to ensure coverage.</w:t>
      </w:r>
    </w:p>
    <w:p w:rsidR="00000000" w:rsidDel="00000000" w:rsidP="00000000" w:rsidRDefault="00000000" w:rsidRPr="00000000" w14:paraId="0000008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3: Time Constraints</w:t>
      </w:r>
    </w:p>
    <w:p w:rsidR="00000000" w:rsidDel="00000000" w:rsidP="00000000" w:rsidRDefault="00000000" w:rsidRPr="00000000" w14:paraId="00000090">
      <w:pPr>
        <w:numPr>
          <w:ilvl w:val="0"/>
          <w:numId w:val="7"/>
        </w:numPr>
        <w:spacing w:after="240" w:before="240" w:line="240" w:lineRule="auto"/>
        <w:ind w:left="720" w:hanging="360"/>
        <w:rPr>
          <w:rFonts w:ascii="Calibri" w:cs="Calibri" w:eastAsia="Calibri" w:hAnsi="Calibri"/>
          <w:sz w:val="24"/>
          <w:szCs w:val="24"/>
        </w:rPr>
        <w:sectPr>
          <w:pgSz w:h="16834" w:w="11909" w:orient="portrait"/>
          <w:pgMar w:bottom="1440" w:top="1440" w:left="1440" w:right="1440" w:header="720" w:footer="720"/>
          <w:pgNumType w:start="1"/>
        </w:sectPr>
      </w:pPr>
      <w:r w:rsidDel="00000000" w:rsidR="00000000" w:rsidRPr="00000000">
        <w:rPr>
          <w:rFonts w:ascii="Calibri" w:cs="Calibri" w:eastAsia="Calibri" w:hAnsi="Calibri"/>
          <w:i w:val="1"/>
          <w:iCs w:val="1"/>
          <w:sz w:val="24"/>
          <w:szCs w:val="24"/>
          <w:rtl w:val="0"/>
        </w:rPr>
        <w:t xml:space="preserve">Mitigation:</w:t>
      </w:r>
      <w:r w:rsidDel="00000000" w:rsidR="00000000" w:rsidRPr="00000000">
        <w:rPr>
          <w:rFonts w:ascii="Calibri" w:cs="Calibri" w:eastAsia="Calibri" w:hAnsi="Calibri"/>
          <w:sz w:val="24"/>
          <w:szCs w:val="24"/>
          <w:rtl w:val="0"/>
        </w:rPr>
        <w:t xml:space="preserve"> Follow a prioritized feature list and adopt an MVP (Minimum Viable Product) development approach.</w:t>
      </w:r>
      <w:r w:rsidDel="00000000" w:rsidR="00000000" w:rsidRPr="00000000">
        <w:rPr>
          <w:rtl w:val="0"/>
        </w:rPr>
      </w:r>
    </w:p>
    <w:p w:rsidR="00000000" w:rsidDel="00000000" w:rsidP="00000000" w:rsidRDefault="00000000" w:rsidRPr="00000000" w14:paraId="00000091">
      <w:pPr>
        <w:pStyle w:val="Heading2"/>
        <w:spacing w:after="0" w:before="40" w:line="240" w:lineRule="auto"/>
        <w:rPr>
          <w:rFonts w:ascii="Calibri" w:cs="Calibri" w:eastAsia="Calibri" w:hAnsi="Calibri"/>
          <w:color w:val="2e75b5"/>
          <w:sz w:val="26"/>
          <w:szCs w:val="26"/>
        </w:rPr>
      </w:pPr>
      <w:bookmarkStart w:colFirst="0" w:colLast="0" w:name="_577lmvom1fp" w:id="18"/>
      <w:bookmarkEnd w:id="18"/>
      <w:r w:rsidDel="00000000" w:rsidR="00000000" w:rsidRPr="00000000">
        <w:rPr>
          <w:rFonts w:ascii="Calibri" w:cs="Calibri" w:eastAsia="Calibri" w:hAnsi="Calibri"/>
          <w:color w:val="2e75b5"/>
          <w:sz w:val="26"/>
          <w:szCs w:val="26"/>
          <w:rtl w:val="0"/>
        </w:rPr>
        <w:t xml:space="preserve">3.5 References</w:t>
      </w:r>
    </w:p>
    <w:p w:rsidR="00000000" w:rsidDel="00000000" w:rsidP="00000000" w:rsidRDefault="00000000" w:rsidRPr="00000000" w14:paraId="00000092">
      <w:pPr>
        <w:spacing w:after="120" w:before="12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Below, see specific Harvard-style citations for HTB, university referencing, and a YouTube Harvard video tutorial.</w:t>
      </w:r>
    </w:p>
    <w:p w:rsidR="00000000" w:rsidDel="00000000" w:rsidP="00000000" w:rsidRDefault="00000000" w:rsidRPr="00000000" w14:paraId="00000093">
      <w:pPr>
        <w:pBdr>
          <w:top w:color="auto" w:space="0" w:sz="0" w:val="none"/>
          <w:bottom w:color="auto" w:space="0" w:sz="0" w:val="none"/>
          <w:between w:color="auto" w:space="0" w:sz="0" w:val="none"/>
        </w:pBd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OWASP Foundation (2021) OWASP Top Ten [Online]. Available at: </w:t>
      </w:r>
      <w:r w:rsidDel="00000000" w:rsidR="00000000" w:rsidRPr="00000000">
        <w:fldChar w:fldCharType="begin"/>
        <w:instrText xml:space="preserve"> HYPERLINK "https://owasp.org/www-project-top-ten/" </w:instrText>
        <w:fldChar w:fldCharType="separate"/>
      </w:r>
      <w:r w:rsidDel="00000000" w:rsidR="00000000" w:rsidRPr="00000000">
        <w:rPr>
          <w:rtl w:val="0"/>
        </w:rPr>
      </w:r>
    </w:p>
    <w:p w:rsidR="00000000" w:rsidDel="00000000" w:rsidP="00000000" w:rsidRDefault="00000000" w:rsidRPr="00000000" w14:paraId="00000094">
      <w:pPr>
        <w:pBdr>
          <w:top w:color="auto" w:space="0" w:sz="0" w:val="none"/>
          <w:bottom w:color="auto" w:space="0" w:sz="0" w:val="none"/>
          <w:between w:color="auto" w:space="0" w:sz="0" w:val="none"/>
        </w:pBdr>
        <w:spacing w:after="120" w:lineRule="auto"/>
        <w:rPr>
          <w:rFonts w:ascii="Calibri" w:cs="Calibri" w:eastAsia="Calibri" w:hAnsi="Calibri"/>
          <w:color w:val="1155cc"/>
          <w:sz w:val="24"/>
          <w:szCs w:val="24"/>
          <w:u w:val="single"/>
        </w:rPr>
      </w:pPr>
      <w:r w:rsidDel="00000000" w:rsidR="00000000" w:rsidRPr="00000000">
        <w:fldChar w:fldCharType="end"/>
      </w:r>
      <w:r w:rsidDel="00000000" w:rsidR="00000000" w:rsidRPr="00000000">
        <w:fldChar w:fldCharType="begin"/>
        <w:instrText xml:space="preserve"> HYPERLINK "https://owasp.org/www-project-top-ten/" </w:instrText>
        <w:fldChar w:fldCharType="separate"/>
      </w:r>
      <w:r w:rsidDel="00000000" w:rsidR="00000000" w:rsidRPr="00000000">
        <w:rPr>
          <w:rFonts w:ascii="Calibri" w:cs="Calibri" w:eastAsia="Calibri" w:hAnsi="Calibri"/>
          <w:color w:val="1155cc"/>
          <w:sz w:val="24"/>
          <w:szCs w:val="24"/>
          <w:u w:val="single"/>
          <w:rtl w:val="0"/>
        </w:rPr>
        <w:t xml:space="preserve">https://owasp.org/www-project-top-ten/</w:t>
      </w:r>
    </w:p>
    <w:p w:rsidR="00000000" w:rsidDel="00000000" w:rsidP="00000000" w:rsidRDefault="00000000" w:rsidRPr="00000000" w14:paraId="00000095">
      <w:pPr>
        <w:pBdr>
          <w:top w:color="auto" w:space="0" w:sz="0" w:val="none"/>
          <w:bottom w:color="auto" w:space="0" w:sz="0" w:val="none"/>
          <w:between w:color="auto" w:space="0" w:sz="0" w:val="none"/>
        </w:pBdr>
        <w:rPr>
          <w:rFonts w:ascii="Calibri" w:cs="Calibri" w:eastAsia="Calibri" w:hAnsi="Calibri"/>
          <w:sz w:val="24"/>
          <w:szCs w:val="24"/>
        </w:rPr>
      </w:pPr>
      <w:r w:rsidDel="00000000" w:rsidR="00000000" w:rsidRPr="00000000">
        <w:fldChar w:fldCharType="end"/>
      </w:r>
      <w:r w:rsidDel="00000000" w:rsidR="00000000" w:rsidRPr="00000000">
        <w:rPr>
          <w:rFonts w:ascii="Calibri" w:cs="Calibri" w:eastAsia="Calibri" w:hAnsi="Calibri"/>
          <w:sz w:val="24"/>
          <w:szCs w:val="24"/>
          <w:rtl w:val="0"/>
        </w:rPr>
        <w:t xml:space="preserve"> (Accessed: 23 October 2025).</w:t>
      </w:r>
    </w:p>
    <w:p w:rsidR="00000000" w:rsidDel="00000000" w:rsidP="00000000" w:rsidRDefault="00000000" w:rsidRPr="00000000" w14:paraId="00000096">
      <w:pPr>
        <w:pBdr>
          <w:top w:color="auto" w:space="0" w:sz="0" w:val="none"/>
          <w:bottom w:color="auto" w:space="0" w:sz="0" w:val="none"/>
          <w:between w:color="auto" w:space="0" w:sz="0" w:val="none"/>
        </w:pBd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Hack The Box (2025) Ethical Hacking Training Platform [Online]. Available at: </w:t>
      </w:r>
      <w:r w:rsidDel="00000000" w:rsidR="00000000" w:rsidRPr="00000000">
        <w:fldChar w:fldCharType="begin"/>
        <w:instrText xml:space="preserve"> HYPERLINK "https://www.hackthebox.com/" </w:instrText>
        <w:fldChar w:fldCharType="separate"/>
      </w:r>
      <w:r w:rsidDel="00000000" w:rsidR="00000000" w:rsidRPr="00000000">
        <w:rPr>
          <w:rtl w:val="0"/>
        </w:rPr>
      </w:r>
    </w:p>
    <w:p w:rsidR="00000000" w:rsidDel="00000000" w:rsidP="00000000" w:rsidRDefault="00000000" w:rsidRPr="00000000" w14:paraId="00000097">
      <w:pPr>
        <w:pBdr>
          <w:top w:color="auto" w:space="0" w:sz="0" w:val="none"/>
          <w:bottom w:color="auto" w:space="0" w:sz="0" w:val="none"/>
          <w:between w:color="auto" w:space="0" w:sz="0" w:val="none"/>
        </w:pBdr>
        <w:spacing w:after="120" w:lineRule="auto"/>
        <w:rPr>
          <w:rFonts w:ascii="Calibri" w:cs="Calibri" w:eastAsia="Calibri" w:hAnsi="Calibri"/>
          <w:color w:val="1155cc"/>
          <w:sz w:val="24"/>
          <w:szCs w:val="24"/>
          <w:u w:val="single"/>
        </w:rPr>
      </w:pPr>
      <w:r w:rsidDel="00000000" w:rsidR="00000000" w:rsidRPr="00000000">
        <w:fldChar w:fldCharType="end"/>
      </w:r>
      <w:r w:rsidDel="00000000" w:rsidR="00000000" w:rsidRPr="00000000">
        <w:fldChar w:fldCharType="begin"/>
        <w:instrText xml:space="preserve"> HYPERLINK "https://www.hackthebox.com/" </w:instrText>
        <w:fldChar w:fldCharType="separate"/>
      </w:r>
      <w:r w:rsidDel="00000000" w:rsidR="00000000" w:rsidRPr="00000000">
        <w:rPr>
          <w:rFonts w:ascii="Calibri" w:cs="Calibri" w:eastAsia="Calibri" w:hAnsi="Calibri"/>
          <w:color w:val="1155cc"/>
          <w:sz w:val="24"/>
          <w:szCs w:val="24"/>
          <w:u w:val="single"/>
          <w:rtl w:val="0"/>
        </w:rPr>
        <w:t xml:space="preserve">https://www.hackthebox.com/</w:t>
      </w:r>
    </w:p>
    <w:p w:rsidR="00000000" w:rsidDel="00000000" w:rsidP="00000000" w:rsidRDefault="00000000" w:rsidRPr="00000000" w14:paraId="00000098">
      <w:pPr>
        <w:pBdr>
          <w:top w:color="auto" w:space="0" w:sz="0" w:val="none"/>
          <w:bottom w:color="auto" w:space="0" w:sz="0" w:val="none"/>
          <w:between w:color="auto" w:space="0" w:sz="0" w:val="none"/>
        </w:pBdr>
        <w:rPr>
          <w:rFonts w:ascii="Calibri" w:cs="Calibri" w:eastAsia="Calibri" w:hAnsi="Calibri"/>
          <w:sz w:val="24"/>
          <w:szCs w:val="24"/>
        </w:rPr>
      </w:pPr>
      <w:r w:rsidDel="00000000" w:rsidR="00000000" w:rsidRPr="00000000">
        <w:fldChar w:fldCharType="end"/>
      </w:r>
      <w:r w:rsidDel="00000000" w:rsidR="00000000" w:rsidRPr="00000000">
        <w:rPr>
          <w:rFonts w:ascii="Calibri" w:cs="Calibri" w:eastAsia="Calibri" w:hAnsi="Calibri"/>
          <w:sz w:val="24"/>
          <w:szCs w:val="24"/>
          <w:rtl w:val="0"/>
        </w:rPr>
        <w:t xml:space="preserve"> (Accessed: 23 October 2025).</w:t>
      </w:r>
    </w:p>
    <w:p w:rsidR="00000000" w:rsidDel="00000000" w:rsidP="00000000" w:rsidRDefault="00000000" w:rsidRPr="00000000" w14:paraId="00000099">
      <w:pPr>
        <w:pBdr>
          <w:top w:color="auto" w:space="0" w:sz="0" w:val="none"/>
          <w:bottom w:color="auto" w:space="0" w:sz="0" w:val="none"/>
          <w:between w:color="auto" w:space="0" w:sz="0" w:val="none"/>
        </w:pBd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University of Wolverhampton (2025) Harvard Referencing (Cite Them Right) Tutorial - YouTube [Online]. Available at: </w:t>
      </w:r>
      <w:r w:rsidDel="00000000" w:rsidR="00000000" w:rsidRPr="00000000">
        <w:fldChar w:fldCharType="begin"/>
        <w:instrText xml:space="preserve"> HYPERLINK "https://www.youtube.com/watch?v=j-qNc8RMu2A" </w:instrText>
        <w:fldChar w:fldCharType="separate"/>
      </w:r>
      <w:r w:rsidDel="00000000" w:rsidR="00000000" w:rsidRPr="00000000">
        <w:rPr>
          <w:rtl w:val="0"/>
        </w:rPr>
      </w:r>
    </w:p>
    <w:p w:rsidR="00000000" w:rsidDel="00000000" w:rsidP="00000000" w:rsidRDefault="00000000" w:rsidRPr="00000000" w14:paraId="0000009A">
      <w:pPr>
        <w:pBdr>
          <w:top w:color="auto" w:space="0" w:sz="0" w:val="none"/>
          <w:bottom w:color="auto" w:space="0" w:sz="0" w:val="none"/>
          <w:between w:color="auto" w:space="0" w:sz="0" w:val="none"/>
        </w:pBdr>
        <w:spacing w:after="120" w:lineRule="auto"/>
        <w:rPr>
          <w:rFonts w:ascii="Calibri" w:cs="Calibri" w:eastAsia="Calibri" w:hAnsi="Calibri"/>
          <w:color w:val="1155cc"/>
          <w:sz w:val="24"/>
          <w:szCs w:val="24"/>
          <w:u w:val="single"/>
        </w:rPr>
      </w:pPr>
      <w:r w:rsidDel="00000000" w:rsidR="00000000" w:rsidRPr="00000000">
        <w:fldChar w:fldCharType="end"/>
      </w:r>
      <w:r w:rsidDel="00000000" w:rsidR="00000000" w:rsidRPr="00000000">
        <w:fldChar w:fldCharType="begin"/>
        <w:instrText xml:space="preserve"> HYPERLINK "https://www.youtube.com/watch?v=j-qNc8RMu2A" </w:instrText>
        <w:fldChar w:fldCharType="separate"/>
      </w:r>
      <w:r w:rsidDel="00000000" w:rsidR="00000000" w:rsidRPr="00000000">
        <w:rPr>
          <w:rFonts w:ascii="Calibri" w:cs="Calibri" w:eastAsia="Calibri" w:hAnsi="Calibri"/>
          <w:color w:val="1155cc"/>
          <w:sz w:val="24"/>
          <w:szCs w:val="24"/>
          <w:u w:val="single"/>
          <w:rtl w:val="0"/>
        </w:rPr>
        <w:t xml:space="preserve">https://www.youtube.com/watch?v=j-qNc8RMu2A</w:t>
      </w:r>
    </w:p>
    <w:p w:rsidR="00000000" w:rsidDel="00000000" w:rsidP="00000000" w:rsidRDefault="00000000" w:rsidRPr="00000000" w14:paraId="0000009B">
      <w:pPr>
        <w:pBdr>
          <w:top w:color="auto" w:space="0" w:sz="0" w:val="none"/>
          <w:bottom w:color="auto" w:space="0" w:sz="0" w:val="none"/>
          <w:between w:color="auto" w:space="0" w:sz="0" w:val="none"/>
        </w:pBdr>
        <w:rPr>
          <w:rFonts w:ascii="Calibri" w:cs="Calibri" w:eastAsia="Calibri" w:hAnsi="Calibri"/>
          <w:sz w:val="24"/>
          <w:szCs w:val="24"/>
        </w:rPr>
      </w:pPr>
      <w:r w:rsidDel="00000000" w:rsidR="00000000" w:rsidRPr="00000000">
        <w:fldChar w:fldCharType="end"/>
      </w:r>
      <w:r w:rsidDel="00000000" w:rsidR="00000000" w:rsidRPr="00000000">
        <w:rPr>
          <w:rFonts w:ascii="Calibri" w:cs="Calibri" w:eastAsia="Calibri" w:hAnsi="Calibri"/>
          <w:sz w:val="24"/>
          <w:szCs w:val="24"/>
          <w:rtl w:val="0"/>
        </w:rPr>
        <w:t xml:space="preserve"> (Accessed: 23 October 2025).</w:t>
      </w:r>
    </w:p>
    <w:p w:rsidR="00000000" w:rsidDel="00000000" w:rsidP="00000000" w:rsidRDefault="00000000" w:rsidRPr="00000000" w14:paraId="0000009C">
      <w:pPr>
        <w:pBdr>
          <w:top w:color="auto" w:space="0" w:sz="0" w:val="none"/>
          <w:bottom w:color="auto" w:space="0" w:sz="0" w:val="none"/>
          <w:between w:color="auto" w:space="0" w:sz="0" w:val="none"/>
        </w:pBd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University of Wolverhampton (2025) Referencing [Online]. Available at: </w:t>
      </w:r>
      <w:r w:rsidDel="00000000" w:rsidR="00000000" w:rsidRPr="00000000">
        <w:fldChar w:fldCharType="begin"/>
        <w:instrText xml:space="preserve"> HYPERLINK "https://www.wlv.ac.uk/lib/skills-for-learning/referencing/" </w:instrText>
        <w:fldChar w:fldCharType="separate"/>
      </w:r>
      <w:r w:rsidDel="00000000" w:rsidR="00000000" w:rsidRPr="00000000">
        <w:rPr>
          <w:rtl w:val="0"/>
        </w:rPr>
      </w:r>
    </w:p>
    <w:p w:rsidR="00000000" w:rsidDel="00000000" w:rsidP="00000000" w:rsidRDefault="00000000" w:rsidRPr="00000000" w14:paraId="0000009D">
      <w:pPr>
        <w:pBdr>
          <w:top w:color="auto" w:space="0" w:sz="0" w:val="none"/>
          <w:bottom w:color="auto" w:space="0" w:sz="0" w:val="none"/>
          <w:between w:color="auto" w:space="0" w:sz="0" w:val="none"/>
        </w:pBdr>
        <w:spacing w:after="120" w:lineRule="auto"/>
        <w:rPr>
          <w:rFonts w:ascii="Calibri" w:cs="Calibri" w:eastAsia="Calibri" w:hAnsi="Calibri"/>
          <w:color w:val="1155cc"/>
          <w:sz w:val="24"/>
          <w:szCs w:val="24"/>
          <w:u w:val="single"/>
        </w:rPr>
      </w:pPr>
      <w:r w:rsidDel="00000000" w:rsidR="00000000" w:rsidRPr="00000000">
        <w:fldChar w:fldCharType="end"/>
      </w:r>
      <w:r w:rsidDel="00000000" w:rsidR="00000000" w:rsidRPr="00000000">
        <w:fldChar w:fldCharType="begin"/>
        <w:instrText xml:space="preserve"> HYPERLINK "https://www.wlv.ac.uk/lib/skills-for-learning/referencing/" </w:instrText>
        <w:fldChar w:fldCharType="separate"/>
      </w:r>
      <w:r w:rsidDel="00000000" w:rsidR="00000000" w:rsidRPr="00000000">
        <w:rPr>
          <w:rFonts w:ascii="Calibri" w:cs="Calibri" w:eastAsia="Calibri" w:hAnsi="Calibri"/>
          <w:color w:val="1155cc"/>
          <w:sz w:val="24"/>
          <w:szCs w:val="24"/>
          <w:u w:val="single"/>
          <w:rtl w:val="0"/>
        </w:rPr>
        <w:t xml:space="preserve">https://www.wlv.ac.uk/lib/skills-for-learning/referencing/</w:t>
      </w:r>
    </w:p>
    <w:p w:rsidR="00000000" w:rsidDel="00000000" w:rsidP="00000000" w:rsidRDefault="00000000" w:rsidRPr="00000000" w14:paraId="0000009E">
      <w:pPr>
        <w:pBdr>
          <w:top w:color="auto" w:space="0" w:sz="0" w:val="none"/>
          <w:bottom w:color="auto" w:space="0" w:sz="0" w:val="none"/>
          <w:between w:color="auto" w:space="0" w:sz="0" w:val="none"/>
        </w:pBdr>
        <w:rPr>
          <w:rFonts w:ascii="Calibri" w:cs="Calibri" w:eastAsia="Calibri" w:hAnsi="Calibri"/>
          <w:sz w:val="24"/>
          <w:szCs w:val="24"/>
        </w:rPr>
      </w:pPr>
      <w:r w:rsidDel="00000000" w:rsidR="00000000" w:rsidRPr="00000000">
        <w:fldChar w:fldCharType="end"/>
      </w:r>
      <w:r w:rsidDel="00000000" w:rsidR="00000000" w:rsidRPr="00000000">
        <w:rPr>
          <w:rFonts w:ascii="Calibri" w:cs="Calibri" w:eastAsia="Calibri" w:hAnsi="Calibri"/>
          <w:sz w:val="24"/>
          <w:szCs w:val="24"/>
          <w:rtl w:val="0"/>
        </w:rPr>
        <w:t xml:space="preserve"> (Accessed: 23 October 2025).</w:t>
      </w:r>
    </w:p>
    <w:p w:rsidR="00000000" w:rsidDel="00000000" w:rsidP="00000000" w:rsidRDefault="00000000" w:rsidRPr="00000000" w14:paraId="0000009F">
      <w:pPr>
        <w:pBdr>
          <w:top w:color="auto" w:space="0" w:sz="0" w:val="none"/>
          <w:bottom w:color="auto" w:space="0" w:sz="0" w:val="none"/>
          <w:between w:color="auto" w:space="0" w:sz="0" w:val="none"/>
        </w:pBd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University of Wolverhampton (2018) LS134 Harvard Quick Guide [Online]. Available at: </w:t>
      </w:r>
      <w:r w:rsidDel="00000000" w:rsidR="00000000" w:rsidRPr="00000000">
        <w:fldChar w:fldCharType="begin"/>
        <w:instrText xml:space="preserve"> HYPERLINK "https://www.wlv.ac.uk/lib/media/departments/lis/skills/study-guides/LS134-Harvard-Quick-Guide-2018.pdf" </w:instrText>
        <w:fldChar w:fldCharType="separate"/>
      </w:r>
      <w:r w:rsidDel="00000000" w:rsidR="00000000" w:rsidRPr="00000000">
        <w:rPr>
          <w:rtl w:val="0"/>
        </w:rPr>
      </w:r>
    </w:p>
    <w:p w:rsidR="00000000" w:rsidDel="00000000" w:rsidP="00000000" w:rsidRDefault="00000000" w:rsidRPr="00000000" w14:paraId="000000A0">
      <w:pPr>
        <w:pBdr>
          <w:top w:color="auto" w:space="0" w:sz="0" w:val="none"/>
          <w:bottom w:color="auto" w:space="0" w:sz="0" w:val="none"/>
          <w:between w:color="auto" w:space="0" w:sz="0" w:val="none"/>
        </w:pBdr>
        <w:spacing w:after="120" w:lineRule="auto"/>
        <w:rPr>
          <w:rFonts w:ascii="Calibri" w:cs="Calibri" w:eastAsia="Calibri" w:hAnsi="Calibri"/>
          <w:color w:val="1155cc"/>
          <w:sz w:val="24"/>
          <w:szCs w:val="24"/>
          <w:u w:val="single"/>
        </w:rPr>
      </w:pPr>
      <w:r w:rsidDel="00000000" w:rsidR="00000000" w:rsidRPr="00000000">
        <w:fldChar w:fldCharType="end"/>
      </w:r>
      <w:r w:rsidDel="00000000" w:rsidR="00000000" w:rsidRPr="00000000">
        <w:fldChar w:fldCharType="begin"/>
        <w:instrText xml:space="preserve"> HYPERLINK "https://www.wlv.ac.uk/lib/media/departments/lis/skills/study-guides/LS134-Harvard-Quick-Guide-2018.pdf" </w:instrText>
        <w:fldChar w:fldCharType="separate"/>
      </w:r>
      <w:r w:rsidDel="00000000" w:rsidR="00000000" w:rsidRPr="00000000">
        <w:rPr>
          <w:rFonts w:ascii="Calibri" w:cs="Calibri" w:eastAsia="Calibri" w:hAnsi="Calibri"/>
          <w:color w:val="1155cc"/>
          <w:sz w:val="24"/>
          <w:szCs w:val="24"/>
          <w:u w:val="single"/>
          <w:rtl w:val="0"/>
        </w:rPr>
        <w:t xml:space="preserve">https://www.wlv.ac.uk/lib/media/departments/lis/skills/study-guides/LS134-Harvard-Quick-Guide-2018.pdf</w:t>
      </w:r>
    </w:p>
    <w:p w:rsidR="00000000" w:rsidDel="00000000" w:rsidP="00000000" w:rsidRDefault="00000000" w:rsidRPr="00000000" w14:paraId="000000A1">
      <w:pPr>
        <w:pBdr>
          <w:top w:color="auto" w:space="0" w:sz="0" w:val="none"/>
          <w:bottom w:color="auto" w:space="0" w:sz="0" w:val="none"/>
          <w:between w:color="auto" w:space="0" w:sz="0" w:val="none"/>
        </w:pBdr>
        <w:rPr>
          <w:rFonts w:ascii="Calibri" w:cs="Calibri" w:eastAsia="Calibri" w:hAnsi="Calibri"/>
          <w:sz w:val="24"/>
          <w:szCs w:val="24"/>
        </w:rPr>
      </w:pPr>
      <w:r w:rsidDel="00000000" w:rsidR="00000000" w:rsidRPr="00000000">
        <w:fldChar w:fldCharType="end"/>
      </w:r>
      <w:r w:rsidDel="00000000" w:rsidR="00000000" w:rsidRPr="00000000">
        <w:rPr>
          <w:rFonts w:ascii="Calibri" w:cs="Calibri" w:eastAsia="Calibri" w:hAnsi="Calibri"/>
          <w:sz w:val="24"/>
          <w:szCs w:val="24"/>
          <w:rtl w:val="0"/>
        </w:rPr>
        <w:t xml:space="preserve"> (Accessed: 23 October 2025).</w:t>
      </w:r>
    </w:p>
    <w:p w:rsidR="00000000" w:rsidDel="00000000" w:rsidP="00000000" w:rsidRDefault="00000000" w:rsidRPr="00000000" w14:paraId="000000A2">
      <w:pPr>
        <w:pBdr>
          <w:top w:color="auto" w:space="0" w:sz="0" w:val="none"/>
          <w:bottom w:color="auto" w:space="0" w:sz="0" w:val="none"/>
          <w:between w:color="auto" w:space="0" w:sz="0" w:val="none"/>
        </w:pBd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University of Wolverhampton (n.d.) Guide to Writing a Literature Review [Online]. Available at: </w:t>
      </w:r>
      <w:r w:rsidDel="00000000" w:rsidR="00000000" w:rsidRPr="00000000">
        <w:fldChar w:fldCharType="begin"/>
        <w:instrText xml:space="preserve"> HYPERLINK "https://www.wlv.ac.uk/lib/media/departments/lis/skills/study-guides/LS015-Guide-to-Writing-a-Literature-Review.pdf" </w:instrText>
        <w:fldChar w:fldCharType="separate"/>
      </w:r>
      <w:r w:rsidDel="00000000" w:rsidR="00000000" w:rsidRPr="00000000">
        <w:rPr>
          <w:rtl w:val="0"/>
        </w:rPr>
      </w:r>
    </w:p>
    <w:p w:rsidR="00000000" w:rsidDel="00000000" w:rsidP="00000000" w:rsidRDefault="00000000" w:rsidRPr="00000000" w14:paraId="000000A3">
      <w:pPr>
        <w:pBdr>
          <w:top w:color="auto" w:space="0" w:sz="0" w:val="none"/>
          <w:bottom w:color="auto" w:space="0" w:sz="0" w:val="none"/>
          <w:between w:color="auto" w:space="0" w:sz="0" w:val="none"/>
        </w:pBdr>
        <w:spacing w:after="120" w:lineRule="auto"/>
        <w:rPr>
          <w:rFonts w:ascii="Calibri" w:cs="Calibri" w:eastAsia="Calibri" w:hAnsi="Calibri"/>
          <w:color w:val="1155cc"/>
          <w:sz w:val="24"/>
          <w:szCs w:val="24"/>
          <w:u w:val="single"/>
        </w:rPr>
      </w:pPr>
      <w:r w:rsidDel="00000000" w:rsidR="00000000" w:rsidRPr="00000000">
        <w:fldChar w:fldCharType="end"/>
      </w:r>
      <w:r w:rsidDel="00000000" w:rsidR="00000000" w:rsidRPr="00000000">
        <w:fldChar w:fldCharType="begin"/>
        <w:instrText xml:space="preserve"> HYPERLINK "https://www.wlv.ac.uk/lib/media/departments/lis/skills/study-guides/LS015-Guide-to-Writing-a-Literature-Review.pdf" </w:instrText>
        <w:fldChar w:fldCharType="separate"/>
      </w:r>
      <w:r w:rsidDel="00000000" w:rsidR="00000000" w:rsidRPr="00000000">
        <w:rPr>
          <w:rFonts w:ascii="Calibri" w:cs="Calibri" w:eastAsia="Calibri" w:hAnsi="Calibri"/>
          <w:color w:val="1155cc"/>
          <w:sz w:val="24"/>
          <w:szCs w:val="24"/>
          <w:u w:val="single"/>
          <w:rtl w:val="0"/>
        </w:rPr>
        <w:t xml:space="preserve">https://www.wlv.ac.uk/lib/media/departments/lis/skills/study-guides/LS015-Guide-to-Writing-a-Literature-Review.pdf</w:t>
      </w:r>
    </w:p>
    <w:p w:rsidR="00000000" w:rsidDel="00000000" w:rsidP="00000000" w:rsidRDefault="00000000" w:rsidRPr="00000000" w14:paraId="000000A4">
      <w:pPr>
        <w:pBdr>
          <w:top w:color="auto" w:space="0" w:sz="0" w:val="none"/>
          <w:bottom w:color="auto" w:space="0" w:sz="0" w:val="none"/>
          <w:between w:color="auto" w:space="0" w:sz="0" w:val="none"/>
        </w:pBdr>
        <w:rPr>
          <w:rFonts w:ascii="Calibri" w:cs="Calibri" w:eastAsia="Calibri" w:hAnsi="Calibri"/>
          <w:sz w:val="24"/>
          <w:szCs w:val="24"/>
        </w:rPr>
      </w:pPr>
      <w:r w:rsidDel="00000000" w:rsidR="00000000" w:rsidRPr="00000000">
        <w:fldChar w:fldCharType="end"/>
      </w:r>
      <w:r w:rsidDel="00000000" w:rsidR="00000000" w:rsidRPr="00000000">
        <w:rPr>
          <w:rFonts w:ascii="Calibri" w:cs="Calibri" w:eastAsia="Calibri" w:hAnsi="Calibri"/>
          <w:sz w:val="24"/>
          <w:szCs w:val="24"/>
          <w:rtl w:val="0"/>
        </w:rPr>
        <w:t xml:space="preserve"> (Accessed: 23 October 2025).</w:t>
      </w:r>
    </w:p>
    <w:p w:rsidR="00000000" w:rsidDel="00000000" w:rsidP="00000000" w:rsidRDefault="00000000" w:rsidRPr="00000000" w14:paraId="000000A5">
      <w:pPr>
        <w:spacing w:line="240" w:lineRule="auto"/>
        <w:rPr>
          <w:rFonts w:ascii="Calibri" w:cs="Calibri" w:eastAsia="Calibri" w:hAnsi="Calibri"/>
          <w:color w:val="2e75b5"/>
          <w:sz w:val="26"/>
          <w:szCs w:val="26"/>
        </w:rPr>
      </w:pPr>
      <w:r w:rsidDel="00000000" w:rsidR="00000000" w:rsidRPr="00000000">
        <w:rPr>
          <w:rtl w:val="0"/>
        </w:rPr>
      </w:r>
    </w:p>
    <w:p w:rsidR="00000000" w:rsidDel="00000000" w:rsidP="00000000" w:rsidRDefault="00000000" w:rsidRPr="00000000" w14:paraId="000000A6">
      <w:pPr>
        <w:pStyle w:val="Heading1"/>
        <w:spacing w:after="0" w:before="240" w:line="240" w:lineRule="auto"/>
        <w:rPr>
          <w:rFonts w:ascii="Calibri" w:cs="Calibri" w:eastAsia="Calibri" w:hAnsi="Calibri"/>
          <w:color w:val="2e75b5"/>
          <w:sz w:val="32"/>
          <w:szCs w:val="32"/>
        </w:rPr>
      </w:pPr>
      <w:bookmarkStart w:colFirst="0" w:colLast="0" w:name="_ezuq91wyblgo" w:id="19"/>
      <w:bookmarkEnd w:id="19"/>
      <w:r w:rsidDel="00000000" w:rsidR="00000000" w:rsidRPr="00000000">
        <w:rPr>
          <w:rFonts w:ascii="Calibri" w:cs="Calibri" w:eastAsia="Calibri" w:hAnsi="Calibri"/>
          <w:color w:val="2e75b5"/>
          <w:sz w:val="32"/>
          <w:szCs w:val="32"/>
          <w:rtl w:val="0"/>
        </w:rPr>
        <w:t xml:space="preserve">Section 4: Additional Sources of Information</w:t>
      </w:r>
    </w:p>
    <w:p w:rsidR="00000000" w:rsidDel="00000000" w:rsidP="00000000" w:rsidRDefault="00000000" w:rsidRPr="00000000" w14:paraId="000000A7">
      <w:pPr>
        <w:pStyle w:val="Heading2"/>
        <w:spacing w:after="0" w:before="40" w:line="240" w:lineRule="auto"/>
        <w:rPr>
          <w:rFonts w:ascii="Calibri" w:cs="Calibri" w:eastAsia="Calibri" w:hAnsi="Calibri"/>
          <w:color w:val="2e75b5"/>
          <w:sz w:val="26"/>
          <w:szCs w:val="26"/>
        </w:rPr>
      </w:pPr>
      <w:bookmarkStart w:colFirst="0" w:colLast="0" w:name="_u952uun6rhhl" w:id="20"/>
      <w:bookmarkEnd w:id="20"/>
      <w:r w:rsidDel="00000000" w:rsidR="00000000" w:rsidRPr="00000000">
        <w:rPr>
          <w:rFonts w:ascii="Calibri" w:cs="Calibri" w:eastAsia="Calibri" w:hAnsi="Calibri"/>
          <w:color w:val="2e75b5"/>
          <w:sz w:val="26"/>
          <w:szCs w:val="26"/>
          <w:rtl w:val="0"/>
        </w:rPr>
        <w:t xml:space="preserve">4.1 Ethical Considerations Form </w:t>
      </w:r>
    </w:p>
    <w:p w:rsidR="00000000" w:rsidDel="00000000" w:rsidP="00000000" w:rsidRDefault="00000000" w:rsidRPr="00000000" w14:paraId="000000A8">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submitted via the university portal. Only authorized, intentionally vulnerable applications will be scanned.</w:t>
      </w:r>
    </w:p>
    <w:p w:rsidR="00000000" w:rsidDel="00000000" w:rsidP="00000000" w:rsidRDefault="00000000" w:rsidRPr="00000000" w14:paraId="000000A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pStyle w:val="Heading2"/>
        <w:spacing w:after="0" w:before="40" w:line="240" w:lineRule="auto"/>
        <w:rPr>
          <w:rFonts w:ascii="Calibri" w:cs="Calibri" w:eastAsia="Calibri" w:hAnsi="Calibri"/>
          <w:color w:val="2e75b5"/>
          <w:sz w:val="26"/>
          <w:szCs w:val="26"/>
        </w:rPr>
      </w:pPr>
      <w:bookmarkStart w:colFirst="0" w:colLast="0" w:name="_4tzqv2o2t744" w:id="21"/>
      <w:bookmarkEnd w:id="21"/>
      <w:r w:rsidDel="00000000" w:rsidR="00000000" w:rsidRPr="00000000">
        <w:rPr>
          <w:rFonts w:ascii="Calibri" w:cs="Calibri" w:eastAsia="Calibri" w:hAnsi="Calibri"/>
          <w:color w:val="2e75b5"/>
          <w:sz w:val="26"/>
          <w:szCs w:val="26"/>
          <w:rtl w:val="0"/>
        </w:rPr>
        <w:t xml:space="preserve">4.2 Resources</w:t>
      </w:r>
    </w:p>
    <w:p w:rsidR="00000000" w:rsidDel="00000000" w:rsidP="00000000" w:rsidRDefault="00000000" w:rsidRPr="00000000" w14:paraId="000000AB">
      <w:pPr>
        <w:numPr>
          <w:ilvl w:val="0"/>
          <w:numId w:val="12"/>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OWASP ZAP, SQLMap, Juice Shop documentation</w:t>
      </w:r>
    </w:p>
    <w:p w:rsidR="00000000" w:rsidDel="00000000" w:rsidP="00000000" w:rsidRDefault="00000000" w:rsidRPr="00000000" w14:paraId="000000AC">
      <w:pPr>
        <w:numPr>
          <w:ilvl w:val="0"/>
          <w:numId w:val="12"/>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DVWA (Damn Vulnerable Web Application)</w:t>
      </w:r>
    </w:p>
    <w:p w:rsidR="00000000" w:rsidDel="00000000" w:rsidP="00000000" w:rsidRDefault="00000000" w:rsidRPr="00000000" w14:paraId="000000AD">
      <w:pPr>
        <w:numPr>
          <w:ilvl w:val="0"/>
          <w:numId w:val="12"/>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Burp Suite community edition documentation</w:t>
      </w:r>
    </w:p>
    <w:p w:rsidR="00000000" w:rsidDel="00000000" w:rsidP="00000000" w:rsidRDefault="00000000" w:rsidRPr="00000000" w14:paraId="000000AE">
      <w:pPr>
        <w:numPr>
          <w:ilvl w:val="0"/>
          <w:numId w:val="12"/>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University study guides and writing workshops</w:t>
      </w:r>
    </w:p>
    <w:p w:rsidR="00000000" w:rsidDel="00000000" w:rsidP="00000000" w:rsidRDefault="00000000" w:rsidRPr="00000000" w14:paraId="000000AF">
      <w:pPr>
        <w:pBdr>
          <w:top w:color="auto" w:space="0" w:sz="0" w:val="none"/>
          <w:bottom w:color="auto" w:space="0" w:sz="0" w:val="none"/>
          <w:between w:color="auto" w:space="0" w:sz="0" w:val="none"/>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pStyle w:val="Heading2"/>
        <w:spacing w:after="0" w:before="40" w:line="240" w:lineRule="auto"/>
        <w:rPr>
          <w:rFonts w:ascii="Calibri" w:cs="Calibri" w:eastAsia="Calibri" w:hAnsi="Calibri"/>
          <w:color w:val="2e75b5"/>
          <w:sz w:val="26"/>
          <w:szCs w:val="26"/>
        </w:rPr>
      </w:pPr>
      <w:bookmarkStart w:colFirst="0" w:colLast="0" w:name="_oiaqpkjftb56" w:id="22"/>
      <w:bookmarkEnd w:id="22"/>
      <w:r w:rsidDel="00000000" w:rsidR="00000000" w:rsidRPr="00000000">
        <w:rPr>
          <w:rFonts w:ascii="Calibri" w:cs="Calibri" w:eastAsia="Calibri" w:hAnsi="Calibri"/>
          <w:color w:val="2e75b5"/>
          <w:sz w:val="26"/>
          <w:szCs w:val="26"/>
          <w:rtl w:val="0"/>
        </w:rPr>
        <w:t xml:space="preserve">4.2.1 Bibliography</w:t>
      </w:r>
    </w:p>
    <w:p w:rsidR="00000000" w:rsidDel="00000000" w:rsidP="00000000" w:rsidRDefault="00000000" w:rsidRPr="00000000" w14:paraId="000000B1">
      <w:pPr>
        <w:numPr>
          <w:ilvl w:val="0"/>
          <w:numId w:val="10"/>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OWASP Foundation (2021) (see above)</w:t>
      </w:r>
    </w:p>
    <w:p w:rsidR="00000000" w:rsidDel="00000000" w:rsidP="00000000" w:rsidRDefault="00000000" w:rsidRPr="00000000" w14:paraId="000000B2">
      <w:pPr>
        <w:numPr>
          <w:ilvl w:val="0"/>
          <w:numId w:val="10"/>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Hack The Box (2025) (see above)</w:t>
      </w:r>
    </w:p>
    <w:p w:rsidR="00000000" w:rsidDel="00000000" w:rsidP="00000000" w:rsidRDefault="00000000" w:rsidRPr="00000000" w14:paraId="000000B3">
      <w:pPr>
        <w:numPr>
          <w:ilvl w:val="0"/>
          <w:numId w:val="10"/>
        </w:numPr>
        <w:pBdr>
          <w:top w:color="auto" w:space="0" w:sz="0" w:val="none"/>
          <w:bottom w:color="auto" w:space="0" w:sz="0" w:val="none"/>
          <w:between w:color="auto" w:space="0" w:sz="0" w:val="non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University of Wolverhampton resources (see above/citations above)</w:t>
      </w:r>
    </w:p>
    <w:p w:rsidR="00000000" w:rsidDel="00000000" w:rsidP="00000000" w:rsidRDefault="00000000" w:rsidRPr="00000000" w14:paraId="000000B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pStyle w:val="Heading2"/>
        <w:spacing w:after="0" w:before="40" w:line="240" w:lineRule="auto"/>
        <w:rPr>
          <w:rFonts w:ascii="Calibri" w:cs="Calibri" w:eastAsia="Calibri" w:hAnsi="Calibri"/>
          <w:color w:val="2e75b5"/>
          <w:sz w:val="26"/>
          <w:szCs w:val="26"/>
        </w:rPr>
      </w:pPr>
      <w:bookmarkStart w:colFirst="0" w:colLast="0" w:name="_65uavlca0137" w:id="23"/>
      <w:bookmarkEnd w:id="23"/>
      <w:r w:rsidDel="00000000" w:rsidR="00000000" w:rsidRPr="00000000">
        <w:rPr>
          <w:rFonts w:ascii="Calibri" w:cs="Calibri" w:eastAsia="Calibri" w:hAnsi="Calibri"/>
          <w:color w:val="2e75b5"/>
          <w:sz w:val="26"/>
          <w:szCs w:val="26"/>
          <w:rtl w:val="0"/>
        </w:rPr>
        <w:t xml:space="preserve">4.3 Client</w:t>
      </w:r>
    </w:p>
    <w:p w:rsidR="00000000" w:rsidDel="00000000" w:rsidP="00000000" w:rsidRDefault="00000000" w:rsidRPr="00000000" w14:paraId="000000B6">
      <w:pPr>
        <w:spacing w:after="120" w:before="120" w:lineRule="auto"/>
        <w:rPr>
          <w:rFonts w:ascii="Calibri" w:cs="Calibri" w:eastAsia="Calibri" w:hAnsi="Calibri"/>
          <w:sz w:val="24"/>
          <w:szCs w:val="24"/>
        </w:rPr>
        <w:sectPr>
          <w:type w:val="nextPage"/>
          <w:pgSz w:h="16834" w:w="11909" w:orient="portrait"/>
          <w:pgMar w:bottom="1440" w:top="1440" w:left="1440" w:right="1440" w:header="709" w:footer="709"/>
        </w:sectPr>
      </w:pPr>
      <w:r w:rsidDel="00000000" w:rsidR="00000000" w:rsidRPr="00000000">
        <w:rPr>
          <w:rFonts w:ascii="Calibri" w:cs="Calibri" w:eastAsia="Calibri" w:hAnsi="Calibri"/>
          <w:sz w:val="24"/>
          <w:szCs w:val="24"/>
          <w:rtl w:val="0"/>
        </w:rPr>
        <w:t xml:space="preserve">Supervisor Alix Bergeret will act as the client</w:t>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kd5e0tZM8dGmbCMoahgsVe5hAvcAwgXJ53hUP0iZ_3w/edit#heading=h.oiaqpkjftb56" TargetMode="External"/><Relationship Id="rId10" Type="http://schemas.openxmlformats.org/officeDocument/2006/relationships/hyperlink" Target="https://docs.google.com/document/d/1kd5e0tZM8dGmbCMoahgsVe5hAvcAwgXJ53hUP0iZ_3w/edit#heading=h.4tzqv2o2t744" TargetMode="External"/><Relationship Id="rId12" Type="http://schemas.openxmlformats.org/officeDocument/2006/relationships/hyperlink" Target="https://docs.google.com/document/d/1kd5e0tZM8dGmbCMoahgsVe5hAvcAwgXJ53hUP0iZ_3w/edit#heading=h.65uavlca0137" TargetMode="External"/><Relationship Id="rId9" Type="http://schemas.openxmlformats.org/officeDocument/2006/relationships/hyperlink" Target="https://docs.google.com/document/d/1kd5e0tZM8dGmbCMoahgsVe5hAvcAwgXJ53hUP0iZ_3w/edit#heading=h.u952uun6rhhl" TargetMode="External"/><Relationship Id="rId5" Type="http://schemas.openxmlformats.org/officeDocument/2006/relationships/styles" Target="styles.xml"/><Relationship Id="rId6" Type="http://schemas.openxmlformats.org/officeDocument/2006/relationships/hyperlink" Target="https://docs.google.com/document/d/1kd5e0tZM8dGmbCMoahgsVe5hAvcAwgXJ53hUP0iZ_3w/edit#heading=h.37e6lvyi668u" TargetMode="External"/><Relationship Id="rId7" Type="http://schemas.openxmlformats.org/officeDocument/2006/relationships/hyperlink" Target="https://docs.google.com/document/d/1kd5e0tZM8dGmbCMoahgsVe5hAvcAwgXJ53hUP0iZ_3w/edit#heading=h.577lmvom1fp" TargetMode="External"/><Relationship Id="rId8" Type="http://schemas.openxmlformats.org/officeDocument/2006/relationships/hyperlink" Target="https://docs.google.com/document/d/1kd5e0tZM8dGmbCMoahgsVe5hAvcAwgXJ53hUP0iZ_3w/edit#heading=h.ezuq91wybl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