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Professionalism Assessment.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 Assessment - 25% of the module.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 must pass this part of the module to pass the module overall.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Assessment Brief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should write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Companion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approx. 2000 words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your main project report discussing the “professionalism” aspects of your project, including (but not limited to):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impact (beneficial or detrimental) your artefact and project may have.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ethical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issues posed by your artefact and project.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implications of your artefact and project (e.g. the GDPR, the Equality Act, copyright issues, other UK and EU laws etc.)</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aspects of your artefact and project (e.g. handling of personal data, encryption, wellbeing of your users)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unlikely event that one of the topics above does not apply to your project (please check this with your supervisor), please explain why that is the case, and write about said topic in a more general fashion (e.g. how it could become relevant if the project was to progress further, or was to have broader aims and objectives).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You should write each section with the following structure: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short introduction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Highlight the aspects relevant to your project, explaining why they are relevant (along with supporting research)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relevant references to ensure that you have understood the aspects and how they relate to your project.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Sources of information: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relevant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module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performed on your project, plus any further reading that may be required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experience from building and testing your artefact.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ethical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approval process and recommendations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rgzbwr32ys52" w:id="0"/>
      <w:bookmarkEnd w:id="0"/>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Submission: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Via Canvas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Formative submission (for feedback): milestone 4</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Summative (marked) submission: milestone 6 (alongside final project report)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 marking grid below</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bookmarkStart w:colFirst="0" w:colLast="0" w:name="mv0nwup9hpr" w:id="1"/>
    <w:bookmarkEnd w:id="1"/>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single"/>
          <w:shd w:fill="auto" w:val="clear"/>
          <w:vertAlign w:val="baseline"/>
          <w:rtl w:val="0"/>
        </w:rPr>
        <w:t xml:space="preserve">Component 1</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Professionalism Section Marking and Feedback Sheet</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(Weight: 25%)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Marks are not mechanically calculated but are a matter of academic judgement based on the </w:t>
      </w:r>
      <w:hyperlink r:id="rId6">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University Performance Descriptors</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147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7"/>
        <w:gridCol w:w="4963"/>
        <w:gridCol w:w="2409"/>
        <w:gridCol w:w="5101"/>
        <w:tblGridChange w:id="0">
          <w:tblGrid>
            <w:gridCol w:w="2237"/>
            <w:gridCol w:w="4963"/>
            <w:gridCol w:w="2409"/>
            <w:gridCol w:w="5101"/>
          </w:tblGrid>
        </w:tblGridChange>
      </w:tblGrid>
      <w:tr>
        <w:trPr>
          <w:cantSplit w:val="0"/>
          <w:trHeight w:val="546" w:hRule="atLeast"/>
          <w:tblHeader w:val="0"/>
        </w:trPr>
        <w:tc>
          <w:tcPr>
            <w:shd w:fill="f2f2f2"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Student No:</w:t>
            </w:r>
          </w:p>
          <w:p w:rsidR="00000000" w:rsidDel="00000000" w:rsidP="00000000" w:rsidRDefault="00000000" w:rsidRPr="00000000" w14:paraId="00000027">
            <w:pPr>
              <w:rPr>
                <w:b w:val="1"/>
                <w:bCs w:val="1"/>
                <w:sz w:val="24"/>
                <w:szCs w:val="24"/>
              </w:rPr>
            </w:pPr>
            <w:r w:rsidDel="00000000" w:rsidR="00000000" w:rsidRPr="00000000">
              <w:rPr>
                <w:rtl w:val="0"/>
              </w:rPr>
            </w:r>
          </w:p>
        </w:tc>
        <w:tc>
          <w:tcPr>
            <w:shd w:fill="f2f2f2" w:val="clear"/>
          </w:tcPr>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Student Name:</w:t>
            </w:r>
          </w:p>
          <w:p w:rsidR="00000000" w:rsidDel="00000000" w:rsidP="00000000" w:rsidRDefault="00000000" w:rsidRPr="00000000" w14:paraId="00000029">
            <w:pPr>
              <w:rPr>
                <w:b w:val="1"/>
                <w:bCs w:val="1"/>
                <w:sz w:val="24"/>
                <w:szCs w:val="24"/>
              </w:rPr>
            </w:pPr>
            <w:r w:rsidDel="00000000" w:rsidR="00000000" w:rsidRPr="00000000">
              <w:rPr>
                <w:rtl w:val="0"/>
              </w:rPr>
            </w:r>
          </w:p>
        </w:tc>
        <w:tc>
          <w:tcPr>
            <w:shd w:fill="f2f2f2"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Supervisor: </w:t>
            </w:r>
          </w:p>
          <w:p w:rsidR="00000000" w:rsidDel="00000000" w:rsidP="00000000" w:rsidRDefault="00000000" w:rsidRPr="00000000" w14:paraId="0000002B">
            <w:pPr>
              <w:rPr>
                <w:b w:val="1"/>
                <w:bCs w:val="1"/>
                <w:sz w:val="24"/>
                <w:szCs w:val="24"/>
              </w:rPr>
            </w:pPr>
            <w:r w:rsidDel="00000000" w:rsidR="00000000" w:rsidRPr="00000000">
              <w:rPr>
                <w:rtl w:val="0"/>
              </w:rPr>
            </w:r>
          </w:p>
        </w:tc>
        <w:tc>
          <w:tcPr>
            <w:vMerge w:val="restart"/>
            <w:shd w:fill="d9d9d9" w:val="clear"/>
          </w:tcPr>
          <w:p w:rsidR="00000000" w:rsidDel="00000000" w:rsidP="00000000" w:rsidRDefault="00000000" w:rsidRPr="00000000" w14:paraId="0000002C">
            <w:pPr>
              <w:jc w:val="right"/>
              <w:rPr>
                <w:rFonts w:ascii="Arial" w:cs="Arial" w:eastAsia="Arial" w:hAnsi="Arial"/>
                <w:sz w:val="20"/>
                <w:szCs w:val="20"/>
              </w:rPr>
            </w:pPr>
            <w:r w:rsidDel="00000000" w:rsidR="00000000" w:rsidRPr="00000000">
              <w:rPr>
                <w:b w:val="1"/>
                <w:bCs w:val="1"/>
                <w:sz w:val="28"/>
                <w:szCs w:val="28"/>
                <w:rtl w:val="0"/>
              </w:rPr>
              <w:t xml:space="preserve">Professionalism Mark </w:t>
            </w:r>
            <w:r w:rsidDel="00000000" w:rsidR="00000000" w:rsidRPr="00000000">
              <w:rPr>
                <w:b w:val="1"/>
                <w:bCs w:val="1"/>
                <w:sz w:val="28"/>
                <w:szCs w:val="28"/>
                <w:u w:val="single"/>
                <w:rtl w:val="0"/>
              </w:rPr>
              <w:t xml:space="preserve">as a Percentage</w:t>
            </w:r>
            <w:r w:rsidDel="00000000" w:rsidR="00000000" w:rsidRPr="00000000">
              <w:rPr>
                <w:b w:val="1"/>
                <w:bCs w:val="1"/>
                <w:sz w:val="28"/>
                <w:szCs w:val="28"/>
                <w:rtl w:val="0"/>
              </w:rPr>
              <w:t xml:space="preserv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D">
            <w:pPr>
              <w:jc w:val="right"/>
              <w:rPr>
                <w:rFonts w:ascii="Arial" w:cs="Arial" w:eastAsia="Arial" w:hAnsi="Arial"/>
                <w:i w:val="1"/>
                <w:iCs w:val="1"/>
                <w:color w:val="ff0000"/>
                <w:sz w:val="20"/>
                <w:szCs w:val="20"/>
              </w:rPr>
            </w:pPr>
            <w:r w:rsidDel="00000000" w:rsidR="00000000" w:rsidRPr="00000000">
              <w:rPr>
                <w:rFonts w:ascii="Arial" w:cs="Arial" w:eastAsia="Arial" w:hAnsi="Arial"/>
                <w:i w:val="1"/>
                <w:iCs w:val="1"/>
                <w:color w:val="ff0000"/>
                <w:sz w:val="20"/>
                <w:szCs w:val="20"/>
                <w:rtl w:val="0"/>
              </w:rPr>
              <w:t xml:space="preserve">(40% required to pass the module)</w:t>
            </w:r>
          </w:p>
          <w:p w:rsidR="00000000" w:rsidDel="00000000" w:rsidP="00000000" w:rsidRDefault="00000000" w:rsidRPr="00000000" w14:paraId="0000002E">
            <w:pPr>
              <w:jc w:val="right"/>
              <w:rPr>
                <w:b w:val="1"/>
                <w:bCs w:val="1"/>
                <w:sz w:val="28"/>
                <w:szCs w:val="28"/>
              </w:rPr>
            </w:pPr>
            <w:r w:rsidDel="00000000" w:rsidR="00000000" w:rsidRPr="00000000">
              <w:rPr>
                <w:b w:val="1"/>
                <w:bCs w:val="1"/>
                <w:sz w:val="36"/>
                <w:szCs w:val="36"/>
                <w:highlight w:val="yellow"/>
                <w:rtl w:val="0"/>
              </w:rPr>
              <w:t xml:space="preserve">__%</w:t>
            </w:r>
            <w:r w:rsidDel="00000000" w:rsidR="00000000" w:rsidRPr="00000000">
              <w:rPr>
                <w:rtl w:val="0"/>
              </w:rPr>
            </w:r>
          </w:p>
        </w:tc>
      </w:tr>
      <w:tr>
        <w:trPr>
          <w:cantSplit w:val="0"/>
          <w:trHeight w:val="612" w:hRule="atLeast"/>
          <w:tblHeader w:val="0"/>
        </w:trPr>
        <w:tc>
          <w:tcPr>
            <w:shd w:fill="f2f2f2" w:val="clear"/>
          </w:tcPr>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Date:</w:t>
            </w:r>
          </w:p>
        </w:tc>
        <w:tc>
          <w:tcPr>
            <w:shd w:fill="f2f2f2" w:val="clear"/>
          </w:tcPr>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Project Title: </w:t>
            </w:r>
          </w:p>
          <w:p w:rsidR="00000000" w:rsidDel="00000000" w:rsidP="00000000" w:rsidRDefault="00000000" w:rsidRPr="00000000" w14:paraId="00000031">
            <w:pPr>
              <w:rPr>
                <w:b w:val="1"/>
                <w:bCs w:val="1"/>
                <w:sz w:val="24"/>
                <w:szCs w:val="24"/>
              </w:rPr>
            </w:pPr>
            <w:r w:rsidDel="00000000" w:rsidR="00000000" w:rsidRPr="00000000">
              <w:rPr>
                <w:rtl w:val="0"/>
              </w:rPr>
            </w:r>
          </w:p>
        </w:tc>
        <w:tc>
          <w:tcPr>
            <w:shd w:fill="f2f2f2" w:val="clear"/>
          </w:tcPr>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Reader:</w:t>
            </w:r>
          </w:p>
        </w:tc>
        <w:tc>
          <w:tcPr>
            <w:vMerge w:val="continue"/>
            <w:shd w:fill="d9d9d9"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147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2"/>
        <w:gridCol w:w="11057"/>
        <w:tblGridChange w:id="0">
          <w:tblGrid>
            <w:gridCol w:w="3652"/>
            <w:gridCol w:w="11057"/>
          </w:tblGrid>
        </w:tblGridChange>
      </w:tblGrid>
      <w:tr>
        <w:trPr>
          <w:cantSplit w:val="0"/>
          <w:tblHeader w:val="0"/>
        </w:trPr>
        <w:tc>
          <w:tcPr>
            <w:shd w:fill="d9d9d9" w:val="clear"/>
          </w:tcPr>
          <w:p w:rsidR="00000000" w:rsidDel="00000000" w:rsidP="00000000" w:rsidRDefault="00000000" w:rsidRPr="00000000" w14:paraId="00000035">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Assessment Criteria</w:t>
            </w:r>
          </w:p>
        </w:tc>
        <w:tc>
          <w:tcPr>
            <w:shd w:fill="d9d9d9" w:val="clear"/>
          </w:tcPr>
          <w:p w:rsidR="00000000" w:rsidDel="00000000" w:rsidP="00000000" w:rsidRDefault="00000000" w:rsidRPr="00000000" w14:paraId="0000003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Feedback</w:t>
            </w:r>
          </w:p>
        </w:tc>
      </w:tr>
      <w:tr>
        <w:trPr>
          <w:cantSplit w:val="0"/>
          <w:tblHeader w:val="0"/>
        </w:trPr>
        <w:tc>
          <w:tcPr>
            <w:shd w:fill="d9d9d9"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Social Aspects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covered are relevant to the project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References correct</w:t>
            </w:r>
          </w:p>
        </w:tc>
        <w:tc>
          <w:tcPr/>
          <w:p w:rsidR="00000000" w:rsidDel="00000000" w:rsidP="00000000" w:rsidRDefault="00000000" w:rsidRPr="00000000" w14:paraId="0000003A">
            <w:pPr>
              <w:rPr>
                <w:rFonts w:ascii="Calibri" w:cs="Calibri" w:eastAsia="Calibri" w:hAnsi="Calibri"/>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Ethical Aspects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covered are relevant to the project, (regardless of ethics form)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References correct</w:t>
            </w:r>
          </w:p>
        </w:tc>
        <w:tc>
          <w:tcPr/>
          <w:p w:rsidR="00000000" w:rsidDel="00000000" w:rsidP="00000000" w:rsidRDefault="00000000" w:rsidRPr="00000000" w14:paraId="0000003E">
            <w:pPr>
              <w:rPr>
                <w:rFonts w:ascii="Calibri" w:cs="Calibri" w:eastAsia="Calibri" w:hAnsi="Calibri"/>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Legal Aspects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covered are relevant to the project, (regardless of ethics form)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References correct</w:t>
            </w:r>
          </w:p>
        </w:tc>
        <w:tc>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Security Aspects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covered are relevant to the project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References correct</w:t>
            </w:r>
          </w:p>
        </w:tc>
        <w:tc>
          <w:tcPr/>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3"/>
        <w:tblW w:w="147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11057"/>
        <w:tblGridChange w:id="0">
          <w:tblGrid>
            <w:gridCol w:w="3652"/>
            <w:gridCol w:w="11057"/>
          </w:tblGrid>
        </w:tblGridChange>
      </w:tblGrid>
      <w:tr>
        <w:trPr>
          <w:cantSplit w:val="0"/>
          <w:trHeight w:val="1312" w:hRule="atLeast"/>
          <w:tblHeader w:val="0"/>
        </w:trPr>
        <w:tc>
          <w:tcPr>
            <w:shd w:fill="d9d9d9"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Resit Details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in all cases for a failed).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include specific details for the student to address for the resit</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Add here....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1906" w:w="16838" w:orient="landscape"/>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mic Sans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3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lv.ac.uk/media/departments/office-of-the-vice-chancellor/documents/University-Performance-Descriptor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