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t674a9sjgpx" w:id="0"/>
      <w:bookmarkEnd w:id="0"/>
      <w:r w:rsidDel="00000000" w:rsidR="00000000" w:rsidRPr="00000000">
        <w:rPr>
          <w:rtl w:val="0"/>
        </w:rPr>
        <w:t xml:space="preserve">Design notes: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Chart1: A pie chart was chosen because it is the most intuitive encoding for binary comparisons and answers the question: what share of customers subscribed versus did not. Yellow encodes the subscriber slice and gray encodes non-subscribers. Yellow was assigned to the smaller, more analytically relevant slice so it caught the user’s eye first, while the gray recedes naturally. Percentage and count labels are shown outside each arc so they are legible instantly. The slices are also clickable - clicking one highlights the respective slice in full and dims the other to 35% opacity. Clicking the empty background resets the selection and restores both pie chart slices. </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Chart2: A scatterplot was chosen because it best visualizes the relationship between two continuous variables (CallResponseScore and ResponsePropensity) and how subscription status distributes across that space. Points are drawn at 55% opacity with thin white strokes so overlapping regions remain legible. The sample is capped at 3,000 rows to preserve the overall density shape. The X-axis measures the Call Response Score and the Y-axis, Response Propensity. When hovering over the points, the user is able to view the individual scores of each variable, as well whether the individual subscribed or not. A successful subscription is notated by yellow points, while unsuccessful ones are grey. </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Chart3: This wealth segmentation chart uses a single bar per tier layout and answers the question: how does subscription rate change as composite wealth rises? Seven bars are arranged left to right from the lowest wealth bar (composite score 3) to the highest wealth bar (composite score 9), with each tiers’ subscription rate printed above its bar so the rising pattern reads instantly. A sequential red-to-green color scheme encodes the rate value and enforces the low-to-high narrative through a traffic-light metaphor (hue). Red signals poor conversion, orange and yellow show the middle ground, and green signals strong performance. The seven tiers come from summing three quartile-ranked dimensions (Income, Net Worth, and Investment Portfolio, each scored 1 to 3), producing composite scores from 3 to 9 with roughly 14,000 customers per bin. </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Chart4: A heatmap was chosen because it is fast and effective in visualizing the connection between two qualitative variables (age and job titles) and using one quantitative variable (subscription rate) through the use of color intensity. It will help to quickly find the combinations of age and jobs that have high subscription rates without the necessity to check each value separately. The single-hue color scheme of blue will be used, and dark colors will mean the high subscription rate because it seems logical that darkness should be connected with large values. Y-axis will be sorted based on the mean value of subscription rate with the best results on top to easily identify the best customer segments. Moreover, when a user hovers over a cell, he can view the subscription rate, age segment, and job title.</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Chart5: A bubble chart was chosen to incorporate multiple dimensions into a single visualization. Bubble size represents wealth score, while color distinguishes between subscribers and non-subscribers. This allows users to simultaneously evaluate financial capacity, engagement, and conversion outcomes. Interactive filters for Customer Segment, Risk Level, and Job Title enable more detailed and customized analysis, while a reset button ensures users can return to the overall view. Summary statistics (number of clients, subscribers, conversion rate, average marketing score, and average response propensity) dynamically update based on filters, enhancing interpretability. Tooltips provide detailed client-level information on hover. A proportional sample of 3,000 clients (maintaining the 30/70 ratio) was used to ensure visual clarity without distorting the dataset.</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Chart6: A Sankey diagram was selected to visualize the flow of customers through the campaign process: from customer segment, to contact channel, and finally to subscription outcome. This design effectively represents both volume and transition paths, with link width corresponding to the number of clients. Distinct color themes are used for each stage: customer segments are differentiated by shades of blue, contact channels use shades of yellow, and outcomes follow the consistent green (subscribed) and gray (not subscribed) scheme used throughout the webpage. This chart highlights how different segments and channels contribute to final outcomes, making it easier to identify the most effective campaign paths.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yj7xn788ji7z" w:id="1"/>
      <w:bookmarkEnd w:id="1"/>
      <w:r w:rsidDel="00000000" w:rsidR="00000000" w:rsidRPr="00000000">
        <w:rPr>
          <w:rtl w:val="0"/>
        </w:rPr>
        <w:t xml:space="preserve">Website link:</w:t>
      </w:r>
    </w:p>
    <w:p w:rsidR="00000000" w:rsidDel="00000000" w:rsidP="00000000" w:rsidRDefault="00000000" w:rsidRPr="00000000" w14:paraId="0000000F">
      <w:pPr>
        <w:rPr/>
      </w:pPr>
      <w:hyperlink r:id="rId6">
        <w:r w:rsidDel="00000000" w:rsidR="00000000" w:rsidRPr="00000000">
          <w:rPr>
            <w:color w:val="1155cc"/>
            <w:u w:val="single"/>
            <w:rtl w:val="0"/>
          </w:rPr>
          <w:t xml:space="preserve">https://shuyan-ke.github.io/ds4200-final-project/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uyan-ke.github.io/ds4200-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