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60"/>
          <w:szCs w:val="60"/>
        </w:rPr>
        <w:t xml:space="preserve">QUANTAMENTAL</w:t>
      </w:r>
    </w:p>
    <w:p>
      <w:pPr>
        <w:spacing w:after="100"/>
        <w:jc w:val="center"/>
      </w:pPr>
      <w:r>
        <w:rPr>
          <w:rFonts w:ascii="Arial" w:cs="Arial" w:eastAsia="Arial" w:hAnsi="Arial"/>
          <w:color w:val="2C3E50"/>
          <w:sz w:val="44"/>
          <w:szCs w:val="44"/>
        </w:rPr>
        <w:t xml:space="preserve">AI INFRA INVESTMENT SYSTEM</w:t>
      </w:r>
    </w:p>
    <w:p>
      <w:pPr>
        <w:spacing w:after="600"/>
        <w:jc w:val="center"/>
      </w:pPr>
      <w:r>
        <w:rPr>
          <w:rFonts w:ascii="Arial" w:cs="Arial" w:eastAsia="Arial" w:hAnsi="Arial"/>
          <w:color w:val="2E86C1"/>
          <w:sz w:val="28"/>
          <w:szCs w:val="28"/>
        </w:rPr>
        <w:t xml:space="preserve">Project Documentation</w:t>
      </w:r>
    </w:p>
    <w:p>
      <w:pPr>
        <w:pBdr>
          <w:top w:val="single" w:color="1B4F72" w:sz="6" w:space="1"/>
        </w:pBdr>
        <w:spacing w:after="200" w:before="200"/>
        <w:jc w:val="center"/>
      </w:pPr>
    </w:p>
    <w:p>
      <w:pPr>
        <w:spacing w:after="80"/>
      </w:pPr>
    </w:p>
    <w:p>
      <w:pPr>
        <w:jc w:val="center"/>
      </w:pPr>
      <w:r>
        <w:rPr>
          <w:rFonts w:ascii="Arial" w:cs="Arial" w:eastAsia="Arial" w:hAnsi="Arial"/>
          <w:color w:val="7F8C8D"/>
          <w:sz w:val="22"/>
          <w:szCs w:val="22"/>
        </w:rPr>
        <w:t xml:space="preserve">Version 1.0  |  April 2026</w:t>
      </w:r>
    </w:p>
    <w:p>
      <w:pPr>
        <w:spacing w:after="100"/>
        <w:jc w:val="center"/>
      </w:pPr>
      <w:r>
        <w:rPr>
          <w:rFonts w:ascii="Arial" w:cs="Arial" w:eastAsia="Arial" w:hAnsi="Arial"/>
          <w:color w:val="E74C3C"/>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defines the architecture, methodology, and implementation roadmap for a Quantamental investment system targeting the AI Infrastructure sector. The system integrates quantitative signal generation, fundamental analysis, and systematic risk management to achieve risk-adjusted returns over a 6-18 month horizon.</w:t>
      </w:r>
    </w:p>
    <w:p>
      <w:pPr>
        <w:spacing w:after="80"/>
      </w:pPr>
    </w:p>
    <w:p>
      <w:pPr>
        <w:pStyle w:val="Heading2"/>
      </w:pPr>
      <w:r>
        <w:t xml:space="preserve">1.1 Investment Thesis</w:t>
      </w:r>
    </w:p>
    <w:p>
      <w:pPr>
        <w:spacing w:after="120"/>
      </w:pPr>
      <w:r>
        <w:rPr>
          <w:rFonts w:ascii="Arial" w:cs="Arial" w:eastAsia="Arial" w:hAnsi="Arial"/>
          <w:sz w:val="22"/>
          <w:szCs w:val="22"/>
        </w:rPr>
        <w:t xml:space="preserve">The AI infrastructure sector is experiencing a structural supply-demand imbalance. Inference demand is growing exponentially while compute, memory bandwidth, and power capacity remain constrained. This creates investable opportunities across the full stack: semiconductors, cloud infrastructure, power/cooling, and model architecture beneficiaries.</w:t>
      </w:r>
    </w:p>
    <w:p>
      <w:pPr>
        <w:spacing w:after="80"/>
      </w:pPr>
    </w:p>
    <w:p>
      <w:pPr>
        <w:pStyle w:val="Heading2"/>
      </w:pPr>
      <w:r>
        <w:t xml:space="preserve">1.2 System Objectives</w:t>
      </w:r>
    </w:p>
    <w:p>
      <w:pPr>
        <w:spacing w:after="120"/>
      </w:pPr>
      <w:r>
        <w:rPr>
          <w:rFonts w:ascii="Arial" w:cs="Arial" w:eastAsia="Arial" w:hAnsi="Arial"/>
          <w:sz w:val="22"/>
          <w:szCs w:val="22"/>
        </w:rPr>
        <w:t xml:space="preserve">The system is designed to achieve the following objectives:</w:t>
      </w:r>
    </w:p>
    <w:p>
      <w:pPr>
        <w:pStyle w:val="ListParagraph"/>
        <w:numPr>
          <w:ilvl w:val="0"/>
          <w:numId w:val="2"/>
        </w:numPr>
        <w:spacing w:after="80"/>
      </w:pPr>
      <w:r>
        <w:rPr>
          <w:rFonts w:ascii="Arial" w:cs="Arial" w:eastAsia="Arial" w:hAnsi="Arial"/>
          <w:sz w:val="22"/>
          <w:szCs w:val="22"/>
        </w:rPr>
        <w:t xml:space="preserve">Systematic signal generation combining macro regime detection, sector momentum, and individual stock technicals with fundamental catalysts</w:t>
      </w:r>
    </w:p>
    <w:p>
      <w:pPr>
        <w:pStyle w:val="ListParagraph"/>
        <w:numPr>
          <w:ilvl w:val="0"/>
          <w:numId w:val="2"/>
        </w:numPr>
        <w:spacing w:after="80"/>
      </w:pPr>
      <w:r>
        <w:rPr>
          <w:rFonts w:ascii="Arial" w:cs="Arial" w:eastAsia="Arial" w:hAnsi="Arial"/>
          <w:sz w:val="22"/>
          <w:szCs w:val="22"/>
        </w:rPr>
        <w:t xml:space="preserve">Disciplined position sizing using Kelly Criterion with risk constraints (CVaR, concentration limits)</w:t>
      </w:r>
    </w:p>
    <w:p>
      <w:pPr>
        <w:pStyle w:val="ListParagraph"/>
        <w:numPr>
          <w:ilvl w:val="0"/>
          <w:numId w:val="2"/>
        </w:numPr>
        <w:spacing w:after="80"/>
      </w:pPr>
      <w:r>
        <w:rPr>
          <w:rFonts w:ascii="Arial" w:cs="Arial" w:eastAsia="Arial" w:hAnsi="Arial"/>
          <w:sz w:val="22"/>
          <w:szCs w:val="22"/>
        </w:rPr>
        <w:t xml:space="preserve">Mechanical stop-loss and thesis invalidation framework to limit drawdowns to 20% maximum</w:t>
      </w:r>
    </w:p>
    <w:p>
      <w:pPr>
        <w:pStyle w:val="ListParagraph"/>
        <w:numPr>
          <w:ilvl w:val="0"/>
          <w:numId w:val="2"/>
        </w:numPr>
        <w:spacing w:after="80"/>
      </w:pPr>
      <w:r>
        <w:rPr>
          <w:rFonts w:ascii="Arial" w:cs="Arial" w:eastAsia="Arial" w:hAnsi="Arial"/>
          <w:sz w:val="22"/>
          <w:szCs w:val="22"/>
        </w:rPr>
        <w:t xml:space="preserve">12-18 month target return of 20-30% with Sharpe ratio above 1.0</w:t>
      </w:r>
    </w:p>
    <w:p>
      <w:pPr>
        <w:spacing w:after="80"/>
      </w:pPr>
    </w:p>
    <w:p>
      <w:pPr>
        <w:pStyle w:val="Heading2"/>
      </w:pPr>
      <w:r>
        <w:t xml:space="preserve">1.3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Investment Horizon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6-18 months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Risk Tolerance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Max 20% portfolio drawdown</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Target Return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20-30% annualized</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Universe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US-listed equities (AI Infrastructure theme)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Starting Position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cash, zero existing holdings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Monthly Budget (Infra)</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$50-200 for data and tools</w:t>
            </w:r>
          </w:p>
        </w:tc>
      </w:tr>
    </w:tbl>
    <w:p>
      <w:r>
        <w:br w:type="page"/>
      </w:r>
    </w:p>
    <w:p>
      <w:pPr>
        <w:pStyle w:val="Heading1"/>
      </w:pPr>
      <w:r>
        <w:t xml:space="preserve">2. Portfolio Construction</w:t>
      </w:r>
    </w:p>
    <w:p>
      <w:pPr>
        <w:spacing w:after="120"/>
      </w:pPr>
      <w:r>
        <w:rPr>
          <w:rFonts w:ascii="Arial" w:cs="Arial" w:eastAsia="Arial" w:hAnsi="Arial"/>
          <w:sz w:val="22"/>
          <w:szCs w:val="22"/>
        </w:rPr>
        <w:t xml:space="preserve">The portfolio is structured in five layers, each serving a distinct risk-return function. Total AI Infrastructure exposure is capped at 70% of investable assets per the de-biasing framework.</w:t>
      </w:r>
    </w:p>
    <w:p>
      <w:pPr>
        <w:spacing w:after="80"/>
      </w:pPr>
    </w:p>
    <w:p>
      <w:pPr>
        <w:pStyle w:val="Heading2"/>
      </w:pPr>
      <w:r>
        <w:t xml:space="preserve">2.1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000"/>
        <w:gridCol w:w="3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Holdings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Upstream Compute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Supply chain bottleneck exposure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TSM, NVDA, AVGO, MU</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 Infrastructure</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monetization terminal layer</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MSFT, GOOGL, AMZN, ORCL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Power &amp; Cooling</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18%</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Underpriced physical constraint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VRT, CEG, ETN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Application / Architecture</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Architecture efficiency beneficiaries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META, NOW</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Offensive / High Beta</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Asymmetric upside capture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MRVL, VST</w:t>
            </w:r>
          </w:p>
        </w:tc>
      </w:tr>
    </w:tbl>
    <w:p>
      <w:pPr>
        <w:spacing w:after="80"/>
      </w:pPr>
    </w:p>
    <w:p>
      <w:pPr>
        <w:spacing w:after="120"/>
      </w:pPr>
      <w:r>
        <w:rPr>
          <w:rFonts w:ascii="Arial" w:cs="Arial" w:eastAsia="Arial" w:hAnsi="Arial"/>
          <w:sz w:val="22"/>
          <w:szCs w:val="22"/>
        </w:rPr>
        <w:t xml:space="preserve">Remaining allocation: 13% cash/bullets reserved for opportunistic deployment during market dislocations.</w:t>
      </w:r>
    </w:p>
    <w:p>
      <w:pPr>
        <w:spacing w:after="80"/>
      </w:pPr>
    </w:p>
    <w:p>
      <w:pPr>
        <w:pStyle w:val="Heading2"/>
      </w:pPr>
      <w:r>
        <w:t xml:space="preserve">2.2 Position Sizing Methodology</w:t>
      </w:r>
    </w:p>
    <w:p>
      <w:pPr>
        <w:spacing w:after="120"/>
      </w:pPr>
      <w:r>
        <w:rPr>
          <w:rFonts w:ascii="Arial" w:cs="Arial" w:eastAsia="Arial" w:hAnsi="Arial"/>
          <w:sz w:val="22"/>
          <w:szCs w:val="22"/>
        </w:rPr>
        <w:t xml:space="preserve">Each position is sized using the Fractional Kelly Criterion:</w:t>
      </w:r>
    </w:p>
    <w:p>
      <w:pPr>
        <w:spacing w:after="80"/>
      </w:pPr>
    </w:p>
    <w:p>
      <w:pPr>
        <w:spacing w:after="200"/>
        <w:jc w:val="center"/>
      </w:pPr>
      <w:r>
        <w:rPr>
          <w:rFonts w:ascii="Courier New" w:cs="Courier New" w:eastAsia="Courier New" w:hAnsi="Courier New"/>
          <w:color w:val="2C3E50"/>
          <w:sz w:val="22"/>
          <w:szCs w:val="22"/>
        </w:rPr>
        <w:t xml:space="preserve">f* = (p × b − q) / b    |    Actual position = f* / 2  (Half Kelly)</w:t>
      </w:r>
    </w:p>
    <w:p>
      <w:pPr>
        <w:spacing w:after="120"/>
      </w:pPr>
      <w:r>
        <w:rPr>
          <w:rFonts w:ascii="Arial" w:cs="Arial" w:eastAsia="Arial" w:hAnsi="Arial"/>
          <w:sz w:val="22"/>
          <w:szCs w:val="22"/>
        </w:rPr>
        <w:t xml:space="preserve">Where p = probability of profit, b = win/loss ratio, q = 1 - p. Half Kelly is used to reduce volatility while preserving most of the geometric growth rate. Position sizes are further constrained by concentration limits (max 15% single stock, max 30% single sector) and CVaR budgets.</w:t>
      </w:r>
    </w:p>
    <w:p>
      <w:r>
        <w:br w:type="page"/>
      </w:r>
    </w:p>
    <w:p>
      <w:pPr>
        <w:pStyle w:val="Heading1"/>
      </w:pPr>
      <w:r>
        <w:t xml:space="preserve">3. Signal Generation System</w:t>
      </w:r>
    </w:p>
    <w:p>
      <w:pPr>
        <w:spacing w:after="120"/>
      </w:pPr>
      <w:r>
        <w:rPr>
          <w:rFonts w:ascii="Arial" w:cs="Arial" w:eastAsia="Arial" w:hAnsi="Arial"/>
          <w:sz w:val="22"/>
          <w:szCs w:val="22"/>
        </w:rPr>
        <w:t xml:space="preserve">The signal system operates across three layers, each producing a score from -2 to +2. Scores are aggregated into a composite signal ranging from -9 to +9, which maps to position sizing and trading decisions.</w:t>
      </w:r>
    </w:p>
    <w:p>
      <w:pPr>
        <w:spacing w:after="80"/>
      </w:pPr>
    </w:p>
    <w:p>
      <w:pPr>
        <w:pStyle w:val="Heading2"/>
      </w:pPr>
      <w:r>
        <w:t xml:space="preserve">3.1 Macro Regime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10Y Treasury Yield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API</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20/60-day MA crossover + absolute level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VIX Volatility Index</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Polygon.io</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Zone classification (&lt;15, 15-25, 25-35, &gt;35)</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Fed Balance Sheet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(WALCL)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13-week MA of total assets change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Credit Spread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FRED (BAMLC0A0CM)</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IG OAS 20/60-day MA crossover</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Daily</w:t>
            </w:r>
          </w:p>
        </w:tc>
      </w:tr>
    </w:tbl>
    <w:p>
      <w:pPr>
        <w:spacing w:after="80"/>
      </w:pPr>
    </w:p>
    <w:p>
      <w:pPr>
        <w:pStyle w:val="Heading2"/>
      </w:pPr>
      <w:r>
        <w:t xml:space="preserve">3.2 Sector Timing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Alpha Source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SOX/SPX Relative Strength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Polygon.io</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20-day MA of ratio</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Sector momentum</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TSMC Monthly Revenue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TSMC IR website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3-month MA YoY growth rate</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Demand proxy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Hyperscaler Capex Surprise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 filings / FMP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Actual vs consensus delta</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Demand validation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API Pricing Trend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Manual tracking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Directional change detection</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Supply/demand balance</w:t>
            </w:r>
          </w:p>
        </w:tc>
      </w:tr>
    </w:tbl>
    <w:p>
      <w:pPr>
        <w:spacing w:after="80"/>
      </w:pPr>
    </w:p>
    <w:p>
      <w:pPr>
        <w:pStyle w:val="Heading2"/>
      </w:pPr>
      <w:r>
        <w:t xml:space="preserve">3.3 Stock-Level Entry Signals</w:t>
      </w:r>
    </w:p>
    <w:p>
      <w:pPr>
        <w:spacing w:after="120"/>
      </w:pPr>
      <w:r>
        <w:rPr>
          <w:rFonts w:ascii="Arial" w:cs="Arial" w:eastAsia="Arial" w:hAnsi="Arial"/>
          <w:sz w:val="22"/>
          <w:szCs w:val="22"/>
        </w:rPr>
        <w:t xml:space="preserve">Individual stock entry timing uses a combination of moving average systems (50/200-day EMA), RSI(14) overbought/oversold detection, volume confirmation on breakouts, and Post-Earnings Announcement Drift (PEAD) exploitation. Signals are scored and integrated into the composite framework rather than used independently.</w:t>
      </w:r>
    </w:p>
    <w:p>
      <w:pPr>
        <w:spacing w:after="80"/>
      </w:pPr>
    </w:p>
    <w:p>
      <w:pPr>
        <w:pStyle w:val="Heading2"/>
      </w:pPr>
      <w:r>
        <w:t xml:space="preserve">3.4 Signal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Composite Score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Regime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 to +9</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Risk-On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position, accelerate entry schedule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+3 to +5</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Moderate Risk-On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Maintain or add incrementally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to +2</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Hold current positions, no new entries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to -3</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Risk-Off</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Reduce exposure 25-50%</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 to -6</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Crisis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Reduce to minimum, deploy hedges</w:t>
            </w:r>
          </w:p>
        </w:tc>
      </w:tr>
    </w:tbl>
    <w:p>
      <w:r>
        <w:br w:type="page"/>
      </w:r>
    </w:p>
    <w:p>
      <w:pPr>
        <w:pStyle w:val="Heading1"/>
      </w:pPr>
      <w:r>
        <w:t xml:space="preserve">4. Risk Management Framework</w:t>
      </w:r>
    </w:p>
    <w:p>
      <w:pPr>
        <w:spacing w:after="120"/>
      </w:pPr>
      <w:r>
        <w:rPr>
          <w:rFonts w:ascii="Arial" w:cs="Arial" w:eastAsia="Arial" w:hAnsi="Arial"/>
          <w:sz w:val="22"/>
          <w:szCs w:val="22"/>
        </w:rPr>
        <w:t xml:space="preserve">Risk management is the most critical subsystem. It operates across three dimensions: position-level, portfolio-level, and behavioral.</w:t>
      </w:r>
    </w:p>
    <w:p>
      <w:pPr>
        <w:spacing w:after="80"/>
      </w:pPr>
    </w:p>
    <w:p>
      <w:pPr>
        <w:pStyle w:val="Heading2"/>
      </w:pPr>
      <w:r>
        <w:t xml:space="preserve">4.1 Stop-Loss Architecture</w:t>
      </w:r>
    </w:p>
    <w:p>
      <w:pPr>
        <w:pStyle w:val="Heading3"/>
      </w:pPr>
      <w:r>
        <w:t xml:space="preserve">4.1.1 Mechanical Stop-Loss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Single stock -20%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Reduce position by 50%</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Market order, same day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Single stock -30%</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Full exit</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Market order, same day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-15%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Reduce total exposure by 25%</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Sell worst performers first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Portfolio -20%</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Reduce to 50%, pause 1 month</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Systematic de-risk</w:t>
            </w:r>
          </w:p>
        </w:tc>
      </w:tr>
    </w:tbl>
    <w:p>
      <w:pPr>
        <w:spacing w:after="80"/>
      </w:pPr>
    </w:p>
    <w:p>
      <w:pPr>
        <w:pStyle w:val="Heading3"/>
      </w:pPr>
      <w:r>
        <w:t xml:space="preserve">4.1.2 Thesis Invalidation (Layer 2)</w:t>
      </w:r>
    </w:p>
    <w:p>
      <w:pPr>
        <w:spacing w:after="120"/>
      </w:pPr>
      <w:r>
        <w:rPr>
          <w:rFonts w:ascii="Arial" w:cs="Arial" w:eastAsia="Arial" w:hAnsi="Arial"/>
          <w:sz w:val="22"/>
          <w:szCs w:val="22"/>
        </w:rPr>
        <w:t xml:space="preserve">Each position carries a written investment thesis with explicit invalidation criteria. When the thesis is invalidated, the position is exited regardless of P&amp;L. Examples: Google terminating TPU partnership invalidates AVGO; consecutive Capex cuts by hyperscalers invalidate the entire upstream compute layer.</w:t>
      </w:r>
    </w:p>
    <w:p>
      <w:pPr>
        <w:spacing w:after="80"/>
      </w:pPr>
    </w:p>
    <w:p>
      <w:pPr>
        <w:pStyle w:val="Heading3"/>
      </w:pPr>
      <w:r>
        <w:t xml:space="preserve">4.1.3 Time-Based Exit (Layer 3)</w:t>
      </w:r>
    </w:p>
    <w:p>
      <w:pPr>
        <w:spacing w:after="120"/>
      </w:pPr>
      <w:r>
        <w:rPr>
          <w:rFonts w:ascii="Arial" w:cs="Arial" w:eastAsia="Arial" w:hAnsi="Arial"/>
          <w:sz w:val="22"/>
          <w:szCs w:val="22"/>
        </w:rPr>
        <w:t xml:space="preserve">Given the 6-18 month investment horizon, mandatory review checkpoints are set at month 6, 12, and 18. At 18 months, all positions are closed and the entire framework is reassessed before re-deployment.</w:t>
      </w:r>
    </w:p>
    <w:p>
      <w:pPr>
        <w:spacing w:after="80"/>
      </w:pPr>
    </w:p>
    <w:p>
      <w:pPr>
        <w:pStyle w:val="Heading2"/>
      </w:pPr>
      <w:r>
        <w:t xml:space="preserve">4.2 Portfolio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if Breached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Single Stock Concentration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 / Total Portfolio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Trim to 15%</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Sector Concentration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Infra Total / Total Assets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Diversify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Geographic Concentration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 Equity / Total Portfolio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Add non-US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Average Correlation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Top 5 holdings pairwise avg</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≤0.7</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Replace correlated names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 Max Drawdown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Rolling 5-day drawdown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Reduce 20%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Monthly CVaR (95%)</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Expected Shortfall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De-risk or hedge</w:t>
            </w:r>
          </w:p>
        </w:tc>
      </w:tr>
    </w:tbl>
    <w:p>
      <w:pPr>
        <w:spacing w:after="80"/>
      </w:pPr>
    </w:p>
    <w:p>
      <w:pPr>
        <w:pStyle w:val="Heading2"/>
      </w:pPr>
      <w:r>
        <w:t xml:space="preserve">4.3 Hedging Strategies</w:t>
      </w:r>
    </w:p>
    <w:p>
      <w:pPr>
        <w:spacing w:after="120"/>
      </w:pPr>
      <w:r>
        <w:rPr>
          <w:rFonts w:ascii="Arial" w:cs="Arial" w:eastAsia="Arial" w:hAnsi="Arial"/>
          <w:sz w:val="22"/>
          <w:szCs w:val="22"/>
        </w:rPr>
        <w:t xml:space="preserve">Three hedging approaches are available depending on market conditions and portfolio size: protective puts on QQQ (0.5-1% of portfolio per quarter), collar strategies on individual high-beta holdings, and tactical use of inverse ETFs (SOXS) after sustained rallies exceeding 15%.</w:t>
      </w:r>
    </w:p>
    <w:p>
      <w:r>
        <w:br w:type="page"/>
      </w:r>
    </w:p>
    <w:p>
      <w:pPr>
        <w:pStyle w:val="Heading1"/>
      </w:pPr>
      <w:r>
        <w:t xml:space="preserve">5. Technology Infrastructure</w:t>
      </w:r>
    </w:p>
    <w:p>
      <w:pPr>
        <w:spacing w:after="80"/>
      </w:pPr>
    </w:p>
    <w:p>
      <w:pPr>
        <w:pStyle w:val="Heading2"/>
      </w:pPr>
      <w:r>
        <w:t xml:space="preserve">5.1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Ingestion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Market Data API</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Polygon.io / Massive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Price, volume, options data</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Data Ingestion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Fundamental Data</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FMP ($19/mo)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Earnings, ratios, filings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Ingestion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Macro Data</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FRED API (free)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Rates, VIX, credit spreads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Hot Storage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Time-Series DB</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QuestDB (Docker)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Real-time signals, recent data</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Cold Storage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 Data</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Parquet + DuckDB</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Historical backtesting</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Config Storage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Metadata</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SQLite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Parameters, trade logs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Compute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Signal Engine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Python + pandas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Signal calculation pipeline</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Compute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Backtesting</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vectorbt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Strategy validation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Compute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Portfolio Optimization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PyPortfolioOpt / cvxpy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Weight optimization</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Compute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ML Signals</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scikit-learn / XGBoost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Factor models (Month 5+)</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Streamlit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Interactive monitoring</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Alerts</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Telegram Bot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Push notifications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Broker API</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Interactive Brokers (optional)</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Semi-automated orders</w:t>
            </w:r>
          </w:p>
        </w:tc>
      </w:tr>
    </w:tbl>
    <w:p>
      <w:pPr>
        <w:spacing w:after="80"/>
      </w:pPr>
    </w:p>
    <w:p>
      <w:pPr>
        <w:pStyle w:val="Heading2"/>
      </w:pPr>
      <w:r>
        <w:t xml:space="preserve">5.2 Data Flow Architecture</w:t>
      </w:r>
    </w:p>
    <w:p>
      <w:pPr>
        <w:spacing w:after="120"/>
      </w:pPr>
      <w:r>
        <w:rPr>
          <w:rFonts w:ascii="Arial" w:cs="Arial" w:eastAsia="Arial" w:hAnsi="Arial"/>
          <w:sz w:val="22"/>
          <w:szCs w:val="22"/>
        </w:rPr>
        <w:t xml:space="preserve">The system follows a batch processing model with daily execution. Each trading day at market close (4:00 PM ET), the pipeline runs automatically: (1) data ingestion from all sources into QuestDB, (2) signal calculation across all three layers, (3) risk metric update, (4) dashboard refresh, and (5) alert dispatch if any thresholds are breached. The entire pipeline completes in under 60 seconds for the current universe of approximately 25 securities.</w:t>
      </w:r>
    </w:p>
    <w:p>
      <w:pPr>
        <w:spacing w:after="80"/>
      </w:pPr>
    </w:p>
    <w:p>
      <w:pPr>
        <w:pStyle w:val="Heading2"/>
      </w:pPr>
      <w:r>
        <w:t xml:space="preserve">5.3 Monthly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free tiers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Early Production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Month 3-4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$48</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Polygon $29 + FMP $19</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Production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$48-100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 optional cloud server</w:t>
            </w:r>
          </w:p>
        </w:tc>
      </w:tr>
    </w:tbl>
    <w:p>
      <w:r>
        <w:br w:type="page"/>
      </w:r>
    </w:p>
    <w:p>
      <w:pPr>
        <w:pStyle w:val="Heading1"/>
      </w:pPr>
      <w:r>
        <w:t xml:space="preserve">6. Implementation Roadmap</w:t>
      </w:r>
    </w:p>
    <w:p>
      <w:pPr>
        <w:spacing w:after="80"/>
      </w:pPr>
    </w:p>
    <w:p>
      <w:pPr>
        <w:pStyle w:val="Heading2"/>
      </w:pPr>
      <w:r>
        <w:t xml:space="preserve">6.1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Layer + MVP Dashboard</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pipeline, macro signals, portfolio tracker, trade journal</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Signal System + Backtesting</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Sector/stock signals, vectorbt engine, signal aggregation scoring</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 Management + Kelly Engine</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VaR/CVaR, correlation monitoring, Kelly position sizing, portfolio optimization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Event Engine + Alternative Data</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News monitoring, earnings surprise detection, HMM regime research</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 Factors + Advanced Optimization</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Factor library, XGBoost signals, Monte Carlo simulation, Black-Litterman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Integration + Semi-Auto Execution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System orchestration, IB API, Telegram alerts, documentation, retrospective</w:t>
            </w:r>
          </w:p>
        </w:tc>
      </w:tr>
    </w:tbl>
    <w:p>
      <w:pPr>
        <w:spacing w:after="80"/>
      </w:pPr>
    </w:p>
    <w:p>
      <w:pPr>
        <w:pStyle w:val="Heading2"/>
      </w:pPr>
      <w:r>
        <w:t xml:space="preserve">6.2 Entry Execution Plan</w:t>
      </w:r>
    </w:p>
    <w:p>
      <w:pPr>
        <w:spacing w:after="120"/>
      </w:pPr>
      <w:r>
        <w:rPr>
          <w:rFonts w:ascii="Arial" w:cs="Arial" w:eastAsia="Arial" w:hAnsi="Arial"/>
          <w:sz w:val="22"/>
          <w:szCs w:val="22"/>
        </w:rPr>
        <w:t xml:space="preserve">Portfolio construction follows a 4-batch entry schedule designed to balance market exposure against timing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Batch</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Batch 1</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Immediate (Week 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40% of target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Unconditional</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Batch 2</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Week 3-4</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25% of target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Market pullback &gt;3% or time elapsed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Batch 3</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 6-8</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 of target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Sector trend confirmed</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Batch 4</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Opportunistic</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15% reserve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VIX &gt;30 or target stock -15%+</w:t>
            </w:r>
          </w:p>
        </w:tc>
      </w:tr>
    </w:tbl>
    <w:p>
      <w:r>
        <w:br w:type="page"/>
      </w:r>
    </w:p>
    <w:p>
      <w:pPr>
        <w:pStyle w:val="Heading1"/>
      </w:pPr>
      <w:r>
        <w:t xml:space="preserve">7. Monitoring &amp; Governance</w:t>
      </w:r>
    </w:p>
    <w:p>
      <w:pPr>
        <w:spacing w:after="80"/>
      </w:pPr>
    </w:p>
    <w:p>
      <w:pPr>
        <w:pStyle w:val="Heading2"/>
      </w:pPr>
      <w:r>
        <w:t xml:space="preserve">7.1 Checklist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7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7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Macro signals (10Y, VIX, SPX trend); Stop-loss proximity check; News scan for thesis-breaking events; Emotional self-assessment</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Weekly</w:t>
            </w:r>
          </w:p>
        </w:tc>
        <w:tc>
          <w:tcPr>
            <w:tcW w:type="dxa" w:w="7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Portfolio P&amp;L; Weight drift vs target; TSMC monthly revenue (if released); HBM spot price; Rebalance evaluation; Read 1 contrarian article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7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CVaR recalculation; Correlation matrix update; Kelly re-optimization; Trade journal review; 18-month timeline progress check</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Quarterly</w:t>
            </w:r>
          </w:p>
        </w:tc>
        <w:tc>
          <w:tcPr>
            <w:tcW w:type="dxa" w:w="7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Hyperscaler earnings Capex analysis; Full thesis review per position; Backtest performance vs live; System upgrade assessment</w:t>
            </w:r>
          </w:p>
        </w:tc>
      </w:tr>
    </w:tbl>
    <w:p>
      <w:pPr>
        <w:spacing w:after="80"/>
      </w:pPr>
    </w:p>
    <w:p>
      <w:pPr>
        <w:pStyle w:val="Heading2"/>
      </w:pPr>
      <w:r>
        <w:t xml:space="preserve">7.2 Emergency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DeepSeek-type efficiency shock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15-20%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Immediate 30% reduction; 2-3 week reassessment pause; re-enter if Jevons paradox thesis holds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ROI narrative collapse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10-15%</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Reduce to 30% exposure; rotate to cloud/application layer (defensive); exit pure compute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Geopolitical shock (Taiwan)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TSM immediate exit; reduce all semiconductor; hold cloud + power positions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10Y yield above 5%</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10-15%</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Reduce high-PE names (AVGO, PLTR); increase cash; add value-oriented positions</w:t>
            </w:r>
          </w:p>
        </w:tc>
      </w:tr>
    </w:tbl>
    <w:p>
      <w:r>
        <w:br w:type="page"/>
      </w:r>
    </w:p>
    <w:p>
      <w:pPr>
        <w:pStyle w:val="Heading1"/>
      </w:pPr>
      <w:r>
        <w:t xml:space="preserve">8. Research Agenda</w:t>
      </w:r>
    </w:p>
    <w:p>
      <w:pPr>
        <w:spacing w:after="120"/>
      </w:pPr>
      <w:r>
        <w:rPr>
          <w:rFonts w:ascii="Arial" w:cs="Arial" w:eastAsia="Arial" w:hAnsi="Arial"/>
          <w:sz w:val="22"/>
          <w:szCs w:val="22"/>
        </w:rPr>
        <w:t xml:space="preserve">Five research directions are prioritized for the 6-month build period. Each direction has a defined question, methodology, and expected alpha source.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Question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Output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 Infra Regime Detection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Can HMM identify tradable Bull/Bear states in SOX?</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Hidden Markov Model on SOX/SMH returns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Regime indicator for macro signal layer</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Capex Lead-Lag</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 semiconductor stocks react predictably to Capex announcements?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Event study + cross-sectional regression</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Event-driven trading rules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 Model Events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Are DeepSeek-type events predictable in their market impact?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CAR analysis around model releases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Pre-positioning strategy</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AI-Specific Factors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 traditional factors work within AI Infra?</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Fama-MacBeth regression</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Custom factor library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Power Bottleneck Sizing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How large is the DC power gap vs grid expansion?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Bottom-up supply/demand model</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Power sector valuation framework</w:t>
            </w:r>
          </w:p>
        </w:tc>
      </w:tr>
    </w:tbl>
    <w:p>
      <w:r>
        <w:br w:type="page"/>
      </w:r>
    </w:p>
    <w:p>
      <w:pPr>
        <w:pStyle w:val="Heading1"/>
      </w:pPr>
      <w:r>
        <w:t xml:space="preserve">9. Known Biases &amp; Mitigations</w:t>
      </w:r>
    </w:p>
    <w:p>
      <w:pPr>
        <w:spacing w:after="120"/>
      </w:pPr>
      <w:r>
        <w:rPr>
          <w:rFonts w:ascii="Arial" w:cs="Arial" w:eastAsia="Arial" w:hAnsi="Arial"/>
          <w:sz w:val="22"/>
          <w:szCs w:val="22"/>
        </w:rPr>
        <w:t xml:space="preserve">This system was designed with explicit awareness of the following cognitive and structural biases. Mitigations are embedded into the operational framework.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Bias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Confirmation Bias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Only seeking AI-bullish information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 contrarian reading requirement; 7% hedge allocation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Recency Bias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Over-weighting recent DeepSeek/NVDA narratives</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200-day MA for trend judgment; historical regime analysis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Anchoring Bias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Locking into initial position weights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 Kelly re-optimization; quarterly full reassessment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Survivorship Bias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Only considering past winners</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Include non-US, mid-cap, and out-of-favor names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Geographic Bias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Over-concentration in US equities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 non-US allocation mandate (ASML, SK Hynix, BABA)</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Time Frame Bias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Holding period drift beyond 18 months</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Hard 18-month exit discipline with mandatory reassessment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Scale Bias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Only large-cap positions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 allocation to mid/small-cap and REITs</w:t>
            </w:r>
          </w:p>
        </w:tc>
      </w:tr>
    </w:tbl>
    <w:p>
      <w:r>
        <w:br w:type="page"/>
      </w:r>
    </w:p>
    <w:p>
      <w:pPr>
        <w:pStyle w:val="Heading1"/>
      </w:pPr>
      <w:r>
        <w:t xml:space="preserve">10. Appendix</w:t>
      </w:r>
    </w:p>
    <w:p>
      <w:pPr>
        <w:spacing w:after="80"/>
      </w:pPr>
    </w:p>
    <w:p>
      <w:pPr>
        <w:pStyle w:val="Heading2"/>
      </w:pPr>
      <w:r>
        <w:t xml:space="preserve">10.1 Recommended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Quantitative Trading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Ernest Chan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Strategy development fundamentals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Algorithmic Trading</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Ernest Chan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Momentum and mean reversion</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Advances in Financial Machine Learning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Marcos Lopez de Prado</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 pitfalls in finance</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Active Portfolio Management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Grinold &amp; Kahn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Information Ratio framework</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Kelly Capital Growth Investment Criterion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MacLean, Thorp, Ziemba</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 sizing theory</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Expected Returns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Antti Ilmanen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Asset class return drivers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Thinking, Fast and Slow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Daniel Kahneman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Behavioral biases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Chip War</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Chris Miller</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Semiconductor geopolitics</w:t>
            </w:r>
          </w:p>
        </w:tc>
      </w:tr>
    </w:tbl>
    <w:p>
      <w:pPr>
        <w:spacing w:after="80"/>
      </w:pPr>
    </w:p>
    <w:p>
      <w:pPr>
        <w:pStyle w:val="Heading2"/>
      </w:pPr>
      <w:r>
        <w:t xml:space="preserve">10.2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Expression</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Kelly Criterion</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 = (p×b - q) / b</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Optimal position size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(Rp - Rf) / σp</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Risk-adjusted return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VaR (95%)</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μ - 1.645 × σ</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Maximum expected loss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ATR Stop-Loss</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Entry - 2 × ATR(14)</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Dynamic stop level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Position Size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(Account × Risk%) / (Entry - Stop)</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Dollar amount per trade</w:t>
            </w:r>
          </w:p>
        </w:tc>
      </w:tr>
    </w:tbl>
    <w:p>
      <w:pPr>
        <w:spacing w:after="80"/>
      </w:pPr>
    </w:p>
    <w:p>
      <w:pPr>
        <w:pBdr>
          <w:top w:val="single" w:color="1B4F72" w:sz="6" w:space="1"/>
        </w:pBdr>
        <w:spacing w:before="400"/>
        <w:jc w:val="center"/>
      </w:pPr>
    </w:p>
    <w:p>
      <w:pPr>
        <w:spacing w:before="200"/>
        <w:jc w:val="center"/>
      </w:pPr>
      <w:r>
        <w:rPr>
          <w:rFonts w:ascii="Arial" w:cs="Arial" w:eastAsia="Arial" w:hAnsi="Arial"/>
          <w:i/>
          <w:iCs/>
          <w:color w:val="7F8C8D"/>
          <w:sz w:val="20"/>
          <w:szCs w:val="20"/>
        </w:rPr>
        <w:t xml:space="preserve">End of Document</w:t>
      </w:r>
    </w:p>
    <w:p>
      <w:pPr>
        <w:jc w:val="center"/>
      </w:pPr>
      <w:r>
        <w:rPr>
          <w:rFonts w:ascii="Arial" w:cs="Arial" w:eastAsia="Arial" w:hAnsi="Arial"/>
          <w:color w:val="95A5A6"/>
          <w:sz w:val="18"/>
          <w:szCs w:val="18"/>
        </w:rPr>
        <w:t xml:space="preserve">This document is confidential and for personal use only. Not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7F8C8D"/>
        <w:sz w:val="18"/>
        <w:szCs w:val="18"/>
      </w:rPr>
      <w:t xml:space="preserve">Quantamental AI Infra Investment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2026-04-24T12:23:14.038Z</dcterms:created>
  <dcterms:modified xsi:type="dcterms:W3CDTF">2026-04-24T12:23:14.039Z</dcterms:modified>
</cp:coreProperties>
</file>

<file path=docProps/custom.xml><?xml version="1.0" encoding="utf-8"?>
<Properties xmlns="http://schemas.openxmlformats.org/officeDocument/2006/custom-properties" xmlns:vt="http://schemas.openxmlformats.org/officeDocument/2006/docPropsVTypes"/>
</file>