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A20A8">
      <w:pPr>
        <w:pStyle w:val="2"/>
        <w:keepNext w:val="0"/>
        <w:keepLines w:val="0"/>
        <w:widowControl/>
        <w:suppressLineNumbers w:val="0"/>
        <w:jc w:val="center"/>
        <w:outlineLvl w:val="9"/>
        <w:rPr>
          <w:rFonts w:hint="default" w:ascii="Times New Roman" w:hAnsi="Times New Roman" w:cs="Times New Roman"/>
        </w:rPr>
      </w:pPr>
    </w:p>
    <w:p w14:paraId="53DD898A">
      <w:pPr>
        <w:pStyle w:val="2"/>
        <w:keepNext w:val="0"/>
        <w:keepLines w:val="0"/>
        <w:widowControl/>
        <w:suppressLineNumbers w:val="0"/>
        <w:jc w:val="center"/>
        <w:outlineLvl w:val="9"/>
        <w:rPr>
          <w:rFonts w:hint="default" w:ascii="Times New Roman" w:hAnsi="Times New Roman" w:cs="Times New Roman"/>
        </w:rPr>
      </w:pPr>
    </w:p>
    <w:p w14:paraId="1086D36C">
      <w:pPr>
        <w:pStyle w:val="2"/>
        <w:keepNext w:val="0"/>
        <w:keepLines w:val="0"/>
        <w:widowControl/>
        <w:suppressLineNumbers w:val="0"/>
        <w:jc w:val="center"/>
        <w:rPr>
          <w:rFonts w:hint="default" w:ascii="Times New Roman" w:hAnsi="Times New Roman" w:cs="Times New Roman"/>
        </w:rPr>
      </w:pPr>
      <w:bookmarkStart w:id="0" w:name="_Toc25863"/>
      <w:bookmarkStart w:id="1" w:name="_Toc14942"/>
      <w:r>
        <w:rPr>
          <w:rFonts w:hint="default" w:ascii="Times New Roman" w:hAnsi="Times New Roman" w:cs="Times New Roman"/>
        </w:rPr>
        <w:t>Project Proposal:</w:t>
      </w:r>
      <w:bookmarkEnd w:id="0"/>
      <w:bookmarkEnd w:id="1"/>
    </w:p>
    <w:p w14:paraId="7B8EB1CB">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 xml:space="preserve"> </w:t>
      </w:r>
      <w:bookmarkStart w:id="2" w:name="_Toc9119"/>
      <w:bookmarkStart w:id="3" w:name="_Toc10495"/>
      <w:r>
        <w:rPr>
          <w:rFonts w:hint="default" w:ascii="Times New Roman" w:hAnsi="Times New Roman" w:cs="Times New Roman"/>
        </w:rPr>
        <w:t>PROMOTING E-GOVERNANCE THROUGH A UNIFIED DATABASED SYSTEM ACROSS GOVERNMENT MINISTRIES</w:t>
      </w:r>
      <w:bookmarkEnd w:id="2"/>
      <w:bookmarkEnd w:id="3"/>
    </w:p>
    <w:p w14:paraId="26257741">
      <w:pPr>
        <w:rPr>
          <w:rFonts w:hint="default" w:ascii="Times New Roman" w:hAnsi="Times New Roman" w:cs="Times New Roman"/>
        </w:rPr>
      </w:pPr>
    </w:p>
    <w:p w14:paraId="4BDFD883">
      <w:pPr>
        <w:rPr>
          <w:rFonts w:hint="default" w:ascii="Times New Roman" w:hAnsi="Times New Roman" w:cs="Times New Roman"/>
        </w:rPr>
      </w:pPr>
    </w:p>
    <w:p w14:paraId="5002F674">
      <w:pPr>
        <w:rPr>
          <w:rFonts w:hint="default" w:ascii="Times New Roman" w:hAnsi="Times New Roman" w:cs="Times New Roman"/>
        </w:rPr>
      </w:pPr>
    </w:p>
    <w:p w14:paraId="35413201">
      <w:pPr>
        <w:rPr>
          <w:rFonts w:hint="default" w:ascii="Times New Roman" w:hAnsi="Times New Roman" w:cs="Times New Roman"/>
        </w:rPr>
      </w:pPr>
    </w:p>
    <w:p w14:paraId="36E80787">
      <w:pPr>
        <w:rPr>
          <w:rFonts w:hint="default" w:ascii="Times New Roman" w:hAnsi="Times New Roman" w:cs="Times New Roman"/>
        </w:rPr>
      </w:pPr>
    </w:p>
    <w:p w14:paraId="785C6643">
      <w:pPr>
        <w:rPr>
          <w:rFonts w:hint="default" w:ascii="Times New Roman" w:hAnsi="Times New Roman" w:cs="Times New Roman"/>
        </w:rPr>
      </w:pPr>
    </w:p>
    <w:p w14:paraId="5FF95649">
      <w:pPr>
        <w:rPr>
          <w:rFonts w:hint="default" w:ascii="Times New Roman" w:hAnsi="Times New Roman" w:cs="Times New Roman"/>
        </w:rPr>
      </w:pPr>
    </w:p>
    <w:p w14:paraId="0D2BC092">
      <w:pPr>
        <w:rPr>
          <w:rFonts w:hint="default" w:ascii="Times New Roman" w:hAnsi="Times New Roman" w:cs="Times New Roman"/>
        </w:rPr>
      </w:pPr>
    </w:p>
    <w:p w14:paraId="5435F297">
      <w:pPr>
        <w:rPr>
          <w:rFonts w:hint="default" w:ascii="Times New Roman" w:hAnsi="Times New Roman" w:cs="Times New Roman"/>
        </w:rPr>
      </w:pPr>
    </w:p>
    <w:p w14:paraId="52FE6124">
      <w:pPr>
        <w:rPr>
          <w:rFonts w:hint="default" w:ascii="Times New Roman" w:hAnsi="Times New Roman" w:cs="Times New Roman"/>
        </w:rPr>
      </w:pPr>
    </w:p>
    <w:p w14:paraId="40612CC8">
      <w:pPr>
        <w:rPr>
          <w:rFonts w:hint="default" w:ascii="Times New Roman" w:hAnsi="Times New Roman" w:cs="Times New Roman"/>
        </w:rPr>
      </w:pPr>
    </w:p>
    <w:p w14:paraId="3499C3E6">
      <w:pPr>
        <w:rPr>
          <w:rFonts w:hint="default" w:ascii="Times New Roman" w:hAnsi="Times New Roman" w:cs="Times New Roman"/>
        </w:rPr>
      </w:pPr>
    </w:p>
    <w:p w14:paraId="2622F7E8">
      <w:pPr>
        <w:rPr>
          <w:rFonts w:hint="default" w:ascii="Times New Roman" w:hAnsi="Times New Roman" w:cs="Times New Roman"/>
        </w:rPr>
      </w:pPr>
    </w:p>
    <w:p w14:paraId="6AA0476A">
      <w:pPr>
        <w:rPr>
          <w:rFonts w:hint="default" w:ascii="Times New Roman" w:hAnsi="Times New Roman" w:cs="Times New Roman"/>
        </w:rPr>
      </w:pPr>
    </w:p>
    <w:p w14:paraId="18357D98">
      <w:pPr>
        <w:rPr>
          <w:rFonts w:hint="default" w:ascii="Times New Roman" w:hAnsi="Times New Roman" w:cs="Times New Roman"/>
        </w:rPr>
      </w:pPr>
    </w:p>
    <w:p w14:paraId="546D6191">
      <w:pPr>
        <w:rPr>
          <w:rFonts w:hint="default" w:ascii="Times New Roman" w:hAnsi="Times New Roman" w:cs="Times New Roman"/>
        </w:rPr>
      </w:pPr>
    </w:p>
    <w:p w14:paraId="0611D114">
      <w:pPr>
        <w:rPr>
          <w:rFonts w:hint="default" w:ascii="Times New Roman" w:hAnsi="Times New Roman" w:cs="Times New Roman"/>
        </w:rPr>
      </w:pPr>
    </w:p>
    <w:p w14:paraId="37A37FCE">
      <w:pPr>
        <w:rPr>
          <w:rFonts w:hint="default" w:ascii="Times New Roman" w:hAnsi="Times New Roman" w:cs="Times New Roman"/>
        </w:rPr>
      </w:pPr>
    </w:p>
    <w:p w14:paraId="087AA6D7">
      <w:pPr>
        <w:rPr>
          <w:rFonts w:hint="default" w:ascii="Times New Roman" w:hAnsi="Times New Roman" w:cs="Times New Roman"/>
        </w:rPr>
      </w:pPr>
    </w:p>
    <w:p w14:paraId="4FC9A681">
      <w:pPr>
        <w:rPr>
          <w:rFonts w:hint="default" w:ascii="Times New Roman" w:hAnsi="Times New Roman" w:cs="Times New Roman"/>
        </w:rPr>
      </w:pPr>
    </w:p>
    <w:p w14:paraId="05449B44">
      <w:pPr>
        <w:rPr>
          <w:rFonts w:hint="default" w:ascii="Times New Roman" w:hAnsi="Times New Roman" w:cs="Times New Roman"/>
        </w:rPr>
      </w:pPr>
    </w:p>
    <w:p w14:paraId="00ED6F34">
      <w:pPr>
        <w:rPr>
          <w:rFonts w:hint="default" w:ascii="Times New Roman" w:hAnsi="Times New Roman" w:cs="Times New Roman"/>
        </w:rPr>
      </w:pPr>
    </w:p>
    <w:p w14:paraId="1B867C5C">
      <w:pPr>
        <w:rPr>
          <w:rFonts w:hint="default" w:ascii="Times New Roman" w:hAnsi="Times New Roman" w:cs="Times New Roman"/>
        </w:rPr>
      </w:pPr>
    </w:p>
    <w:p w14:paraId="27EE3D55">
      <w:pPr>
        <w:rPr>
          <w:rFonts w:hint="default" w:ascii="Times New Roman" w:hAnsi="Times New Roman" w:cs="Times New Roman"/>
        </w:rPr>
      </w:pPr>
    </w:p>
    <w:p w14:paraId="08F61B1D">
      <w:pPr>
        <w:rPr>
          <w:rFonts w:hint="default" w:ascii="Times New Roman" w:hAnsi="Times New Roman" w:cs="Times New Roman"/>
        </w:rPr>
      </w:pPr>
    </w:p>
    <w:p w14:paraId="2D0651EB">
      <w:pPr>
        <w:rPr>
          <w:rFonts w:hint="default" w:ascii="Times New Roman" w:hAnsi="Times New Roman" w:cs="Times New Roman"/>
        </w:rPr>
        <w:sectPr>
          <w:pgSz w:w="11906" w:h="16838"/>
          <w:pgMar w:top="1440" w:right="1800" w:bottom="1440" w:left="1800" w:header="720" w:footer="720" w:gutter="0"/>
          <w:cols w:space="720" w:num="1"/>
          <w:docGrid w:linePitch="360" w:charSpace="0"/>
        </w:sectPr>
      </w:pPr>
    </w:p>
    <w:sdt>
      <w:sdtPr>
        <w:rPr>
          <w:rFonts w:ascii="SimSun" w:hAnsi="SimSun" w:eastAsia="SimSun" w:cstheme="minorBidi"/>
          <w:sz w:val="21"/>
          <w:lang w:val="en-US" w:eastAsia="zh-CN" w:bidi="ar-SA"/>
        </w:rPr>
        <w:id w:val="147467697"/>
        <w15:color w:val="DBDBDB"/>
        <w:docPartObj>
          <w:docPartGallery w:val="Table of Contents"/>
          <w:docPartUnique/>
        </w:docPartObj>
      </w:sdtPr>
      <w:sdtEndPr>
        <w:rPr>
          <w:rFonts w:hint="default" w:ascii="Times New Roman" w:hAnsi="Times New Roman" w:cs="Times New Roman" w:eastAsiaTheme="minorEastAsia"/>
          <w:b/>
          <w:lang w:val="en-US" w:eastAsia="zh-CN" w:bidi="ar-SA"/>
        </w:rPr>
      </w:sdtEndPr>
      <w:sdtContent>
        <w:p w14:paraId="6FF43F81">
          <w:pPr>
            <w:spacing w:before="0" w:beforeLines="0" w:after="0" w:afterLines="0" w:line="240" w:lineRule="auto"/>
            <w:ind w:left="0" w:leftChars="0" w:right="0" w:rightChars="0" w:firstLine="0" w:firstLineChars="0"/>
            <w:jc w:val="center"/>
            <w:rPr>
              <w:rFonts w:hint="default"/>
              <w:lang w:val="en-US"/>
            </w:rPr>
          </w:pPr>
          <w:r>
            <w:rPr>
              <w:rFonts w:hint="default" w:ascii="SimSun" w:hAnsi="SimSun" w:eastAsia="SimSun" w:cstheme="minorBidi"/>
              <w:sz w:val="21"/>
              <w:lang w:val="en-US" w:eastAsia="zh-CN" w:bidi="ar-SA"/>
            </w:rPr>
            <w:t>TABLE OF CONTENT</w:t>
          </w:r>
        </w:p>
        <w:p w14:paraId="2673ADC0">
          <w:pPr>
            <w:pStyle w:val="11"/>
            <w:tabs>
              <w:tab w:val="right" w:leader="dot" w:pos="8306"/>
            </w:tabs>
            <w:rPr>
              <w:b/>
            </w:rPr>
          </w:pPr>
          <w:r>
            <w:rPr>
              <w:rFonts w:hint="default" w:ascii="Times New Roman" w:hAnsi="Times New Roman" w:cs="Times New Roman" w:eastAsiaTheme="minorEastAsia"/>
              <w:b/>
              <w:lang w:val="en-US" w:eastAsia="zh-CN" w:bidi="ar-SA"/>
            </w:rPr>
            <w:fldChar w:fldCharType="begin"/>
          </w:r>
          <w:r>
            <w:rPr>
              <w:rFonts w:hint="default" w:ascii="Times New Roman" w:hAnsi="Times New Roman" w:cs="Times New Roman" w:eastAsiaTheme="minorEastAsia"/>
              <w:b/>
              <w:lang w:val="en-US" w:eastAsia="zh-CN" w:bidi="ar-SA"/>
            </w:rPr>
            <w:instrText xml:space="preserve">TOC \o "1-2" \h \u </w:instrText>
          </w:r>
          <w:r>
            <w:rPr>
              <w:rFonts w:hint="default" w:ascii="Times New Roman" w:hAnsi="Times New Roman" w:cs="Times New Roman" w:eastAsiaTheme="minorEastAsia"/>
              <w:b/>
              <w:lang w:val="en-US" w:eastAsia="zh-CN" w:bidi="ar-SA"/>
            </w:rPr>
            <w:fldChar w:fldCharType="separate"/>
          </w:r>
          <w:r>
            <w:rPr>
              <w:rFonts w:hint="default" w:ascii="Times New Roman" w:hAnsi="Times New Roman" w:cs="Times New Roman" w:eastAsiaTheme="minorEastAsia"/>
              <w:b/>
              <w:lang w:val="en-US" w:eastAsia="zh-CN" w:bidi="ar-SA"/>
            </w:rPr>
            <w:fldChar w:fldCharType="begin"/>
          </w:r>
          <w:r>
            <w:rPr>
              <w:rFonts w:hint="default" w:ascii="Times New Roman" w:hAnsi="Times New Roman" w:cs="Times New Roman" w:eastAsiaTheme="minorEastAsia"/>
              <w:b/>
              <w:lang w:val="en-US" w:eastAsia="zh-CN" w:bidi="ar-SA"/>
            </w:rPr>
            <w:instrText xml:space="preserve"> HYPERLINK \l _Toc14942 </w:instrText>
          </w:r>
          <w:r>
            <w:rPr>
              <w:rFonts w:hint="default" w:ascii="Times New Roman" w:hAnsi="Times New Roman" w:cs="Times New Roman" w:eastAsiaTheme="minorEastAsia"/>
              <w:b/>
              <w:lang w:val="en-US" w:eastAsia="zh-CN" w:bidi="ar-SA"/>
            </w:rPr>
            <w:fldChar w:fldCharType="separate"/>
          </w:r>
          <w:r>
            <w:rPr>
              <w:rFonts w:hint="default" w:ascii="Times New Roman" w:hAnsi="Times New Roman" w:cs="Times New Roman"/>
              <w:b/>
            </w:rPr>
            <w:t>Project Proposal:</w:t>
          </w:r>
          <w:r>
            <w:rPr>
              <w:b/>
            </w:rPr>
            <w:tab/>
          </w:r>
          <w:r>
            <w:rPr>
              <w:b/>
            </w:rPr>
            <w:fldChar w:fldCharType="begin"/>
          </w:r>
          <w:r>
            <w:rPr>
              <w:b/>
            </w:rPr>
            <w:instrText xml:space="preserve"> PAGEREF _Toc14942 \h </w:instrText>
          </w:r>
          <w:r>
            <w:rPr>
              <w:b/>
            </w:rPr>
            <w:fldChar w:fldCharType="separate"/>
          </w:r>
          <w:r>
            <w:rPr>
              <w:b/>
            </w:rPr>
            <w:t>1</w:t>
          </w:r>
          <w:r>
            <w:rPr>
              <w:b/>
            </w:rPr>
            <w:fldChar w:fldCharType="end"/>
          </w:r>
          <w:r>
            <w:rPr>
              <w:rFonts w:hint="default" w:ascii="Times New Roman" w:hAnsi="Times New Roman" w:cs="Times New Roman" w:eastAsiaTheme="minorEastAsia"/>
              <w:b/>
              <w:lang w:val="en-US" w:eastAsia="zh-CN" w:bidi="ar-SA"/>
            </w:rPr>
            <w:fldChar w:fldCharType="end"/>
          </w:r>
        </w:p>
        <w:p w14:paraId="594AD782">
          <w:pPr>
            <w:pStyle w:val="11"/>
            <w:tabs>
              <w:tab w:val="right" w:leader="dot" w:pos="8306"/>
            </w:tabs>
            <w:rPr>
              <w:b/>
            </w:rPr>
          </w:pPr>
          <w:r>
            <w:rPr>
              <w:rFonts w:hint="default" w:ascii="Times New Roman" w:hAnsi="Times New Roman" w:cs="Times New Roman" w:eastAsiaTheme="minorEastAsia"/>
              <w:b/>
              <w:lang w:val="en-US" w:eastAsia="zh-CN" w:bidi="ar-SA"/>
            </w:rPr>
            <w:fldChar w:fldCharType="begin"/>
          </w:r>
          <w:r>
            <w:rPr>
              <w:rFonts w:hint="default" w:ascii="Times New Roman" w:hAnsi="Times New Roman" w:cs="Times New Roman" w:eastAsiaTheme="minorEastAsia"/>
              <w:b/>
              <w:lang w:val="en-US" w:eastAsia="zh-CN" w:bidi="ar-SA"/>
            </w:rPr>
            <w:instrText xml:space="preserve"> HYPERLINK \l _Toc10495 </w:instrText>
          </w:r>
          <w:r>
            <w:rPr>
              <w:rFonts w:hint="default" w:ascii="Times New Roman" w:hAnsi="Times New Roman" w:cs="Times New Roman" w:eastAsiaTheme="minorEastAsia"/>
              <w:b/>
              <w:lang w:val="en-US" w:eastAsia="zh-CN" w:bidi="ar-SA"/>
            </w:rPr>
            <w:fldChar w:fldCharType="separate"/>
          </w:r>
          <w:r>
            <w:rPr>
              <w:rFonts w:hint="default" w:ascii="Times New Roman" w:hAnsi="Times New Roman" w:cs="Times New Roman"/>
              <w:b/>
            </w:rPr>
            <w:t>PROMOTING E-GOVERNANCE THROUGH A UNIFIED DATABASED SYSTEM ACROSS GOVERNMENT MINISTRIES</w:t>
          </w:r>
          <w:r>
            <w:rPr>
              <w:b/>
            </w:rPr>
            <w:tab/>
          </w:r>
          <w:r>
            <w:rPr>
              <w:b/>
            </w:rPr>
            <w:fldChar w:fldCharType="begin"/>
          </w:r>
          <w:r>
            <w:rPr>
              <w:b/>
            </w:rPr>
            <w:instrText xml:space="preserve"> PAGEREF _Toc10495 \h </w:instrText>
          </w:r>
          <w:r>
            <w:rPr>
              <w:b/>
            </w:rPr>
            <w:fldChar w:fldCharType="separate"/>
          </w:r>
          <w:r>
            <w:rPr>
              <w:b/>
            </w:rPr>
            <w:t>1</w:t>
          </w:r>
          <w:r>
            <w:rPr>
              <w:b/>
            </w:rPr>
            <w:fldChar w:fldCharType="end"/>
          </w:r>
          <w:r>
            <w:rPr>
              <w:rFonts w:hint="default" w:ascii="Times New Roman" w:hAnsi="Times New Roman" w:cs="Times New Roman" w:eastAsiaTheme="minorEastAsia"/>
              <w:b/>
              <w:lang w:val="en-US" w:eastAsia="zh-CN" w:bidi="ar-SA"/>
            </w:rPr>
            <w:fldChar w:fldCharType="end"/>
          </w:r>
        </w:p>
        <w:p w14:paraId="5A3A011D">
          <w:pPr>
            <w:pStyle w:val="12"/>
            <w:tabs>
              <w:tab w:val="right" w:leader="dot" w:pos="8306"/>
            </w:tabs>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_Toc11524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rPr>
            <w:t>Executive Summary</w:t>
          </w:r>
          <w:r>
            <w:tab/>
          </w:r>
          <w:r>
            <w:fldChar w:fldCharType="begin"/>
          </w:r>
          <w:r>
            <w:instrText xml:space="preserve"> PAGEREF _Toc11524 \h </w:instrText>
          </w:r>
          <w:r>
            <w:fldChar w:fldCharType="separate"/>
          </w:r>
          <w:r>
            <w:t>3</w:t>
          </w:r>
          <w:r>
            <w:fldChar w:fldCharType="end"/>
          </w:r>
          <w:r>
            <w:rPr>
              <w:rFonts w:hint="default" w:ascii="Times New Roman" w:hAnsi="Times New Roman" w:cs="Times New Roman" w:eastAsiaTheme="minorEastAsia"/>
              <w:lang w:val="en-US" w:eastAsia="zh-CN" w:bidi="ar-SA"/>
            </w:rPr>
            <w:fldChar w:fldCharType="end"/>
          </w:r>
        </w:p>
        <w:p w14:paraId="66002D8F">
          <w:pPr>
            <w:pStyle w:val="12"/>
            <w:tabs>
              <w:tab w:val="right" w:leader="dot" w:pos="8306"/>
            </w:tabs>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_Toc22126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rPr>
            <w:t>1. Introduction: The Vision for a Connected Government</w:t>
          </w:r>
          <w:r>
            <w:tab/>
          </w:r>
          <w:r>
            <w:fldChar w:fldCharType="begin"/>
          </w:r>
          <w:r>
            <w:instrText xml:space="preserve"> PAGEREF _Toc22126 \h </w:instrText>
          </w:r>
          <w:r>
            <w:fldChar w:fldCharType="separate"/>
          </w:r>
          <w:r>
            <w:t>4</w:t>
          </w:r>
          <w:r>
            <w:fldChar w:fldCharType="end"/>
          </w:r>
          <w:r>
            <w:rPr>
              <w:rFonts w:hint="default" w:ascii="Times New Roman" w:hAnsi="Times New Roman" w:cs="Times New Roman" w:eastAsiaTheme="minorEastAsia"/>
              <w:lang w:val="en-US" w:eastAsia="zh-CN" w:bidi="ar-SA"/>
            </w:rPr>
            <w:fldChar w:fldCharType="end"/>
          </w:r>
        </w:p>
        <w:p w14:paraId="0D00DDA1">
          <w:pPr>
            <w:pStyle w:val="12"/>
            <w:tabs>
              <w:tab w:val="right" w:leader="dot" w:pos="8306"/>
            </w:tabs>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_Toc2611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rPr>
            <w:t>2. Problem Statement: The High Cost of Disconnected Data</w:t>
          </w:r>
          <w:r>
            <w:tab/>
          </w:r>
          <w:r>
            <w:fldChar w:fldCharType="begin"/>
          </w:r>
          <w:r>
            <w:instrText xml:space="preserve"> PAGEREF _Toc2611 \h </w:instrText>
          </w:r>
          <w:r>
            <w:fldChar w:fldCharType="separate"/>
          </w:r>
          <w:r>
            <w:t>5</w:t>
          </w:r>
          <w:r>
            <w:fldChar w:fldCharType="end"/>
          </w:r>
          <w:r>
            <w:rPr>
              <w:rFonts w:hint="default" w:ascii="Times New Roman" w:hAnsi="Times New Roman" w:cs="Times New Roman" w:eastAsiaTheme="minorEastAsia"/>
              <w:lang w:val="en-US" w:eastAsia="zh-CN" w:bidi="ar-SA"/>
            </w:rPr>
            <w:fldChar w:fldCharType="end"/>
          </w:r>
        </w:p>
        <w:p w14:paraId="1F23E501">
          <w:pPr>
            <w:pStyle w:val="12"/>
            <w:tabs>
              <w:tab w:val="right" w:leader="dot" w:pos="8306"/>
            </w:tabs>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_Toc11657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rPr>
            <w:t>3. Project Scope</w:t>
          </w:r>
          <w:r>
            <w:tab/>
          </w:r>
          <w:r>
            <w:fldChar w:fldCharType="begin"/>
          </w:r>
          <w:r>
            <w:instrText xml:space="preserve"> PAGEREF _Toc11657 \h </w:instrText>
          </w:r>
          <w:r>
            <w:fldChar w:fldCharType="separate"/>
          </w:r>
          <w:r>
            <w:t>8</w:t>
          </w:r>
          <w:r>
            <w:fldChar w:fldCharType="end"/>
          </w:r>
          <w:r>
            <w:rPr>
              <w:rFonts w:hint="default" w:ascii="Times New Roman" w:hAnsi="Times New Roman" w:cs="Times New Roman" w:eastAsiaTheme="minorEastAsia"/>
              <w:lang w:val="en-US" w:eastAsia="zh-CN" w:bidi="ar-SA"/>
            </w:rPr>
            <w:fldChar w:fldCharType="end"/>
          </w:r>
        </w:p>
        <w:p w14:paraId="49ACFEC8">
          <w:pPr>
            <w:pStyle w:val="12"/>
            <w:tabs>
              <w:tab w:val="right" w:leader="dot" w:pos="8306"/>
            </w:tabs>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_Toc23432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rPr>
            <w:t>4. Proposed Solution: The Min-Connect Platform</w:t>
          </w:r>
          <w:r>
            <w:tab/>
          </w:r>
          <w:r>
            <w:fldChar w:fldCharType="begin"/>
          </w:r>
          <w:r>
            <w:instrText xml:space="preserve"> PAGEREF _Toc23432 \h </w:instrText>
          </w:r>
          <w:r>
            <w:fldChar w:fldCharType="separate"/>
          </w:r>
          <w:r>
            <w:t>10</w:t>
          </w:r>
          <w:r>
            <w:fldChar w:fldCharType="end"/>
          </w:r>
          <w:r>
            <w:rPr>
              <w:rFonts w:hint="default" w:ascii="Times New Roman" w:hAnsi="Times New Roman" w:cs="Times New Roman" w:eastAsiaTheme="minorEastAsia"/>
              <w:lang w:val="en-US" w:eastAsia="zh-CN" w:bidi="ar-SA"/>
            </w:rPr>
            <w:fldChar w:fldCharType="end"/>
          </w:r>
        </w:p>
        <w:p w14:paraId="7CF3396D">
          <w:pPr>
            <w:pStyle w:val="12"/>
            <w:tabs>
              <w:tab w:val="right" w:leader="dot" w:pos="8306"/>
            </w:tabs>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_Toc19889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rPr>
            <w:t>5. Justification of Core System Properties</w:t>
          </w:r>
          <w:r>
            <w:tab/>
          </w:r>
          <w:r>
            <w:fldChar w:fldCharType="begin"/>
          </w:r>
          <w:r>
            <w:instrText xml:space="preserve"> PAGEREF _Toc19889 \h </w:instrText>
          </w:r>
          <w:r>
            <w:fldChar w:fldCharType="separate"/>
          </w:r>
          <w:r>
            <w:t>15</w:t>
          </w:r>
          <w:r>
            <w:fldChar w:fldCharType="end"/>
          </w:r>
          <w:r>
            <w:rPr>
              <w:rFonts w:hint="default" w:ascii="Times New Roman" w:hAnsi="Times New Roman" w:cs="Times New Roman" w:eastAsiaTheme="minorEastAsia"/>
              <w:lang w:val="en-US" w:eastAsia="zh-CN" w:bidi="ar-SA"/>
            </w:rPr>
            <w:fldChar w:fldCharType="end"/>
          </w:r>
        </w:p>
        <w:p w14:paraId="65E689FB">
          <w:pPr>
            <w:pStyle w:val="12"/>
            <w:tabs>
              <w:tab w:val="right" w:leader="dot" w:pos="8306"/>
            </w:tabs>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_Toc30261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rPr>
            <w:t>6. System Design and Architecture</w:t>
          </w:r>
          <w:r>
            <w:tab/>
          </w:r>
          <w:r>
            <w:fldChar w:fldCharType="begin"/>
          </w:r>
          <w:r>
            <w:instrText xml:space="preserve"> PAGEREF _Toc30261 \h </w:instrText>
          </w:r>
          <w:r>
            <w:fldChar w:fldCharType="separate"/>
          </w:r>
          <w:r>
            <w:t>19</w:t>
          </w:r>
          <w:r>
            <w:fldChar w:fldCharType="end"/>
          </w:r>
          <w:r>
            <w:rPr>
              <w:rFonts w:hint="default" w:ascii="Times New Roman" w:hAnsi="Times New Roman" w:cs="Times New Roman" w:eastAsiaTheme="minorEastAsia"/>
              <w:lang w:val="en-US" w:eastAsia="zh-CN" w:bidi="ar-SA"/>
            </w:rPr>
            <w:fldChar w:fldCharType="end"/>
          </w:r>
        </w:p>
        <w:p w14:paraId="7303B51A">
          <w:pPr>
            <w:pStyle w:val="12"/>
            <w:tabs>
              <w:tab w:val="right" w:leader="dot" w:pos="8306"/>
            </w:tabs>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_Toc25951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rPr>
            <w:t>7. Proposed Technology Stack</w:t>
          </w:r>
          <w:r>
            <w:tab/>
          </w:r>
          <w:r>
            <w:fldChar w:fldCharType="begin"/>
          </w:r>
          <w:r>
            <w:instrText xml:space="preserve"> PAGEREF _Toc25951 \h </w:instrText>
          </w:r>
          <w:r>
            <w:fldChar w:fldCharType="separate"/>
          </w:r>
          <w:r>
            <w:t>22</w:t>
          </w:r>
          <w:r>
            <w:fldChar w:fldCharType="end"/>
          </w:r>
          <w:r>
            <w:rPr>
              <w:rFonts w:hint="default" w:ascii="Times New Roman" w:hAnsi="Times New Roman" w:cs="Times New Roman" w:eastAsiaTheme="minorEastAsia"/>
              <w:lang w:val="en-US" w:eastAsia="zh-CN" w:bidi="ar-SA"/>
            </w:rPr>
            <w:fldChar w:fldCharType="end"/>
          </w:r>
        </w:p>
        <w:p w14:paraId="2A39DECA">
          <w:pPr>
            <w:pStyle w:val="12"/>
            <w:tabs>
              <w:tab w:val="right" w:leader="dot" w:pos="8306"/>
            </w:tabs>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_Toc27821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rPr>
            <w:t>8. Project Implementation Plan and Timeline</w:t>
          </w:r>
          <w:r>
            <w:tab/>
          </w:r>
          <w:r>
            <w:fldChar w:fldCharType="begin"/>
          </w:r>
          <w:r>
            <w:instrText xml:space="preserve"> PAGEREF _Toc27821 \h </w:instrText>
          </w:r>
          <w:r>
            <w:fldChar w:fldCharType="separate"/>
          </w:r>
          <w:r>
            <w:t>23</w:t>
          </w:r>
          <w:r>
            <w:fldChar w:fldCharType="end"/>
          </w:r>
          <w:r>
            <w:rPr>
              <w:rFonts w:hint="default" w:ascii="Times New Roman" w:hAnsi="Times New Roman" w:cs="Times New Roman" w:eastAsiaTheme="minorEastAsia"/>
              <w:lang w:val="en-US" w:eastAsia="zh-CN" w:bidi="ar-SA"/>
            </w:rPr>
            <w:fldChar w:fldCharType="end"/>
          </w:r>
        </w:p>
        <w:p w14:paraId="47B884E7">
          <w:pPr>
            <w:pStyle w:val="12"/>
            <w:tabs>
              <w:tab w:val="right" w:leader="dot" w:pos="8306"/>
            </w:tabs>
          </w:pPr>
          <w:r>
            <w:rPr>
              <w:rFonts w:hint="default" w:ascii="Times New Roman" w:hAnsi="Times New Roman" w:cs="Times New Roman" w:eastAsiaTheme="minorEastAsia"/>
              <w:lang w:val="en-US" w:eastAsia="zh-CN" w:bidi="ar-SA"/>
            </w:rPr>
            <w:fldChar w:fldCharType="begin"/>
          </w:r>
          <w:r>
            <w:rPr>
              <w:rFonts w:hint="default" w:ascii="Times New Roman" w:hAnsi="Times New Roman" w:cs="Times New Roman" w:eastAsiaTheme="minorEastAsia"/>
              <w:lang w:val="en-US" w:eastAsia="zh-CN" w:bidi="ar-SA"/>
            </w:rPr>
            <w:instrText xml:space="preserve"> HYPERLINK \l _Toc27538 </w:instrText>
          </w:r>
          <w:r>
            <w:rPr>
              <w:rFonts w:hint="default" w:ascii="Times New Roman" w:hAnsi="Times New Roman" w:cs="Times New Roman" w:eastAsiaTheme="minorEastAsia"/>
              <w:lang w:val="en-US" w:eastAsia="zh-CN" w:bidi="ar-SA"/>
            </w:rPr>
            <w:fldChar w:fldCharType="separate"/>
          </w:r>
          <w:r>
            <w:rPr>
              <w:rFonts w:hint="default" w:ascii="Times New Roman" w:hAnsi="Times New Roman" w:cs="Times New Roman"/>
            </w:rPr>
            <w:t>9. Conclusion</w:t>
          </w:r>
          <w:r>
            <w:tab/>
          </w:r>
          <w:r>
            <w:fldChar w:fldCharType="begin"/>
          </w:r>
          <w:r>
            <w:instrText xml:space="preserve"> PAGEREF _Toc27538 \h </w:instrText>
          </w:r>
          <w:r>
            <w:fldChar w:fldCharType="separate"/>
          </w:r>
          <w:r>
            <w:t>25</w:t>
          </w:r>
          <w:r>
            <w:fldChar w:fldCharType="end"/>
          </w:r>
          <w:r>
            <w:rPr>
              <w:rFonts w:hint="default" w:ascii="Times New Roman" w:hAnsi="Times New Roman" w:cs="Times New Roman" w:eastAsiaTheme="minorEastAsia"/>
              <w:lang w:val="en-US" w:eastAsia="zh-CN" w:bidi="ar-SA"/>
            </w:rPr>
            <w:fldChar w:fldCharType="end"/>
          </w:r>
        </w:p>
        <w:p w14:paraId="78EBC6B9">
          <w:pPr>
            <w:rPr>
              <w:rFonts w:hint="default" w:ascii="Times New Roman" w:hAnsi="Times New Roman" w:cs="Times New Roman" w:eastAsiaTheme="minorEastAsia"/>
              <w:b/>
              <w:lang w:val="en-US" w:eastAsia="zh-CN" w:bidi="ar-SA"/>
            </w:rPr>
          </w:pPr>
          <w:r>
            <w:rPr>
              <w:rFonts w:hint="default" w:ascii="Times New Roman" w:hAnsi="Times New Roman" w:cs="Times New Roman" w:eastAsiaTheme="minorEastAsia"/>
              <w:b/>
              <w:lang w:val="en-US" w:eastAsia="zh-CN" w:bidi="ar-SA"/>
            </w:rPr>
            <w:fldChar w:fldCharType="end"/>
          </w:r>
        </w:p>
      </w:sdtContent>
    </w:sdt>
    <w:p w14:paraId="50D03790">
      <w:pPr>
        <w:rPr>
          <w:rFonts w:hint="default" w:ascii="Times New Roman" w:hAnsi="Times New Roman" w:cs="Times New Roman" w:eastAsiaTheme="minorEastAsia"/>
          <w:b/>
          <w:lang w:val="en-US" w:eastAsia="zh-CN" w:bidi="ar-SA"/>
        </w:rPr>
        <w:sectPr>
          <w:pgSz w:w="11906" w:h="16838"/>
          <w:pgMar w:top="1440" w:right="1800" w:bottom="1440" w:left="1800" w:header="720" w:footer="720" w:gutter="0"/>
          <w:cols w:space="720" w:num="1"/>
          <w:docGrid w:linePitch="360" w:charSpace="0"/>
        </w:sectPr>
      </w:pPr>
    </w:p>
    <w:p w14:paraId="6DD57D77">
      <w:pPr>
        <w:rPr>
          <w:rFonts w:hint="default" w:ascii="Times New Roman" w:hAnsi="Times New Roman" w:cs="Times New Roman"/>
        </w:rPr>
      </w:pPr>
    </w:p>
    <w:p w14:paraId="3174638B">
      <w:pPr>
        <w:rPr>
          <w:rFonts w:hint="default" w:ascii="Times New Roman" w:hAnsi="Times New Roman" w:cs="Times New Roman"/>
        </w:rPr>
      </w:pPr>
    </w:p>
    <w:p w14:paraId="2A00496A">
      <w:pPr>
        <w:rPr>
          <w:rFonts w:hint="default" w:ascii="Times New Roman" w:hAnsi="Times New Roman" w:cs="Times New Roman"/>
        </w:rPr>
      </w:pPr>
    </w:p>
    <w:p w14:paraId="59D6B6EF">
      <w:pPr>
        <w:pStyle w:val="9"/>
        <w:keepNext w:val="0"/>
        <w:keepLines w:val="0"/>
        <w:widowControl/>
        <w:suppressLineNumbers w:val="0"/>
        <w:rPr>
          <w:rFonts w:hint="default" w:ascii="Times New Roman" w:hAnsi="Times New Roman" w:cs="Times New Roman"/>
          <w:lang w:val="en-US"/>
        </w:rPr>
      </w:pPr>
      <w:r>
        <w:rPr>
          <w:rStyle w:val="10"/>
          <w:rFonts w:hint="default" w:ascii="Times New Roman" w:hAnsi="Times New Roman" w:cs="Times New Roman"/>
        </w:rPr>
        <w:t>A Unified Data</w:t>
      </w:r>
      <w:r>
        <w:rPr>
          <w:rStyle w:val="10"/>
          <w:rFonts w:hint="default" w:ascii="Times New Roman" w:hAnsi="Times New Roman" w:cs="Times New Roman"/>
          <w:lang w:val="en-US"/>
        </w:rPr>
        <w:t xml:space="preserve">Based </w:t>
      </w:r>
      <w:r>
        <w:rPr>
          <w:rStyle w:val="10"/>
          <w:rFonts w:hint="default" w:ascii="Times New Roman" w:hAnsi="Times New Roman" w:cs="Times New Roman"/>
        </w:rPr>
        <w:t xml:space="preserve"> </w:t>
      </w:r>
      <w:r>
        <w:rPr>
          <w:rStyle w:val="10"/>
          <w:rFonts w:hint="default" w:ascii="Times New Roman" w:hAnsi="Times New Roman" w:cs="Times New Roman"/>
          <w:lang w:val="en-US"/>
        </w:rPr>
        <w:t xml:space="preserve">System Across Government Minisries </w:t>
      </w:r>
    </w:p>
    <w:p w14:paraId="1EE92F21">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Prepared By:</w:t>
      </w:r>
      <w:r>
        <w:rPr>
          <w:rStyle w:val="10"/>
          <w:rFonts w:hint="default" w:ascii="Times New Roman" w:hAnsi="Times New Roman" w:cs="Times New Roman"/>
          <w:lang w:val="en-US"/>
        </w:rPr>
        <w:t xml:space="preserve"> SHUYE ANITA BERINYU</w:t>
      </w:r>
      <w:r>
        <w:rPr>
          <w:rFonts w:hint="default" w:ascii="Times New Roman" w:hAnsi="Times New Roman" w:cs="Times New Roman"/>
        </w:rPr>
        <w:t xml:space="preserve">,  </w:t>
      </w:r>
      <w:r>
        <w:rPr>
          <w:rStyle w:val="10"/>
          <w:rFonts w:hint="default" w:ascii="Times New Roman" w:hAnsi="Times New Roman" w:cs="Times New Roman"/>
        </w:rPr>
        <w:t>Date:</w:t>
      </w:r>
      <w:r>
        <w:rPr>
          <w:rFonts w:hint="default" w:ascii="Times New Roman" w:hAnsi="Times New Roman" w:cs="Times New Roman"/>
        </w:rPr>
        <w:t xml:space="preserve"> October </w:t>
      </w:r>
      <w:r>
        <w:rPr>
          <w:rFonts w:hint="default" w:ascii="Times New Roman" w:hAnsi="Times New Roman" w:cs="Times New Roman"/>
          <w:lang w:val="en-US"/>
        </w:rPr>
        <w:t>12-</w:t>
      </w:r>
      <w:r>
        <w:rPr>
          <w:rFonts w:hint="default" w:ascii="Times New Roman" w:hAnsi="Times New Roman" w:cs="Times New Roman"/>
        </w:rPr>
        <w:t>1</w:t>
      </w:r>
      <w:r>
        <w:rPr>
          <w:rFonts w:hint="default" w:ascii="Times New Roman" w:hAnsi="Times New Roman" w:cs="Times New Roman"/>
          <w:lang w:val="en-US"/>
        </w:rPr>
        <w:t>7</w:t>
      </w:r>
      <w:r>
        <w:rPr>
          <w:rFonts w:hint="default" w:ascii="Times New Roman" w:hAnsi="Times New Roman" w:cs="Times New Roman"/>
        </w:rPr>
        <w:t xml:space="preserve">, 2025 </w:t>
      </w:r>
    </w:p>
    <w:p w14:paraId="5174F011">
      <w:pPr>
        <w:pStyle w:val="3"/>
        <w:keepNext w:val="0"/>
        <w:keepLines w:val="0"/>
        <w:widowControl/>
        <w:suppressLineNumbers w:val="0"/>
        <w:outlineLvl w:val="0"/>
        <w:rPr>
          <w:rFonts w:hint="default" w:ascii="Times New Roman" w:hAnsi="Times New Roman" w:cs="Times New Roman"/>
        </w:rPr>
      </w:pPr>
      <w:bookmarkStart w:id="4" w:name="_Toc27740"/>
      <w:bookmarkStart w:id="5" w:name="_Toc11524"/>
      <w:r>
        <w:rPr>
          <w:rFonts w:hint="default" w:ascii="Times New Roman" w:hAnsi="Times New Roman" w:cs="Times New Roman"/>
        </w:rPr>
        <w:t>Executive Summary</w:t>
      </w:r>
      <w:bookmarkEnd w:id="4"/>
      <w:bookmarkEnd w:id="5"/>
    </w:p>
    <w:p w14:paraId="366D5F5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Cameroon's public sector, like many worldwide, operates on a foundation of siloed ministerial departments. While each ministry performs its duties effectively within its own domain, the lack of digital interoperability creates significant systemic inefficiencies, security vulnerabilities, and hinders collaborative governance. Citizens and businesses are often caught in a bureaucratic loop, required to submit the same information repeatedly to different government bodies. This data redundancy not only frustrates the public but also leads to inconsistent records, increased operational costs, and an inability for the government to make holistic, data-driven policy decisions.</w:t>
      </w:r>
    </w:p>
    <w:p w14:paraId="779ED5F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InnovateCM Solutions proposes </w:t>
      </w:r>
      <w:r>
        <w:rPr>
          <w:rStyle w:val="10"/>
          <w:rFonts w:hint="default" w:ascii="Times New Roman" w:hAnsi="Times New Roman" w:cs="Times New Roman"/>
        </w:rPr>
        <w:t>Min-Connect Cameroon</w:t>
      </w:r>
      <w:r>
        <w:rPr>
          <w:rFonts w:hint="default" w:ascii="Times New Roman" w:hAnsi="Times New Roman" w:cs="Times New Roman"/>
        </w:rPr>
        <w:t>, a state-of-the-art, secure, and robust unified data exchange platform designed to bridge the digital divide between Cameroon's key ministries. This service is not a centralized database that usurps ministerial control; rather, it is a distributed data fabric—an intelligent middleware layer that enables secure, real-time data sharing and collaboration based on standardized protocols and stringent access controls.</w:t>
      </w:r>
    </w:p>
    <w:p w14:paraId="4498457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Our initial implementation will focus on creating a unified data network between five critical ministries: the Ministry of Transport, the Ministry of Finance, the Ministry of Higher Education, the Ministry of Defense, and the Ministry of Territorial Administration. By connecting these pillars of public administration, Min-Connect will deliver immediate and tangible benefits:</w:t>
      </w:r>
    </w:p>
    <w:p w14:paraId="325C86CB">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For Citizens &amp; Businesses:</w:t>
      </w:r>
      <w:r>
        <w:rPr>
          <w:rFonts w:hint="default" w:ascii="Times New Roman" w:hAnsi="Times New Roman" w:cs="Times New Roman"/>
        </w:rPr>
        <w:t xml:space="preserve"> A "submit-once" principle, drastically reducing the time, cost, and complexity of interacting with government services, from vehicle registration and customs clearance to business permits and academic verification.</w:t>
      </w:r>
    </w:p>
    <w:p w14:paraId="1482D90D">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For Government:</w:t>
      </w:r>
      <w:r>
        <w:rPr>
          <w:rFonts w:hint="default" w:ascii="Times New Roman" w:hAnsi="Times New Roman" w:cs="Times New Roman"/>
        </w:rPr>
        <w:t xml:space="preserve"> Enhanced data accuracy, elimination of redundant data entry, streamlined inter-agency workflows, improved national security through verified identity management, and the capacity for evidence-based policymaking.</w:t>
      </w:r>
    </w:p>
    <w:p w14:paraId="51088ADB">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For the Nation:</w:t>
      </w:r>
      <w:r>
        <w:rPr>
          <w:rFonts w:hint="default" w:ascii="Times New Roman" w:hAnsi="Times New Roman" w:cs="Times New Roman"/>
        </w:rPr>
        <w:t xml:space="preserve"> A foundational step towards a truly digital economy, fostering transparency, attracting investment, and improving Cameroon's global standing in e-governance.</w:t>
      </w:r>
    </w:p>
    <w:p w14:paraId="3A8A7C4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Min-Connect platform is architected from the ground up on three core principles of modern distributed systems:</w:t>
      </w:r>
    </w:p>
    <w:p w14:paraId="4530D6A5">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Scalability:</w:t>
      </w:r>
      <w:r>
        <w:rPr>
          <w:rFonts w:hint="default" w:ascii="Times New Roman" w:hAnsi="Times New Roman" w:cs="Times New Roman"/>
        </w:rPr>
        <w:t xml:space="preserve"> Built on a microservices architecture and cloud-native infrastructure, the platform can seamlessly scale horizontally to onboard every government ministry and agency without performance degradation.</w:t>
      </w:r>
    </w:p>
    <w:p w14:paraId="2C1463CD">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Fault Tolerance:</w:t>
      </w:r>
      <w:r>
        <w:rPr>
          <w:rFonts w:hint="default" w:ascii="Times New Roman" w:hAnsi="Times New Roman" w:cs="Times New Roman"/>
        </w:rPr>
        <w:t xml:space="preserve"> Through geographic redundancy, automated failover mechanisms, and data replication, the system guarantees high availability and resilience, ensuring that the failure of any single component does not disrupt the entire network.</w:t>
      </w:r>
    </w:p>
    <w:p w14:paraId="5BD7A0B9">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Collaboration:</w:t>
      </w:r>
      <w:r>
        <w:rPr>
          <w:rFonts w:hint="default" w:ascii="Times New Roman" w:hAnsi="Times New Roman" w:cs="Times New Roman"/>
        </w:rPr>
        <w:t xml:space="preserve"> By providing standardized APIs and a unified data model, the platform breaks down communication barriers, enabling ministries to collaborate on complex, cross-domain challenges in a secure and audited environment.</w:t>
      </w:r>
    </w:p>
    <w:p w14:paraId="36F5BAE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document provides a comprehensive overview of the existing problem, the scope of our proposed solution, a detailed technical architecture, and a strategic implementation plan. We are confident that Min-Connect Cameroon represents a transformative opportunity to modernize public administration and unlock a new era of efficiency and development for the nation.</w:t>
      </w:r>
    </w:p>
    <w:p w14:paraId="5CF03B04">
      <w:pPr>
        <w:pStyle w:val="3"/>
        <w:keepNext w:val="0"/>
        <w:keepLines w:val="0"/>
        <w:widowControl/>
        <w:suppressLineNumbers w:val="0"/>
        <w:rPr>
          <w:rFonts w:hint="default" w:ascii="Times New Roman" w:hAnsi="Times New Roman" w:cs="Times New Roman"/>
        </w:rPr>
      </w:pPr>
      <w:bookmarkStart w:id="6" w:name="_Toc28036"/>
      <w:bookmarkStart w:id="7" w:name="_Toc22126"/>
      <w:r>
        <w:rPr>
          <w:rFonts w:hint="default" w:ascii="Times New Roman" w:hAnsi="Times New Roman" w:cs="Times New Roman"/>
        </w:rPr>
        <w:t>1. Introduction: The Vision for a Connected Government</w:t>
      </w:r>
      <w:bookmarkEnd w:id="6"/>
      <w:bookmarkEnd w:id="7"/>
    </w:p>
    <w:p w14:paraId="2920948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age of digital transformation, the true power of a nation lies not just in its resources or infrastructure, but in its ability to harness and utilize data effectively. Data is the bedrock of modern governance, enabling efficient service delivery, informed policy, and robust national security. However, when data is locked away in isolated, ministry-specific silos, it becomes a liability—a source of friction, redundancy, and missed opportunities.</w:t>
      </w:r>
    </w:p>
    <w:p w14:paraId="2920CE1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InnovateCM Solutions was founded on the belief that technology can and should be a powerful force for national progress. Our vision is to build the digital infrastructure that empowers Cameroon to leapfrog developmental stages, moving directly to a streamlined, citizen-centric model of e-governance. We see a future where a business can be registered, taxed, and licensed through a single, seamless digital process; where a citizen's identity is verified once and respected across all government platforms; and where policymakers have access to accurate, real-time data to address the nation's most pressing challenges.</w:t>
      </w:r>
    </w:p>
    <w:p w14:paraId="1907A98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Min-Connect Cameroon</w:t>
      </w:r>
      <w:r>
        <w:rPr>
          <w:rFonts w:hint="default" w:ascii="Times New Roman" w:hAnsi="Times New Roman" w:cs="Times New Roman"/>
        </w:rPr>
        <w:t xml:space="preserve"> project is the first, most critical step towards realizing this vision. It is an ambitious yet pragmatic proposal to build the digital "nervous system" of the Cameroonian government. This project is not about replacing existing systems or undermining the autonomy of individual ministries. On the contrary, it is about empowering them. By providing a secure and standardized method for data exchange, we allow each ministry to retain control over its primary data while participating in a collaborative ecosystem that magnifies the value of that data for the collective good.</w:t>
      </w:r>
    </w:p>
    <w:p w14:paraId="4EEAB65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proposal is born from a deep analysis of the current digital landscape across key Cameroonian ministries. We have observed that while many ministries have established an online presence, these websites and their underlying databases operate as digital islands. The "bridges" between them are largely manual, relying on paper documents, physical verification, and the time-consuming efforts of citizens and civil servants. This is the core problem we intend to solve.</w:t>
      </w:r>
    </w:p>
    <w:p w14:paraId="6651FFC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As the CEO of InnovateCM Solutions, I present this document not merely as a technical proposal for a software platform, but as a strategic roadmap for a fundamental upgrade to our national administrative backbone. It outlines a service that is not only technologically sound but also designed with a profound understanding of the principles of security, scalability, and resilience required for mission-critical national infrastructure. We are proposing a partnership with the government to build a foundational asset that will serve Cameroon for decades to come.</w:t>
      </w:r>
    </w:p>
    <w:p w14:paraId="737BE9FC">
      <w:pPr>
        <w:pStyle w:val="3"/>
        <w:keepNext w:val="0"/>
        <w:keepLines w:val="0"/>
        <w:widowControl/>
        <w:suppressLineNumbers w:val="0"/>
        <w:rPr>
          <w:rFonts w:hint="default" w:ascii="Times New Roman" w:hAnsi="Times New Roman" w:cs="Times New Roman"/>
        </w:rPr>
      </w:pPr>
      <w:bookmarkStart w:id="8" w:name="_Toc23839"/>
      <w:bookmarkStart w:id="9" w:name="_Toc2611"/>
      <w:r>
        <w:rPr>
          <w:rFonts w:hint="default" w:ascii="Times New Roman" w:hAnsi="Times New Roman" w:cs="Times New Roman"/>
        </w:rPr>
        <w:t>2. Problem Statement: The High Cost of Disconnected Data</w:t>
      </w:r>
      <w:bookmarkEnd w:id="8"/>
      <w:bookmarkEnd w:id="9"/>
    </w:p>
    <w:p w14:paraId="1694F8E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current model of digital governance in Cameroon is characterized by a high degree of data fragmentation. Each ministry operates its own independent IT infrastructure, databases, and application systems. While this autonomy allows for specialized functionality, it has created a series of deep-rooted, systemic problems that impact government efficiency, economic development, and citizen satisfaction.</w:t>
      </w:r>
    </w:p>
    <w:p w14:paraId="642A4FF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2.1. Inefficiency and Bureaucratic Friction</w:t>
      </w:r>
    </w:p>
    <w:p w14:paraId="3DDC618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most visible consequence of data silos is the immense burden placed on citizens and businesses. The lack of data sharing forces individuals to act as the primary couriers of information between ministries, a process laden with delays, costs, and opportunities for error.</w:t>
      </w:r>
    </w:p>
    <w:p w14:paraId="668EEAAC">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Scenario: Starting a New Business.</w:t>
      </w:r>
      <w:r>
        <w:rPr>
          <w:rFonts w:hint="default" w:ascii="Times New Roman" w:hAnsi="Times New Roman" w:cs="Times New Roman"/>
        </w:rPr>
        <w:t xml:space="preserve"> A budding entrepreneur in Douala aiming to launch a logistics company faces a daunting bureaucratic journey. Their first stop is the Ministry of Territorial Administration (MINAT) to register a business name and obtain a certificate of incorporation. This involves filling out multiple paper forms, providing personal identification, and waiting several weeks for manual processing and approval. With the certificate in hand, their journey is far from over. They must then physically travel to an office of the Ministry of Finance (MINFI), present the same incorporation documents, and fill out another set of forms to be assigned a taxpayer identification number (TIN). Once the TIN is issued, the entrepreneur proceeds to the Ministry of Transport (MINTRANS) to register their fleet of vehicles. Here, they must once again present their business registration, TIN, and personal ID, along with vehicle-specific documents. Each step requires physical presence, long queues, and the same core information being transcribed by different clerks into different, disconnected systems. A single typo at any stage can cause a mismatch that halts the entire process, forcing the entrepreneur to start over. This repetitive, paper-based marathon is not just slow; it's a significant deterrent to entrepreneurship and formal economic activity.</w:t>
      </w:r>
    </w:p>
    <w:p w14:paraId="01BCE27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Scenario: University Student Verification.</w:t>
      </w:r>
      <w:r>
        <w:rPr>
          <w:rFonts w:hint="default" w:ascii="Times New Roman" w:hAnsi="Times New Roman" w:cs="Times New Roman"/>
        </w:rPr>
        <w:t xml:space="preserve"> A talented computer science graduate from the University of Yaoundé, under the purview of the Ministry of Higher Education (MINESUP), seeks to join a specialized cybersecurity unit within the Ministry of Defense (MINDEF). A core requirement for this sensitive role is the rigorous verification of their academic credentials. MINDEF's recruitment division has no direct, secure, or digital channel to confirm the student's degree. The process defaults to a manual one: the student must procure multiple notarized copies of their official transcript and degree certificate from the university. These documents are then submitted to MINDEF, where an official must attempt to verify their authenticity, often through phone calls or written correspondence with the university's records office. This process can take weeks, if not months, is susceptible to sophisticated forgery, and introduces delays in staffing critical national security positions.</w:t>
      </w:r>
    </w:p>
    <w:p w14:paraId="4B9C232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2.2. Data Redundancy and Inconsistency</w:t>
      </w:r>
    </w:p>
    <w:p w14:paraId="0BBCE70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When each ministry collects and stores the same core information (e.g., citizen names, dates of birth, National Identity Card numbers, business registration details), it leads to a massive duplication of data across government servers. This has several insidious negative effects:</w:t>
      </w:r>
    </w:p>
    <w:p w14:paraId="579482B3">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Wasted Resources:</w:t>
      </w:r>
      <w:r>
        <w:rPr>
          <w:rFonts w:hint="default" w:ascii="Times New Roman" w:hAnsi="Times New Roman" w:cs="Times New Roman"/>
        </w:rPr>
        <w:t xml:space="preserve"> Significant public funds are spent on excess storage capacity, server maintenance, and the immense manpower required to manually re-enter data that already exists elsewhere in the government's possession. This constitutes a direct and recurring financial drain on the national budget.</w:t>
      </w:r>
    </w:p>
    <w:p w14:paraId="51CB5683">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Data Integrity Issues:</w:t>
      </w:r>
      <w:r>
        <w:rPr>
          <w:rFonts w:hint="default" w:ascii="Times New Roman" w:hAnsi="Times New Roman" w:cs="Times New Roman"/>
        </w:rPr>
        <w:t xml:space="preserve"> A citizen might diligently update their residential address with MINTRANS when renewing a driver's license. However, this critical update remains isolated within that ministry's database. The Ministry of Finance continues sending tax notices to the old address, while MINAT's voter registration records become outdated. This creates multiple, conflicting versions of a citizen's profile across the government, leading to confusion, returned mail, failed service delivery, and administrative errors that can have serious legal and financial consequences for the individual.</w:t>
      </w:r>
    </w:p>
    <w:p w14:paraId="0F55D963">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Lack of a Single Source of Truth:</w:t>
      </w:r>
      <w:r>
        <w:rPr>
          <w:rFonts w:hint="default" w:ascii="Times New Roman" w:hAnsi="Times New Roman" w:cs="Times New Roman"/>
        </w:rPr>
        <w:t xml:space="preserve"> Without a unified identity management system, it becomes impossible for the state to form a complete and accurate picture of an individual or a business. This ambiguity complicates everything from the fair distribution of social welfare benefits to the efficient collection of taxes, effective law enforcement, and coherent national security operations.</w:t>
      </w:r>
    </w:p>
    <w:p w14:paraId="2857209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2.3. Hindrance to Effective Policy Making and National Planning</w:t>
      </w:r>
    </w:p>
    <w:p w14:paraId="16F986E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Effective governance in the 21st century is fundamentally data-driven. Policymakers need access to comprehensive, accurate, and timely data to understand societal trends, allocate resources effectively, and measure the impact of their programs. Data silos render this modern approach to governance nearly impossible.</w:t>
      </w:r>
    </w:p>
    <w:p w14:paraId="2215865D">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Example: Urban Transport Planning.</w:t>
      </w:r>
      <w:r>
        <w:rPr>
          <w:rFonts w:hint="default" w:ascii="Times New Roman" w:hAnsi="Times New Roman" w:cs="Times New Roman"/>
        </w:rPr>
        <w:t xml:space="preserve"> The Ministry of Transport possesses rich data on the number, type, and age of vehicles registered in Yaoundé. The Ministry of Territorial Administration holds crucial data on population density, residential zoning, and new housing developments. The Ministry of Finance tracks fuel import volumes and consumption patterns through tax collection. In isolation, each dataset offers only a limited, one-dimensional perspective. However, if these datasets could be securely layered, correlated, and analyzed in real-time, the government could create highly sophisticated urban planning models. These models could accurately predict traffic congestion hotspots, simulate the impact of new road construction, optimize public transportation routes based on actual commuter data, and strategically place public amenities. Without a unified platform, this kind of vital cross-sectoral analysis remains a complex, time-consuming manual research project, not a dynamic tool for real-time urban management.</w:t>
      </w:r>
    </w:p>
    <w:p w14:paraId="3C90BB5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2.4. Weakened National Security</w:t>
      </w:r>
    </w:p>
    <w:p w14:paraId="2EF2839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National security relies on the ability to quickly and accurately verify identities and share critical information between defense, intelligence, and administrative bodies. Delays and information gaps created by data silos represent direct vulnerabilities.</w:t>
      </w:r>
    </w:p>
    <w:p w14:paraId="7AE63537">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Example: Border Control and Identity Verification.</w:t>
      </w:r>
      <w:r>
        <w:rPr>
          <w:rFonts w:hint="default" w:ascii="Times New Roman" w:hAnsi="Times New Roman" w:cs="Times New Roman"/>
        </w:rPr>
        <w:t xml:space="preserve"> The Ministry of Defense and the Ministry of Territorial Administration (which oversees the national identity registry) must be in perfect, real-time synchronization. When an individual presents a National ID card at a critical checkpoint, security personnel require an instantaneous method to verify its authenticity against the official MINAT database. If a vehicle is flagged for inspection, officers need immediate access to its registration details, ownership history, and any associated alerts from the MINTRANS database. A delay of even a few minutes in accessing this information—caused by the need to radio a central command that then manually queries a separate system—can have profound security implications. The current fragmented system creates dangerous, exploitable gaps in this critical information flow.</w:t>
      </w:r>
    </w:p>
    <w:p w14:paraId="767B6A5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2.5. Obstacles to Collaboration and Joint Operations</w:t>
      </w:r>
    </w:p>
    <w:p w14:paraId="25BA884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Complex national challenges, from responding to public health crises to orchestrating large-scale economic development initiatives, demand a coordinated, multi-ministerial response. The inability to share data seamlessly is a primary structural obstacle to effective collaboration.</w:t>
      </w:r>
    </w:p>
    <w:p w14:paraId="5387C66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Example: Logistics and Customs Clearance.</w:t>
      </w:r>
      <w:r>
        <w:rPr>
          <w:rFonts w:hint="default" w:ascii="Times New Roman" w:hAnsi="Times New Roman" w:cs="Times New Roman"/>
        </w:rPr>
        <w:t xml:space="preserve"> When a company imports industrial equipment, the process intrinsically involves both MINTRANS (regulating the port, logistics, and container tracking) and MINFI (assessing and collecting customs duties and taxes). In the current siloed system, shipping manifests, cargo details, and vehicle information are often transferred via insecure, manual methods like paper printouts, emails with unencrypted attachments, or even USB drives. This antiquated process dramatically slows down the entire customs clearance workflow, increases the cost of doing business, creates opportunities for corruption, and is fraught with the risk of data entry errors. A collaborative platform would allow both ministries to view and act upon the same secure, digital shipping manifest in real-time, enabling MINFI to pre-calculate duties while MINTRANS schedules offloading, thus expediting clearance for legitimate businesses while automatically flagging anomalies for joint inspection.</w:t>
      </w:r>
    </w:p>
    <w:p w14:paraId="543D9E3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 summary, the absence of a unified data exchange platform is not a minor inconvenience; it is a fundamental barrier to progress that perpetuates inefficiency, stifles economic growth, compromises security, and erodes public trust in government services.</w:t>
      </w:r>
    </w:p>
    <w:p w14:paraId="4DAC48D8">
      <w:pPr>
        <w:pStyle w:val="3"/>
        <w:keepNext w:val="0"/>
        <w:keepLines w:val="0"/>
        <w:widowControl/>
        <w:suppressLineNumbers w:val="0"/>
        <w:rPr>
          <w:rFonts w:hint="default" w:ascii="Times New Roman" w:hAnsi="Times New Roman" w:cs="Times New Roman"/>
        </w:rPr>
      </w:pPr>
      <w:bookmarkStart w:id="10" w:name="_Toc25994"/>
      <w:bookmarkStart w:id="11" w:name="_Toc11657"/>
      <w:r>
        <w:rPr>
          <w:rFonts w:hint="default" w:ascii="Times New Roman" w:hAnsi="Times New Roman" w:cs="Times New Roman"/>
        </w:rPr>
        <w:t>3. Project Scope</w:t>
      </w:r>
      <w:bookmarkEnd w:id="10"/>
      <w:bookmarkEnd w:id="11"/>
    </w:p>
    <w:p w14:paraId="153C7CA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ensure a successful and manageable implementation, the Min-Connect Cameroon project will be rolled out in phases. This section defines the boundaries of the initial phase, clarifying what is included and what is reserved for future expansion.</w:t>
      </w:r>
    </w:p>
    <w:p w14:paraId="32FFD1E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3.1. In-Scope for Phase 1</w:t>
      </w:r>
    </w:p>
    <w:p w14:paraId="55001F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objective of Phase 1 is to establish the core infrastructure of the Min-Connect platform and demonstrate its value by integrating the five foundational ministries.</w:t>
      </w:r>
    </w:p>
    <w:p w14:paraId="526270F5">
      <w:pPr>
        <w:pStyle w:val="9"/>
        <w:keepNext w:val="0"/>
        <w:keepLines w:val="0"/>
        <w:widowControl/>
        <w:suppressLineNumbers w:val="0"/>
        <w:ind w:left="720"/>
      </w:pPr>
      <w:r>
        <w:rPr>
          <w:rStyle w:val="10"/>
          <w:rFonts w:hint="default" w:ascii="Times New Roman" w:hAnsi="Times New Roman" w:cs="Times New Roman"/>
        </w:rPr>
        <w:t>Participating Ministries:</w:t>
      </w:r>
    </w:p>
    <w:p w14:paraId="32A7ADD2">
      <w:pPr>
        <w:pStyle w:val="9"/>
        <w:keepNext w:val="0"/>
        <w:keepLines w:val="0"/>
        <w:widowControl/>
        <w:numPr>
          <w:ilvl w:val="0"/>
          <w:numId w:val="1"/>
        </w:numPr>
        <w:suppressLineNumbers w:val="0"/>
        <w:ind w:left="425" w:leftChars="0" w:hanging="425" w:firstLineChars="0"/>
      </w:pPr>
      <w:r>
        <w:t>Ministry of Transport (MINTRANS)</w:t>
      </w:r>
    </w:p>
    <w:p w14:paraId="058A27C2">
      <w:pPr>
        <w:pStyle w:val="9"/>
        <w:keepNext w:val="0"/>
        <w:keepLines w:val="0"/>
        <w:widowControl/>
        <w:numPr>
          <w:ilvl w:val="0"/>
          <w:numId w:val="1"/>
        </w:numPr>
        <w:suppressLineNumbers w:val="0"/>
        <w:ind w:left="425" w:leftChars="0" w:hanging="425" w:firstLineChars="0"/>
      </w:pPr>
      <w:r>
        <w:t>Ministry of Finance (MINFI)</w:t>
      </w:r>
    </w:p>
    <w:p w14:paraId="033E0FFD">
      <w:pPr>
        <w:pStyle w:val="9"/>
        <w:keepNext w:val="0"/>
        <w:keepLines w:val="0"/>
        <w:widowControl/>
        <w:numPr>
          <w:ilvl w:val="0"/>
          <w:numId w:val="1"/>
        </w:numPr>
        <w:suppressLineNumbers w:val="0"/>
        <w:ind w:left="425" w:leftChars="0" w:hanging="425" w:firstLineChars="0"/>
      </w:pPr>
      <w:r>
        <w:t>Ministry of Higher Education (MINESUP)</w:t>
      </w:r>
    </w:p>
    <w:p w14:paraId="2BA38CD5">
      <w:pPr>
        <w:pStyle w:val="9"/>
        <w:keepNext w:val="0"/>
        <w:keepLines w:val="0"/>
        <w:widowControl/>
        <w:numPr>
          <w:ilvl w:val="0"/>
          <w:numId w:val="1"/>
        </w:numPr>
        <w:suppressLineNumbers w:val="0"/>
        <w:ind w:left="425" w:leftChars="0" w:hanging="425" w:firstLineChars="0"/>
      </w:pPr>
      <w:r>
        <w:t>Ministry of Defense (MINDEF)</w:t>
      </w:r>
    </w:p>
    <w:p w14:paraId="492D4E73">
      <w:pPr>
        <w:pStyle w:val="9"/>
        <w:keepNext w:val="0"/>
        <w:keepLines w:val="0"/>
        <w:widowControl/>
        <w:numPr>
          <w:ilvl w:val="0"/>
          <w:numId w:val="1"/>
        </w:numPr>
        <w:suppressLineNumbers w:val="0"/>
        <w:ind w:left="425" w:leftChars="0" w:hanging="425" w:firstLineChars="0"/>
        <w:rPr>
          <w:rFonts w:hint="default" w:ascii="Times New Roman" w:hAnsi="Times New Roman" w:cs="Times New Roman"/>
        </w:rPr>
      </w:pPr>
      <w:r>
        <w:t>Ministry of Territorial Administration (MINAT)</w:t>
      </w:r>
    </w:p>
    <w:p w14:paraId="6F027E81">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Core Platform Functionalities:</w:t>
      </w:r>
    </w:p>
    <w:p w14:paraId="3D118D56">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Secure API Gateway:</w:t>
      </w:r>
      <w:r>
        <w:rPr>
          <w:rFonts w:hint="default" w:ascii="Times New Roman" w:hAnsi="Times New Roman" w:cs="Times New Roman"/>
        </w:rPr>
        <w:t xml:space="preserve"> A central, managed entry point for all inter-ministerial data requests. This gateway will handle authentication, authorization, request routing, rate limiting, and request/response validation</w:t>
      </w:r>
    </w:p>
    <w:p w14:paraId="3846C0C3">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Unified Identity Schema:</w:t>
      </w:r>
      <w:r>
        <w:rPr>
          <w:rFonts w:hint="default" w:ascii="Times New Roman" w:hAnsi="Times New Roman" w:cs="Times New Roman"/>
        </w:rPr>
        <w:t xml:space="preserve"> Development of a standardized data model for core entities, primarily </w:t>
      </w:r>
      <w:r>
        <w:rPr>
          <w:rStyle w:val="8"/>
          <w:rFonts w:hint="default" w:ascii="Times New Roman" w:hAnsi="Times New Roman" w:cs="Times New Roman"/>
        </w:rPr>
        <w:t>Citizen</w:t>
      </w:r>
      <w:r>
        <w:rPr>
          <w:rFonts w:hint="default" w:ascii="Times New Roman" w:hAnsi="Times New Roman" w:cs="Times New Roman"/>
        </w:rPr>
        <w:t xml:space="preserve"> and </w:t>
      </w:r>
      <w:r>
        <w:rPr>
          <w:rStyle w:val="8"/>
          <w:rFonts w:hint="default" w:ascii="Times New Roman" w:hAnsi="Times New Roman" w:cs="Times New Roman"/>
        </w:rPr>
        <w:t>Business</w:t>
      </w:r>
      <w:r>
        <w:rPr>
          <w:rFonts w:hint="default" w:ascii="Times New Roman" w:hAnsi="Times New Roman" w:cs="Times New Roman"/>
        </w:rPr>
        <w:t>. This schema will map to the different database structures within each ministry, creating a common language for data exchange. This includes defining canonical data types, formats, and validation rules.</w:t>
      </w:r>
    </w:p>
    <w:p w14:paraId="2E1CCC3A">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Role-Based Access Control (RBAC) System:</w:t>
      </w:r>
      <w:r>
        <w:rPr>
          <w:rFonts w:hint="default" w:ascii="Times New Roman" w:hAnsi="Times New Roman" w:cs="Times New Roman"/>
        </w:rPr>
        <w:t xml:space="preserve"> A sophisticated administrative interface allowing designated officials in each ministry to define granular permissions. For example, a customs officer in MINFI can be granted read-only access to vehicle registration details from MINTRANS, but not to academic records from MINESUP.</w:t>
      </w:r>
    </w:p>
    <w:p w14:paraId="4241F1D4">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Data Synchronization and Caching Layer:</w:t>
      </w:r>
      <w:r>
        <w:rPr>
          <w:rFonts w:hint="default" w:ascii="Times New Roman" w:hAnsi="Times New Roman" w:cs="Times New Roman"/>
        </w:rPr>
        <w:t xml:space="preserve"> A mechanism for near real-time synchronization of critical, shared data points. This is not a full replication of databases but a smart cache of frequently accessed, non-sensitive information to ensure high performance and reduce the load on ministries' primary systems.</w:t>
      </w:r>
    </w:p>
    <w:p w14:paraId="2D1DD991">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Comprehensive Audit Trail:</w:t>
      </w:r>
      <w:r>
        <w:rPr>
          <w:rFonts w:hint="default" w:ascii="Times New Roman" w:hAnsi="Times New Roman" w:cs="Times New Roman"/>
        </w:rPr>
        <w:t xml:space="preserve"> An immutable, cryptographically-secured logging system that records every single data request and transaction that flows through the platform. This ensures full accountability, transparency, and non-repudiation for all security and compliance purposes.</w:t>
      </w:r>
    </w:p>
    <w:p w14:paraId="7BCAA84B">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Specific Use Cases to be Enabled:</w:t>
      </w:r>
    </w:p>
    <w:p w14:paraId="2C95E7A7">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Unified Business Registration:</w:t>
      </w:r>
      <w:r>
        <w:rPr>
          <w:rFonts w:hint="default" w:ascii="Times New Roman" w:hAnsi="Times New Roman" w:cs="Times New Roman"/>
        </w:rPr>
        <w:t xml:space="preserve"> A workflow where a new business registered with MINAT automatically triggers a notification to MINFI to create a corresponding tax profile, pre-populated with the verified registration data.</w:t>
      </w:r>
    </w:p>
    <w:p w14:paraId="2666BA0E">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Vehicle Importation and Customs Clearance:</w:t>
      </w:r>
      <w:r>
        <w:rPr>
          <w:rFonts w:hint="default" w:ascii="Times New Roman" w:hAnsi="Times New Roman" w:cs="Times New Roman"/>
        </w:rPr>
        <w:t xml:space="preserve"> A process allowing authorized MINFI officials to instantly verify vehicle details (make, model, chassis number, year of manufacture) directly from the MINTRANS database during customs assessment, eliminating manual data entry and reducing fraud.</w:t>
      </w:r>
    </w:p>
    <w:p w14:paraId="45E5F7BF">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Academic Credential Verification:</w:t>
      </w:r>
      <w:r>
        <w:rPr>
          <w:rFonts w:hint="default" w:ascii="Times New Roman" w:hAnsi="Times New Roman" w:cs="Times New Roman"/>
        </w:rPr>
        <w:t xml:space="preserve"> A secure endpoint allowing authorized personnel from MINDEF or other ministries to verify the authenticity of a degree certificate against MINESUP's records using a unique student identifier, returning a simple "verified" or "not found" response.</w:t>
      </w:r>
    </w:p>
    <w:p w14:paraId="0955050F">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National ID Verification:</w:t>
      </w:r>
      <w:r>
        <w:rPr>
          <w:rFonts w:hint="default" w:ascii="Times New Roman" w:hAnsi="Times New Roman" w:cs="Times New Roman"/>
        </w:rPr>
        <w:t xml:space="preserve"> Enabling authorized officers in MINDEF and MINFI to perform real-time, secure verification of a citizen's National Identity Card details (name, date of birth, photo hash) against the MINAT central registry.</w:t>
      </w:r>
    </w:p>
    <w:p w14:paraId="6FCFB529">
      <w:pPr>
        <w:keepNext w:val="0"/>
        <w:keepLines w:val="0"/>
        <w:widowControl/>
        <w:numPr>
          <w:ilvl w:val="1"/>
          <w:numId w:val="2"/>
        </w:numPr>
        <w:suppressLineNumbers w:val="0"/>
        <w:spacing w:before="0" w:beforeAutospacing="1" w:after="0" w:afterAutospacing="1"/>
        <w:ind w:left="2882" w:hanging="360"/>
        <w:rPr>
          <w:rFonts w:hint="default" w:ascii="Times New Roman" w:hAnsi="Times New Roman" w:cs="Times New Roman"/>
        </w:rPr>
      </w:pPr>
    </w:p>
    <w:p w14:paraId="705E2C3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3.2. Out-of-Scope for Phase 1</w:t>
      </w:r>
    </w:p>
    <w:p w14:paraId="7F9AD65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maintain focus and deliver value quickly, the following elements will be explicitly excluded from the initial implementation and are planned for subsequent phases.</w:t>
      </w:r>
    </w:p>
    <w:p w14:paraId="05F599AE">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Integration of Additional Ministries:</w:t>
      </w:r>
      <w:r>
        <w:rPr>
          <w:rFonts w:hint="default" w:ascii="Times New Roman" w:hAnsi="Times New Roman" w:cs="Times New Roman"/>
        </w:rPr>
        <w:t xml:space="preserve"> All other government ministries and agencies (e.g., Ministry of Health, Ministry of Commerce, Ministry of Justice, etc.) will be targeted in Phase 2 and beyond, once the core platform has proven its stability and value.</w:t>
      </w:r>
    </w:p>
    <w:p w14:paraId="4D2196D8">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Public-Facing Portals:</w:t>
      </w:r>
      <w:r>
        <w:rPr>
          <w:rFonts w:hint="default" w:ascii="Times New Roman" w:hAnsi="Times New Roman" w:cs="Times New Roman"/>
        </w:rPr>
        <w:t xml:space="preserve"> Phase 1 focuses exclusively on the backend infrastructure for inter-ministerial communication. Citizen-facing or business-facing web and mobile applications that will consume data from Min-Connect will be developed in a later phase.</w:t>
      </w:r>
    </w:p>
    <w:p w14:paraId="36B6204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Advanced Data Analytics and AI:</w:t>
      </w:r>
      <w:r>
        <w:rPr>
          <w:rFonts w:hint="default" w:ascii="Times New Roman" w:hAnsi="Times New Roman" w:cs="Times New Roman"/>
        </w:rPr>
        <w:t xml:space="preserve"> While the platform will generate vast amounts of valuable metadata, the development of a dedicated data warehouse, data lake, or the application of machine learning for predictive analytics is a future goal. The immediate focus is on enabling transactional data exchange.</w:t>
      </w:r>
    </w:p>
    <w:p w14:paraId="322F5466">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Full Data Migration:</w:t>
      </w:r>
      <w:r>
        <w:rPr>
          <w:rFonts w:hint="default" w:ascii="Times New Roman" w:hAnsi="Times New Roman" w:cs="Times New Roman"/>
        </w:rPr>
        <w:t xml:space="preserve"> Min-Connect is a data exchange platform, not a centralized database. We will not be migrating the entirety of each ministry's database into a central location. Ministries will remain the sovereign custodians of their own primary data stores.</w:t>
      </w:r>
    </w:p>
    <w:p w14:paraId="12A15F6E">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Modification of Internal Ministerial Systems:</w:t>
      </w:r>
      <w:r>
        <w:rPr>
          <w:rFonts w:hint="default" w:ascii="Times New Roman" w:hAnsi="Times New Roman" w:cs="Times New Roman"/>
        </w:rPr>
        <w:t xml:space="preserve"> Our integration approach is designed to be minimally invasive. We will provide secure connectors that interface with the existing databases and systems of the ministries, requiring little to no change to their internal workflows or legacy software.</w:t>
      </w:r>
    </w:p>
    <w:p w14:paraId="6BE5F84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By clearly defining this scope, we can ensure that Phase 1 is delivered on time, within budget, and provides a robust and secure foundation upon which the future of Cameroon's digital government can be confidently built.</w:t>
      </w:r>
    </w:p>
    <w:p w14:paraId="17BA8F9D">
      <w:pPr>
        <w:pStyle w:val="3"/>
        <w:keepNext w:val="0"/>
        <w:keepLines w:val="0"/>
        <w:widowControl/>
        <w:suppressLineNumbers w:val="0"/>
        <w:rPr>
          <w:rFonts w:hint="default" w:ascii="Times New Roman" w:hAnsi="Times New Roman" w:cs="Times New Roman"/>
        </w:rPr>
      </w:pPr>
      <w:bookmarkStart w:id="12" w:name="_Toc30021"/>
      <w:bookmarkStart w:id="13" w:name="_Toc23432"/>
      <w:r>
        <w:rPr>
          <w:rFonts w:hint="default" w:ascii="Times New Roman" w:hAnsi="Times New Roman" w:cs="Times New Roman"/>
        </w:rPr>
        <w:t>4. Proposed Solution: The Min-Connect Platform</w:t>
      </w:r>
      <w:bookmarkEnd w:id="12"/>
      <w:bookmarkEnd w:id="13"/>
    </w:p>
    <w:p w14:paraId="61681CA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Min-Connect Cameroon platform is a comprehensive service designed to solve the problem of data fragmentation by creating a secure, efficient, and reliable "digital highway" for information to travel between ministries. It is an architectural solution that respects ministerial autonomy while enabling unprecedented levels of collaboration.</w:t>
      </w:r>
    </w:p>
    <w:p w14:paraId="534439C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4.1. Vision and Guiding Principles</w:t>
      </w:r>
    </w:p>
    <w:p w14:paraId="4B62D81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Our solution is guided by four core principles:</w:t>
      </w:r>
    </w:p>
    <w:p w14:paraId="74484626">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374F8365">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Federated, Not Centralized:</w:t>
      </w:r>
      <w:r>
        <w:rPr>
          <w:rFonts w:hint="default" w:ascii="Times New Roman" w:hAnsi="Times New Roman" w:cs="Times New Roman"/>
        </w:rPr>
        <w:t xml:space="preserve"> We are not building one giant database to replace all others. Each ministry remains the single source of truth for its own data. Min-Connect acts as a federated query and exchange layer, ensuring data sovereignty is respected and the risk of a single point of data failure is eliminated.</w:t>
      </w:r>
    </w:p>
    <w:p w14:paraId="2B7E6010">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Security by Design:</w:t>
      </w:r>
      <w:r>
        <w:rPr>
          <w:rFonts w:hint="default" w:ascii="Times New Roman" w:hAnsi="Times New Roman" w:cs="Times New Roman"/>
        </w:rPr>
        <w:t xml:space="preserve"> Security is not an afterthought; it is woven into the fabric of the platform. From end-to-end encryption and multi-factor authentication for administrators to granular access controls and immutable audit logs, every aspect of the design prioritizes the protection of sensitive government and citizen data against internal and external threats.</w:t>
      </w:r>
    </w:p>
    <w:p w14:paraId="4E20F7F0">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Developer and Ministry-Friendly:</w:t>
      </w:r>
      <w:r>
        <w:rPr>
          <w:rFonts w:hint="default" w:ascii="Times New Roman" w:hAnsi="Times New Roman" w:cs="Times New Roman"/>
        </w:rPr>
        <w:t xml:space="preserve"> The platform will be built on modern, open API standards (like REST or GraphQL), making it straightforward for the technical teams within each ministry to integrate their systems. We will provide comprehensive, interactive documentation, software development kits (SDKs) for major programming languages, and dedicated technical support to facilitate smooth onboarding.</w:t>
      </w:r>
    </w:p>
    <w:p w14:paraId="453979AF">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Future-Proof Architecture:</w:t>
      </w:r>
      <w:r>
        <w:rPr>
          <w:rFonts w:hint="default" w:ascii="Times New Roman" w:hAnsi="Times New Roman" w:cs="Times New Roman"/>
        </w:rPr>
        <w:t xml:space="preserve"> The platform is designed using a modular, microservices-based approach. This allows for continuous improvement, the easy addition of new features (like a new ministry connector or a new security module) without disrupting existing services, and the ability to scale to meet the nation's needs for decades to come.</w:t>
      </w:r>
    </w:p>
    <w:p w14:paraId="50B0BAB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4.2. Core Components and Features</w:t>
      </w:r>
    </w:p>
    <w:p w14:paraId="7DF0C10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platform consists of several interconnected components that work together to provide a seamless experience.</w:t>
      </w:r>
    </w:p>
    <w:p w14:paraId="1C5D1E6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4.2.1. The Secure API Gateway</w:t>
      </w:r>
    </w:p>
    <w:p w14:paraId="6766C2C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the single, fortified entry point to the Min-Connect network. No ministry communicates directly with another's database. Instead, all requests are routed through the API Gateway, which acts as a sophisticated traffic controller and security guard, providing:</w:t>
      </w:r>
    </w:p>
    <w:p w14:paraId="586D6E4A">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Authentication &amp; Authorization:</w:t>
      </w:r>
      <w:r>
        <w:rPr>
          <w:rFonts w:hint="default" w:ascii="Times New Roman" w:hAnsi="Times New Roman" w:cs="Times New Roman"/>
        </w:rPr>
        <w:t xml:space="preserve"> It rigorously verifies the identity of the requesting service (e.g., confirming it is a legitimate, registered server from MINFI using a client certificate) and then checks its permissions via the RBAC system before allowing the request to proceed even one step further.</w:t>
      </w:r>
    </w:p>
    <w:p w14:paraId="3BF80410">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Request Validation &amp; Transformation:</w:t>
      </w:r>
      <w:r>
        <w:rPr>
          <w:rFonts w:hint="default" w:ascii="Times New Roman" w:hAnsi="Times New Roman" w:cs="Times New Roman"/>
        </w:rPr>
        <w:t xml:space="preserve"> It inspects all incoming requests to ensure they are properly formatted and conform to the unified data schema, rejecting any malformed requests at the edge. It can also transform data between different formats if necessary to maintain compatibility.</w:t>
      </w:r>
    </w:p>
    <w:p w14:paraId="1216D32C">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Traffic Management &amp; Security:</w:t>
      </w:r>
      <w:r>
        <w:rPr>
          <w:rFonts w:hint="default" w:ascii="Times New Roman" w:hAnsi="Times New Roman" w:cs="Times New Roman"/>
        </w:rPr>
        <w:t xml:space="preserve"> It provides essential security and performance features like rate limiting (to prevent denial-of-service attacks or system abuse), intelligent caching for frequently requested data, and dynamic load balancing to distribute traffic evenly across the backend services.</w:t>
      </w:r>
    </w:p>
    <w:p w14:paraId="47137BF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4.2.2. The Unified Data Model &amp; Schema Registry</w:t>
      </w:r>
    </w:p>
    <w:p w14:paraId="3191485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allow different systems to communicate effectively, they need a common language. The Min-Connect platform will establish and manage a centralized Schema Registry that houses the standardized data models for core shared entities.</w:t>
      </w:r>
    </w:p>
    <w:p w14:paraId="4D93C60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 xml:space="preserve">Example: </w:t>
      </w:r>
      <w:r>
        <w:rPr>
          <w:rStyle w:val="8"/>
          <w:rFonts w:hint="default" w:ascii="Times New Roman" w:hAnsi="Times New Roman" w:cs="Times New Roman"/>
        </w:rPr>
        <w:t>Citizen</w:t>
      </w:r>
      <w:r>
        <w:rPr>
          <w:rStyle w:val="10"/>
          <w:rFonts w:hint="default" w:ascii="Times New Roman" w:hAnsi="Times New Roman" w:cs="Times New Roman"/>
        </w:rPr>
        <w:t xml:space="preserve"> Object.</w:t>
      </w:r>
      <w:r>
        <w:rPr>
          <w:rFonts w:hint="default" w:ascii="Times New Roman" w:hAnsi="Times New Roman" w:cs="Times New Roman"/>
        </w:rPr>
        <w:t xml:space="preserve"> We will define a standard </w:t>
      </w:r>
      <w:r>
        <w:rPr>
          <w:rStyle w:val="8"/>
          <w:rFonts w:hint="default" w:ascii="Times New Roman" w:hAnsi="Times New Roman" w:cs="Times New Roman"/>
        </w:rPr>
        <w:t>Citizen</w:t>
      </w:r>
      <w:r>
        <w:rPr>
          <w:rFonts w:hint="default" w:ascii="Times New Roman" w:hAnsi="Times New Roman" w:cs="Times New Roman"/>
        </w:rPr>
        <w:t xml:space="preserve"> object with strictly typed fields like </w:t>
      </w:r>
      <w:r>
        <w:rPr>
          <w:rStyle w:val="8"/>
          <w:rFonts w:hint="default" w:ascii="Times New Roman" w:hAnsi="Times New Roman" w:cs="Times New Roman"/>
        </w:rPr>
        <w:t>firstName: string</w:t>
      </w:r>
      <w:r>
        <w:rPr>
          <w:rFonts w:hint="default" w:ascii="Times New Roman" w:hAnsi="Times New Roman" w:cs="Times New Roman"/>
        </w:rPr>
        <w:t xml:space="preserve">, </w:t>
      </w:r>
      <w:r>
        <w:rPr>
          <w:rStyle w:val="8"/>
          <w:rFonts w:hint="default" w:ascii="Times New Roman" w:hAnsi="Times New Roman" w:cs="Times New Roman"/>
        </w:rPr>
        <w:t>lastName: string</w:t>
      </w:r>
      <w:r>
        <w:rPr>
          <w:rFonts w:hint="default" w:ascii="Times New Roman" w:hAnsi="Times New Roman" w:cs="Times New Roman"/>
        </w:rPr>
        <w:t xml:space="preserve">, </w:t>
      </w:r>
      <w:r>
        <w:rPr>
          <w:rStyle w:val="8"/>
          <w:rFonts w:hint="default" w:ascii="Times New Roman" w:hAnsi="Times New Roman" w:cs="Times New Roman"/>
        </w:rPr>
        <w:t>dateOfBirth: date</w:t>
      </w:r>
      <w:r>
        <w:rPr>
          <w:rFonts w:hint="default" w:ascii="Times New Roman" w:hAnsi="Times New Roman" w:cs="Times New Roman"/>
        </w:rPr>
        <w:t xml:space="preserve">, </w:t>
      </w:r>
      <w:r>
        <w:rPr>
          <w:rStyle w:val="8"/>
          <w:rFonts w:hint="default" w:ascii="Times New Roman" w:hAnsi="Times New Roman" w:cs="Times New Roman"/>
        </w:rPr>
        <w:t>nationalIDNumber: string</w:t>
      </w:r>
      <w:r>
        <w:rPr>
          <w:rFonts w:hint="default" w:ascii="Times New Roman" w:hAnsi="Times New Roman" w:cs="Times New Roman"/>
        </w:rPr>
        <w:t xml:space="preserve">, </w:t>
      </w:r>
      <w:r>
        <w:rPr>
          <w:rStyle w:val="8"/>
          <w:rFonts w:hint="default" w:ascii="Times New Roman" w:hAnsi="Times New Roman" w:cs="Times New Roman"/>
        </w:rPr>
        <w:t>address: object</w:t>
      </w:r>
      <w:r>
        <w:rPr>
          <w:rFonts w:hint="default" w:ascii="Times New Roman" w:hAnsi="Times New Roman" w:cs="Times New Roman"/>
        </w:rPr>
        <w:t xml:space="preserve">, etc. The connector at MINAT will be configured to map its internal </w:t>
      </w:r>
      <w:r>
        <w:rPr>
          <w:rStyle w:val="8"/>
          <w:rFonts w:hint="default" w:ascii="Times New Roman" w:hAnsi="Times New Roman" w:cs="Times New Roman"/>
        </w:rPr>
        <w:t>Citoyen</w:t>
      </w:r>
      <w:r>
        <w:rPr>
          <w:rFonts w:hint="default" w:ascii="Times New Roman" w:hAnsi="Times New Roman" w:cs="Times New Roman"/>
        </w:rPr>
        <w:t xml:space="preserve"> table to this standard object before sharing data. The connector at MINTRANS will do the same for its </w:t>
      </w:r>
      <w:r>
        <w:rPr>
          <w:rStyle w:val="8"/>
          <w:rFonts w:hint="default" w:ascii="Times New Roman" w:hAnsi="Times New Roman" w:cs="Times New Roman"/>
        </w:rPr>
        <w:t>Driver</w:t>
      </w:r>
      <w:r>
        <w:rPr>
          <w:rFonts w:hint="default" w:ascii="Times New Roman" w:hAnsi="Times New Roman" w:cs="Times New Roman"/>
        </w:rPr>
        <w:t xml:space="preserve"> table. This crucial translation step ensures that when MINFI requests citizen data, it receives it in a predictable, consistent, and instantly usable format, regardless of the source ministry's internal database design. The Schema Registry will also support versioning, allowing for graceful evolution of the data models over time without breaking existing integrations.</w:t>
      </w:r>
    </w:p>
    <w:p w14:paraId="57AB097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4.2.3. Ministry Connectors</w:t>
      </w:r>
    </w:p>
    <w:p w14:paraId="534B19C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For each integrated ministry, we will develop and deploy a lightweight, secure software component called a "Connector." This connector is a small application that is installed on the ministry's own infrastructure (or in a secure cloud environment controlled by them) and acts as the sole bridge to the Min-Connect platform.</w:t>
      </w:r>
    </w:p>
    <w:p w14:paraId="0816C2E0">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Responsibilities:</w:t>
      </w:r>
    </w:p>
    <w:p w14:paraId="2BC1FDB2">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Securely authenticating with the API Gateway using ministry-specific credentials.</w:t>
      </w:r>
    </w:p>
    <w:p w14:paraId="70D416E2">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Translating incoming requests from the unified format into native queries that the ministry's internal database (e.g., Oracle, SQL Server, MySQL) can understand.</w:t>
      </w:r>
    </w:p>
    <w:p w14:paraId="5160F885">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Mapping the ministry's internal data structures and field names to the unified data model before sending responses back to the platform.</w:t>
      </w:r>
    </w:p>
    <w:p w14:paraId="69C4D380">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Enforcing any local, ministry-specific data sharing policies or performing data sanitization before release. This approach is minimally invasive and ensures that the ministry's core systems remain completely untouched and secure behind their existing firewalls, with the ministry retaining full control over the connector's operation.</w:t>
      </w:r>
    </w:p>
    <w:p w14:paraId="6174778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4.2.4. Identity and Access Management (IAM) with RBAC</w:t>
      </w:r>
    </w:p>
    <w:p w14:paraId="4C67ABB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the security brain of the platform. A dedicated, secure administrative user interface will be provided to authorized personnel in each ministry to manage their data sharing policies. This console allows them to:</w:t>
      </w:r>
    </w:p>
    <w:p w14:paraId="5634BA26">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Define Roles:</w:t>
      </w:r>
      <w:r>
        <w:rPr>
          <w:rFonts w:hint="default" w:ascii="Times New Roman" w:hAnsi="Times New Roman" w:cs="Times New Roman"/>
        </w:rPr>
        <w:t xml:space="preserve"> Create specific, named roles like </w:t>
      </w:r>
      <w:r>
        <w:rPr>
          <w:rStyle w:val="8"/>
          <w:rFonts w:hint="default" w:ascii="Times New Roman" w:hAnsi="Times New Roman" w:cs="Times New Roman"/>
        </w:rPr>
        <w:t>CustomsAgent</w:t>
      </w:r>
      <w:r>
        <w:rPr>
          <w:rFonts w:hint="default" w:ascii="Times New Roman" w:hAnsi="Times New Roman" w:cs="Times New Roman"/>
        </w:rPr>
        <w:t xml:space="preserve">, </w:t>
      </w:r>
      <w:r>
        <w:rPr>
          <w:rStyle w:val="8"/>
          <w:rFonts w:hint="default" w:ascii="Times New Roman" w:hAnsi="Times New Roman" w:cs="Times New Roman"/>
        </w:rPr>
        <w:t>AcademicVerifier</w:t>
      </w:r>
      <w:r>
        <w:rPr>
          <w:rFonts w:hint="default" w:ascii="Times New Roman" w:hAnsi="Times New Roman" w:cs="Times New Roman"/>
        </w:rPr>
        <w:t xml:space="preserve">, </w:t>
      </w:r>
      <w:r>
        <w:rPr>
          <w:rStyle w:val="8"/>
          <w:rFonts w:hint="default" w:ascii="Times New Roman" w:hAnsi="Times New Roman" w:cs="Times New Roman"/>
        </w:rPr>
        <w:t>NationalSecurityOfficer</w:t>
      </w:r>
      <w:r>
        <w:rPr>
          <w:rFonts w:hint="default" w:ascii="Times New Roman" w:hAnsi="Times New Roman" w:cs="Times New Roman"/>
        </w:rPr>
        <w:t>.</w:t>
      </w:r>
    </w:p>
    <w:p w14:paraId="67D37E01">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Assign Permissions:</w:t>
      </w:r>
      <w:r>
        <w:rPr>
          <w:rFonts w:hint="default" w:ascii="Times New Roman" w:hAnsi="Times New Roman" w:cs="Times New Roman"/>
        </w:rPr>
        <w:t xml:space="preserve"> Grant extremely granular permissions to these roles. For example, the </w:t>
      </w:r>
      <w:r>
        <w:rPr>
          <w:rStyle w:val="8"/>
          <w:rFonts w:hint="default" w:ascii="Times New Roman" w:hAnsi="Times New Roman" w:cs="Times New Roman"/>
        </w:rPr>
        <w:t>CustomsAgent</w:t>
      </w:r>
      <w:r>
        <w:rPr>
          <w:rFonts w:hint="default" w:ascii="Times New Roman" w:hAnsi="Times New Roman" w:cs="Times New Roman"/>
        </w:rPr>
        <w:t xml:space="preserve"> role can be given </w:t>
      </w:r>
      <w:r>
        <w:rPr>
          <w:rStyle w:val="8"/>
          <w:rFonts w:hint="default" w:ascii="Times New Roman" w:hAnsi="Times New Roman" w:cs="Times New Roman"/>
        </w:rPr>
        <w:t>read</w:t>
      </w:r>
      <w:r>
        <w:rPr>
          <w:rFonts w:hint="default" w:ascii="Times New Roman" w:hAnsi="Times New Roman" w:cs="Times New Roman"/>
        </w:rPr>
        <w:t xml:space="preserve"> access to the </w:t>
      </w:r>
      <w:r>
        <w:rPr>
          <w:rStyle w:val="8"/>
          <w:rFonts w:hint="default" w:ascii="Times New Roman" w:hAnsi="Times New Roman" w:cs="Times New Roman"/>
        </w:rPr>
        <w:t>Vehicle.registrationDetails</w:t>
      </w:r>
      <w:r>
        <w:rPr>
          <w:rFonts w:hint="default" w:ascii="Times New Roman" w:hAnsi="Times New Roman" w:cs="Times New Roman"/>
        </w:rPr>
        <w:t xml:space="preserve"> endpoint from MINTRANS and </w:t>
      </w:r>
      <w:r>
        <w:rPr>
          <w:rStyle w:val="8"/>
          <w:rFonts w:hint="default" w:ascii="Times New Roman" w:hAnsi="Times New Roman" w:cs="Times New Roman"/>
        </w:rPr>
        <w:t>read</w:t>
      </w:r>
      <w:r>
        <w:rPr>
          <w:rFonts w:hint="default" w:ascii="Times New Roman" w:hAnsi="Times New Roman" w:cs="Times New Roman"/>
        </w:rPr>
        <w:t xml:space="preserve"> access to the </w:t>
      </w:r>
      <w:r>
        <w:rPr>
          <w:rStyle w:val="8"/>
          <w:rFonts w:hint="default" w:ascii="Times New Roman" w:hAnsi="Times New Roman" w:cs="Times New Roman"/>
        </w:rPr>
        <w:t>Business.taxStatus</w:t>
      </w:r>
      <w:r>
        <w:rPr>
          <w:rFonts w:hint="default" w:ascii="Times New Roman" w:hAnsi="Times New Roman" w:cs="Times New Roman"/>
        </w:rPr>
        <w:t xml:space="preserve"> endpoint from MINFI, but explicitly denied access to any other data. Permissions can be as specific as allowing access to certain fields within a data object but not others.</w:t>
      </w:r>
    </w:p>
    <w:p w14:paraId="43F94C98">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Manage Service Accounts:</w:t>
      </w:r>
      <w:r>
        <w:rPr>
          <w:rFonts w:hint="default" w:ascii="Times New Roman" w:hAnsi="Times New Roman" w:cs="Times New Roman"/>
        </w:rPr>
        <w:t xml:space="preserve"> Create and manage the secure credentials (API keys, certificates) used by their ministry's connector and other automated systems, ensuring the principle of least privilege is enforced at all times.</w:t>
      </w:r>
    </w:p>
    <w:p w14:paraId="1BB3FBB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4.2.5. The Immutable Audit Log</w:t>
      </w:r>
    </w:p>
    <w:p w14:paraId="5643A34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Every single action taken on the platform is recorded in a cryptographically secured, tamper-proof log. For every API call, whether successful or failed, the log captures:</w:t>
      </w:r>
    </w:p>
    <w:p w14:paraId="4CE5CA59">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Who:</w:t>
      </w:r>
      <w:r>
        <w:rPr>
          <w:rFonts w:hint="default" w:ascii="Times New Roman" w:hAnsi="Times New Roman" w:cs="Times New Roman"/>
        </w:rPr>
        <w:t xml:space="preserve"> Which ministry, service account, and originating IP address made the request.</w:t>
      </w:r>
    </w:p>
    <w:p w14:paraId="6EC30FF5">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What:</w:t>
      </w:r>
      <w:r>
        <w:rPr>
          <w:rFonts w:hint="default" w:ascii="Times New Roman" w:hAnsi="Times New Roman" w:cs="Times New Roman"/>
        </w:rPr>
        <w:t xml:space="preserve"> Which data endpoint was accessed and with what parameters (e.g., </w:t>
      </w:r>
      <w:r>
        <w:rPr>
          <w:rStyle w:val="8"/>
          <w:rFonts w:hint="default" w:ascii="Times New Roman" w:hAnsi="Times New Roman" w:cs="Times New Roman"/>
        </w:rPr>
        <w:t>Citizen</w:t>
      </w:r>
      <w:r>
        <w:rPr>
          <w:rFonts w:hint="default" w:ascii="Times New Roman" w:hAnsi="Times New Roman" w:cs="Times New Roman"/>
        </w:rPr>
        <w:t xml:space="preserve"> record for NID 12345).</w:t>
      </w:r>
    </w:p>
    <w:p w14:paraId="23B88126">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When:</w:t>
      </w:r>
      <w:r>
        <w:rPr>
          <w:rFonts w:hint="default" w:ascii="Times New Roman" w:hAnsi="Times New Roman" w:cs="Times New Roman"/>
        </w:rPr>
        <w:t xml:space="preserve"> The exact, coordinated universal time (UTC) timestamp of the request and response.</w:t>
      </w:r>
    </w:p>
    <w:p w14:paraId="4252A7C7">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Result:</w:t>
      </w:r>
      <w:r>
        <w:rPr>
          <w:rFonts w:hint="default" w:ascii="Times New Roman" w:hAnsi="Times New Roman" w:cs="Times New Roman"/>
        </w:rPr>
        <w:t xml:space="preserve"> Whether the request was successful or denied, and the reason for denial (e.g., "Permission Denied," "Invalid Request"). This provides an unparalleled level of transparency and accountability, crucial for building trust among participating ministries, for conducting forensic security audits, and for ensuring compliance with data protection regulations.</w:t>
      </w:r>
    </w:p>
    <w:p w14:paraId="453CBE1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4.3. How the Solution Solves the Key Problems</w:t>
      </w:r>
    </w:p>
    <w:p w14:paraId="4D16AA80">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Solves Inefficiency:</w:t>
      </w:r>
      <w:r>
        <w:rPr>
          <w:rFonts w:hint="default" w:ascii="Times New Roman" w:hAnsi="Times New Roman" w:cs="Times New Roman"/>
        </w:rPr>
        <w:t xml:space="preserve"> By automating data retrieval through secure APIs, the platform completely eliminates the need for citizens to physically carry documents between ministries. The business registration process becomes a streamlined, one-stop digital workflow, reducing processing times from weeks to mere hours.</w:t>
      </w:r>
    </w:p>
    <w:p w14:paraId="68178DCD">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Solves Data Redundancy:</w:t>
      </w:r>
      <w:r>
        <w:rPr>
          <w:rFonts w:hint="default" w:ascii="Times New Roman" w:hAnsi="Times New Roman" w:cs="Times New Roman"/>
        </w:rPr>
        <w:t xml:space="preserve"> By establishing ministries as the authoritative single source of truth for their respective data and allowing other departments to query it in real-time, the platform obviates the need for ministries to store redundant, out-of-date copies of data. An address update at MINAT is instantly and authoritatively available to all authorized ministries.</w:t>
      </w:r>
    </w:p>
    <w:p w14:paraId="2B443C66">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Enables Effective Policy Making:</w:t>
      </w:r>
      <w:r>
        <w:rPr>
          <w:rFonts w:hint="default" w:ascii="Times New Roman" w:hAnsi="Times New Roman" w:cs="Times New Roman"/>
        </w:rPr>
        <w:t xml:space="preserve"> The platform's APIs can be used to feed data into a secure, permission-controlled government analytics portal. Planners can now build dashboards and run queries using live, aggregated, and anonymized data from multiple sectors to make informed, evidence-based decisions on everything from infrastructure investment to public health interventions.</w:t>
      </w:r>
    </w:p>
    <w:p w14:paraId="6D62CA1E">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Strengthens National Security:</w:t>
      </w:r>
      <w:r>
        <w:rPr>
          <w:rFonts w:hint="default" w:ascii="Times New Roman" w:hAnsi="Times New Roman" w:cs="Times New Roman"/>
        </w:rPr>
        <w:t xml:space="preserve"> It provides security personnel with the capability to perform instant, multi-source identity and asset verification, closing critical information gaps and dramatically enhancing the nation's ability to respond to threats in real-time.</w:t>
      </w:r>
    </w:p>
    <w:p w14:paraId="08B4945F">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Fosters True Collaboration:</w:t>
      </w:r>
      <w:r>
        <w:rPr>
          <w:rFonts w:hint="default" w:ascii="Times New Roman" w:hAnsi="Times New Roman" w:cs="Times New Roman"/>
        </w:rPr>
        <w:t xml:space="preserve"> The platform acts as a neutral, trusted intermediary, providing the robust technical foundation and governance framework for ministries to design and implement collaborative, cross-functional digital services that better serve the needs of the Cameroonian people.</w:t>
      </w:r>
    </w:p>
    <w:p w14:paraId="0C3DE711">
      <w:pPr>
        <w:pStyle w:val="4"/>
        <w:keepNext w:val="0"/>
        <w:keepLines w:val="0"/>
        <w:widowControl/>
        <w:suppressLineNumbers w:val="0"/>
        <w:outlineLvl w:val="0"/>
        <w:rPr>
          <w:rFonts w:hint="default" w:ascii="Times New Roman" w:hAnsi="Times New Roman" w:cs="Times New Roman"/>
        </w:rPr>
      </w:pPr>
      <w:r>
        <w:rPr>
          <w:rFonts w:hint="default" w:ascii="Times New Roman" w:hAnsi="Times New Roman" w:cs="Times New Roman"/>
        </w:rPr>
        <w:t>4.4. Ministerial-Specific Benefits &amp; Synergies</w:t>
      </w:r>
    </w:p>
    <w:p w14:paraId="24659E6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true power of the Min-Connect platform is realized when examining its specific impact on the daily operations and strategic goals of each participating ministry.</w:t>
      </w:r>
    </w:p>
    <w:p w14:paraId="3A61FE6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4.4.1. Ministry of Territorial Administration (MINAT)</w:t>
      </w:r>
    </w:p>
    <w:p w14:paraId="788E6D9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[Image Placeholder for Ministry of Territorial Administration Website Screenshot]</w:t>
      </w:r>
    </w:p>
    <w:p w14:paraId="7583EA9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As the custodian of the national civil registry, MINAT is the foundational source of truth for citizen identity. Currently, this critical data is difficult to access for other government bodies, leading to manual verification processes and risks of identity fraud. Min-Connect transforms MINAT into the core identity service provider for the entire government. By exposing secure, read-only verification endpoints, MINAT can provide instant, authoritative confirmation of citizen identity to all other ministries. This not only enhances national security but also significantly improves the integrity of all government records, from tax rolls to military personnel files. In return, MINAT can receive verified data from other ministries, such as business addresses from MINFI or fleet data from MINTRANS, to enrich its own administrative planning and oversight functions.</w:t>
      </w:r>
    </w:p>
    <w:p w14:paraId="6D1A013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4.4.2. Ministry of Finance (MINFI)</w:t>
      </w:r>
    </w:p>
    <w:p w14:paraId="36DA549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[Image Placeholder for Ministry of Finance Website Screenshot]</w:t>
      </w:r>
    </w:p>
    <w:p w14:paraId="43BAAA0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Ministry of Finance is responsible for the economic lifeblood of the nation: tax collection, customs duties, and budget management. Its effectiveness is directly tied to the accuracy and timeliness of its data. With Min-Connect, MINFI's operations are revolutionized. When a new business is registered with MINAT, MINFI can be automatically notified to create a tax profile, closing loopholes for tax evasion. During customs clearance at the port, MINFI agents can query the MINTRANS database in real-time to verify a vehicle's chassis number and year of manufacture, preventing under-declaration of value and recovering millions in lost customs revenue. This direct data access streamlines operations, increases revenue collection, and reduces opportunities for corruption.</w:t>
      </w:r>
    </w:p>
    <w:p w14:paraId="65F4007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4.4.3. Ministry of Transport (MINTRANS)</w:t>
      </w:r>
    </w:p>
    <w:p w14:paraId="25A25E2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[Image Placeholder for Ministry of Transport Website Screenshot]</w:t>
      </w:r>
    </w:p>
    <w:p w14:paraId="114B8D6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MINTRANS oversees the nation's arteries of commerce and travel, managing vehicle registrations, driver's licenses, and transport regulations. The integrity of its data is crucial for public safety and law enforcement. Min-Connect empowers MINTRANS by allowing it to cross-reference its data with other authoritative sources. For instance, when an individual applies for a driver's license, their National ID can be instantly verified against MINAT's database, preventing fraudulent applications. Before renewing the registration for a commercial transport vehicle, the system can automatically check with MINFI to ensure all associated taxes are paid. This inter-connectivity ensures that only compliant and properly identified individuals and vehicles are licensed to operate, significantly enhancing road safety and regulatory enforcement.</w:t>
      </w:r>
    </w:p>
    <w:p w14:paraId="449309A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4.4.4. Ministry of Higher Education (MINESUP)</w:t>
      </w:r>
    </w:p>
    <w:p w14:paraId="2E8EE19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[Image Placeholder for Ministry of Higher Education Website Screenshot]</w:t>
      </w:r>
    </w:p>
    <w:p w14:paraId="17484C4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Ministry of Higher Education is the guardian of the nation's human capital, overseeing universities and the authenticity of academic credentials. The rise of certificate forgery poses a significant threat to the credibility of our educational system. Min-Connect provides a definitive solution. By creating a secure digital verification service, MINESUP can offer a simple, instant way for any authorized government body (like MINDEF for recruitment) or even future private sector employers to confirm the validity of a degree. This not only eradicates credential fraud within the public sector but also adds immense value and trust to degrees issued by Cameroonian institutions, boosting the employability of graduates and the reputation of the nation's education system.</w:t>
      </w:r>
    </w:p>
    <w:p w14:paraId="7F09D15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4.4.5. Ministry of Defense (MINDEF)</w:t>
      </w:r>
    </w:p>
    <w:p w14:paraId="06025A9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[Image Placeholder for Ministry of Defense Website Screenshot]</w:t>
      </w:r>
    </w:p>
    <w:p w14:paraId="7119D11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For the Ministry of Defense, timely and accurate information is a matter of national security. The recruitment, vetting, and management of personnel, as well as the monitoring of national assets, all depend on reliable data. Min-Connect serves as a critical intelligence and verification multiplier for MINDEF. During recruitment, vetting a candidate's background can be accelerated from weeks to minutes by instantly verifying their identity with MINAT and their academic qualifications with MINESUP. For internal security operations, MINDEF could gain permissioned, real-time access to vehicle registration data from MINTRANS or business ownership information from MINFI, providing a more complete operational picture. This rapid, multi-source data access capability is a paradigm shift that directly enhances the nation's security posture.</w:t>
      </w:r>
    </w:p>
    <w:p w14:paraId="53040759">
      <w:pPr>
        <w:pStyle w:val="3"/>
        <w:keepNext w:val="0"/>
        <w:keepLines w:val="0"/>
        <w:widowControl/>
        <w:suppressLineNumbers w:val="0"/>
        <w:rPr>
          <w:rFonts w:hint="default" w:ascii="Times New Roman" w:hAnsi="Times New Roman" w:cs="Times New Roman"/>
        </w:rPr>
      </w:pPr>
      <w:bookmarkStart w:id="14" w:name="_Toc32528"/>
      <w:bookmarkStart w:id="15" w:name="_Toc19889"/>
      <w:r>
        <w:rPr>
          <w:rFonts w:hint="default" w:ascii="Times New Roman" w:hAnsi="Times New Roman" w:cs="Times New Roman"/>
        </w:rPr>
        <w:t>5. Justification of Core System Properties</w:t>
      </w:r>
      <w:bookmarkEnd w:id="14"/>
      <w:bookmarkEnd w:id="15"/>
    </w:p>
    <w:p w14:paraId="155B546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Min-Connect platform is not just a functional application; it is a piece of critical national infrastructure. As such, its design must guarantee reliability, resilience, and the ability to grow with the nation's needs. This is achieved by embedding the principles of scalability, fault tolerance, and collaboration deep within its architecture.</w:t>
      </w:r>
    </w:p>
    <w:p w14:paraId="7B3ED1A0">
      <w:pPr>
        <w:pStyle w:val="4"/>
        <w:keepNext w:val="0"/>
        <w:keepLines w:val="0"/>
        <w:widowControl/>
        <w:suppressLineNumbers w:val="0"/>
        <w:outlineLvl w:val="0"/>
        <w:rPr>
          <w:rFonts w:hint="default" w:ascii="Times New Roman" w:hAnsi="Times New Roman" w:cs="Times New Roman"/>
        </w:rPr>
      </w:pPr>
      <w:r>
        <w:rPr>
          <w:rFonts w:hint="default" w:ascii="Times New Roman" w:hAnsi="Times New Roman" w:cs="Times New Roman"/>
        </w:rPr>
        <w:t>5.1. Scalability: Built for Growth</w:t>
      </w:r>
    </w:p>
    <w:p w14:paraId="0BF5854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Scalability is the system's ability to handle a growing amount of work by adding resources. In our context, this means handling more ministries, more users, more data, and more transactions per second without a decline in performance.</w:t>
      </w:r>
    </w:p>
    <w:p w14:paraId="643E9875">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Horizontal Scaling with Microservices Architecture:</w:t>
      </w:r>
      <w:r>
        <w:rPr>
          <w:rFonts w:hint="default" w:ascii="Times New Roman" w:hAnsi="Times New Roman" w:cs="Times New Roman"/>
        </w:rPr>
        <w:t xml:space="preserve"> The entire platform is not a single, monolithic application. It is built as a collection of small, independent, and self-contained services (microservices). We will have a separate service for user authentication, another for the API gateway, and individual connector services for each ministry.</w:t>
      </w:r>
    </w:p>
    <w:p w14:paraId="0D209C82">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How it works:</w:t>
      </w:r>
      <w:r>
        <w:rPr>
          <w:rFonts w:hint="default" w:ascii="Times New Roman" w:hAnsi="Times New Roman" w:cs="Times New Roman"/>
        </w:rPr>
        <w:t xml:space="preserve"> If we notice that data requests to the Ministry of Transport are becoming a bottleneck during peak hours, we don't need to upgrade the entire system. We can simply and automatically deploy more instances (replicas) of the MINTRANS connector service to handle the increased load. This contrasts sharply with a monolithic architecture where the entire application must be scaled together, which is inefficient, costly, and introduces risk. This approach allows for targeted, elastic, and cost-effective scaling.</w:t>
      </w:r>
    </w:p>
    <w:p w14:paraId="71857290">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Onboarding New Ministries:</w:t>
      </w:r>
      <w:r>
        <w:rPr>
          <w:rFonts w:hint="default" w:ascii="Times New Roman" w:hAnsi="Times New Roman" w:cs="Times New Roman"/>
        </w:rPr>
        <w:t xml:space="preserve"> Adding a new ministry, like the Ministry of Health, is a well-defined process. It involves developing and deploying a new "MINSANTE Connector" microservice. This new service can be developed, tested, and scaled independently without any impact or downtime for the existing services connecting the other ministries. This architectural pattern is fundamental to the long-term, sustainable growth of the platform.</w:t>
      </w:r>
    </w:p>
    <w:p w14:paraId="6D1F9EB5">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Cloud-Native Infrastructure:</w:t>
      </w:r>
      <w:r>
        <w:rPr>
          <w:rFonts w:hint="default" w:ascii="Times New Roman" w:hAnsi="Times New Roman" w:cs="Times New Roman"/>
        </w:rPr>
        <w:t xml:space="preserve"> We will leverage a leading cloud provider (like AWS, Azure, or Google Cloud) to host the platform's core services. This provides several powerful, built-in scalability advantages:</w:t>
      </w:r>
    </w:p>
    <w:p w14:paraId="794610D1">
      <w:pPr>
        <w:pStyle w:val="9"/>
        <w:keepNext w:val="0"/>
        <w:keepLines w:val="0"/>
        <w:widowControl/>
        <w:suppressLineNumbers w:val="0"/>
        <w:ind w:left="1440"/>
        <w:rPr>
          <w:rFonts w:hint="default" w:ascii="Times New Roman" w:hAnsi="Times New Roman" w:cs="Times New Roman"/>
          <w:lang w:val="en-US"/>
        </w:rPr>
      </w:pPr>
      <w:r>
        <w:rPr>
          <w:rStyle w:val="10"/>
          <w:rFonts w:hint="default" w:ascii="Times New Roman" w:hAnsi="Times New Roman" w:cs="Times New Roman"/>
        </w:rPr>
        <w:t>Elasticity:</w:t>
      </w:r>
      <w:r>
        <w:rPr>
          <w:rFonts w:hint="default" w:ascii="Times New Roman" w:hAnsi="Times New Roman" w:cs="Times New Roman"/>
        </w:rPr>
        <w:t xml:space="preserve"> We will use containerization (Docker) and container orchestration (Kubernetes) to automatically scale our services up or down based on real-time demand metrics like CPU usage or request count. During peak business hours, the system can automatically deploy more containers to handle the load, and then scale them down during nights and weekends to optimize costs, all without human intervention</w:t>
      </w:r>
      <w:r>
        <w:rPr>
          <w:rFonts w:hint="default" w:ascii="Times New Roman" w:hAnsi="Times New Roman" w:cs="Times New Roman"/>
          <w:lang w:val="en-US"/>
        </w:rPr>
        <w:t>.</w:t>
      </w:r>
    </w:p>
    <w:p w14:paraId="54B68EF4">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Global Reach:</w:t>
      </w:r>
      <w:r>
        <w:rPr>
          <w:rFonts w:hint="default" w:ascii="Times New Roman" w:hAnsi="Times New Roman" w:cs="Times New Roman"/>
        </w:rPr>
        <w:t xml:space="preserve"> While the primary infrastructure will be located in-region for data sovereignty and low latency, cloud infrastructure makes it trivially easy to set up read-replicas or access points in other geographic locations. This can support future needs such as providing data access to diplomatic missions abroad or enabling international collaboration.</w:t>
      </w:r>
    </w:p>
    <w:p w14:paraId="1968795E">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Asynchronous Communication:</w:t>
      </w:r>
      <w:r>
        <w:rPr>
          <w:rFonts w:hint="default" w:ascii="Times New Roman" w:hAnsi="Times New Roman" w:cs="Times New Roman"/>
        </w:rPr>
        <w:t xml:space="preserve"> For non-critical, time-decoupled workflows, such as notifications, logging, or triggering complex processes, the system will use a message queue (like RabbitMQ or Apache Kafka). When a new business is registered, the MINAT connector publishes a "business_registered" event to the queue. The MINFI connector, which is subscribed to this event, will pick it up and process it at its own pace. This decouples the services, meaning a temporary slowdown or maintenance in MINFI's system will not impact the performance of the business registration process at MINAT. This ensures the overall system remains responsive and scalable under variable load conditions.</w:t>
      </w:r>
    </w:p>
    <w:p w14:paraId="34C349F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Distributed Database Design:</w:t>
      </w:r>
      <w:r>
        <w:rPr>
          <w:rFonts w:hint="default" w:ascii="Times New Roman" w:hAnsi="Times New Roman" w:cs="Times New Roman"/>
        </w:rPr>
        <w:t xml:space="preserve"> The underlying data stores for the platform's own needs (like the audit log and user management database) will be chosen specifically for their proven ability to scale horizontally. A database like PostgreSQL with the Citus extension, or a NoSQL database like Cassandra, can distribute data across a cluster of multiple server nodes. This allows the database to handle massive volumes of data and extremely high transaction rates by simply adding more nodes to the cluster, ensuring the data layer never becomes a bottleneck.</w:t>
      </w:r>
    </w:p>
    <w:p w14:paraId="3F0BED70">
      <w:pPr>
        <w:pStyle w:val="4"/>
        <w:keepNext w:val="0"/>
        <w:keepLines w:val="0"/>
        <w:widowControl/>
        <w:suppressLineNumbers w:val="0"/>
        <w:outlineLvl w:val="0"/>
        <w:rPr>
          <w:rFonts w:hint="default" w:ascii="Times New Roman" w:hAnsi="Times New Roman" w:cs="Times New Roman"/>
        </w:rPr>
      </w:pPr>
      <w:r>
        <w:rPr>
          <w:rFonts w:hint="default" w:ascii="Times New Roman" w:hAnsi="Times New Roman" w:cs="Times New Roman"/>
        </w:rPr>
        <w:t>5.2. Fault Tolerance: Engineered for Resilience</w:t>
      </w:r>
    </w:p>
    <w:p w14:paraId="167E3E4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Fault tolerance is the ability of a system to continue operating without interruption when one or more of its components fail. For a system this critical, failure is not an "if" but a "when," and the architecture must be designed from the ground up to anticipate and gracefully handle such failures.</w:t>
      </w:r>
    </w:p>
    <w:p w14:paraId="19C2F9C7">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Redundancy and High Availability:</w:t>
      </w:r>
    </w:p>
    <w:p w14:paraId="27721DCE">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Multi-Availability Zone Deployment:</w:t>
      </w:r>
      <w:r>
        <w:rPr>
          <w:rFonts w:hint="default" w:ascii="Times New Roman" w:hAnsi="Times New Roman" w:cs="Times New Roman"/>
        </w:rPr>
        <w:t xml:space="preserve"> All critical components of the Min-Connect platform—API gateways, microservices, databases—will be deployed in a redundant configuration across at least two, and preferably three, physically separate data centers (known as Availability Zones in the cloud). These zones have independent power, cooling, and networking. If a catastrophic event like a fire, power outage, or flood takes down one entire data center, traffic is automatically and seamlessly rerouted by load balancers to the healthy data centers, with no downtime visible to the end-users.</w:t>
      </w:r>
    </w:p>
    <w:p w14:paraId="39CC5164">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Database Replication:</w:t>
      </w:r>
      <w:r>
        <w:rPr>
          <w:rFonts w:hint="default" w:ascii="Times New Roman" w:hAnsi="Times New Roman" w:cs="Times New Roman"/>
        </w:rPr>
        <w:t xml:space="preserve"> The platform's databases will be configured with at least one primary "write" node and one or more standby "read" replicas located in different Availability Zones. All data written to the primary is synchronously or asynchronously copied to the replicas. If the primary database server fails, an automated process will promote a standby replica to become the new primary within seconds, ensuring minimal data loss and a rapid restoration of service.</w:t>
      </w:r>
    </w:p>
    <w:p w14:paraId="71F7E538">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Automated Health Checks and Self-Healing:</w:t>
      </w:r>
      <w:r>
        <w:rPr>
          <w:rFonts w:hint="default" w:ascii="Times New Roman" w:hAnsi="Times New Roman" w:cs="Times New Roman"/>
        </w:rPr>
        <w:t xml:space="preserve"> The Kubernetes orchestration system acts as an automated, vigilant operator. It constantly monitors the health of every single microservice instance (container). If a container becomes unresponsive, crashes due to a bug, or fails a health check, Kubernetes immediately terminates the faulty instance and spins up a new, healthy one to take its place, automatically re-attaching it to the network. This powerful self-healing capability ensures that isolated software crashes do not lead to system-wide outages.</w:t>
      </w:r>
    </w:p>
    <w:p w14:paraId="114FA559">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The Circuit Breaker Pattern:</w:t>
      </w:r>
      <w:r>
        <w:rPr>
          <w:rFonts w:hint="default" w:ascii="Times New Roman" w:hAnsi="Times New Roman" w:cs="Times New Roman"/>
        </w:rPr>
        <w:t xml:space="preserve"> To prevent a failure in one ministry's downstream system from causing a cascading failure across the entire network, we will implement the circuit breaker design pattern within the API Gateway.</w:t>
      </w:r>
    </w:p>
    <w:p w14:paraId="0BA07288">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How it works:</w:t>
      </w:r>
      <w:r>
        <w:rPr>
          <w:rFonts w:hint="default" w:ascii="Times New Roman" w:hAnsi="Times New Roman" w:cs="Times New Roman"/>
        </w:rPr>
        <w:t xml:space="preserve"> The API Gateway maintains a real-time counter of the success/failure rate of requests to each ministry connector. If requests to the MINDEF connector start failing repeatedly (perhaps because their internal database is down for maintenance), the circuit breaker for that specific service "trips." For a configurable period (e.g., 60 seconds), the gateway will immediately fail any new requests destined for MINDEF without even trying to connect. This prevents the gateway and upstream services from wasting resources and getting bogged down by a known-failing component. It also gives the ministry's system time to recover without being overwhelmed by retries. After the timeout, the gateway will allow a single "trial" request through. If it succeeds, the circuit is "closed," and traffic flows normally. If it fails, the circuit remains "open."</w:t>
      </w:r>
    </w:p>
    <w:p w14:paraId="52410459">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Data Backups and Disaster Recovery:</w:t>
      </w:r>
      <w:r>
        <w:rPr>
          <w:rFonts w:hint="default" w:ascii="Times New Roman" w:hAnsi="Times New Roman" w:cs="Times New Roman"/>
        </w:rPr>
        <w:t xml:space="preserve"> In addition to live replication for high availability, automated, regular snapshots of all critical data volumes and databases will be taken. These backups will be encrypted and stored securely in a separate, geographically distant cloud region. This strategy protects against data corruption, accidental deletion, or catastrophic region-wide failures, providing a robust and well-documented disaster recovery plan to restore the entire system from scratch if the absolute worst should happen.</w:t>
      </w:r>
    </w:p>
    <w:p w14:paraId="01529FAB">
      <w:pPr>
        <w:pStyle w:val="4"/>
        <w:keepNext w:val="0"/>
        <w:keepLines w:val="0"/>
        <w:widowControl/>
        <w:suppressLineNumbers w:val="0"/>
        <w:outlineLvl w:val="0"/>
        <w:rPr>
          <w:rFonts w:hint="default" w:ascii="Times New Roman" w:hAnsi="Times New Roman" w:cs="Times New Roman"/>
        </w:rPr>
      </w:pPr>
      <w:r>
        <w:rPr>
          <w:rFonts w:hint="default" w:ascii="Times New Roman" w:hAnsi="Times New Roman" w:cs="Times New Roman"/>
        </w:rPr>
        <w:t>5.3. Collaboration: Designed for Synergy</w:t>
      </w:r>
    </w:p>
    <w:p w14:paraId="15D6939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Collaboration, in this context, is the ability for ministries to securely, efficiently, and reliably work together by sharing data. The platform's design is fundamentally centered on enabling this synergy.</w:t>
      </w:r>
    </w:p>
    <w:p w14:paraId="157BBDB6">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Standardized APIs as a Common Language:</w:t>
      </w:r>
      <w:r>
        <w:rPr>
          <w:rFonts w:hint="default" w:ascii="Times New Roman" w:hAnsi="Times New Roman" w:cs="Times New Roman"/>
        </w:rPr>
        <w:t xml:space="preserve"> The core of effective collaboration is communication. By enforcing a single, well-documented, and standardized API, Min-Connect ensures that all ministries are "speaking the same digital language." The technical team at MINESUP doesn't need to learn the specific, proprietary database schema of MINDEF to verify a record; they simply make a standard HTTP request to a clean, predictable, and versioned endpoint like </w:t>
      </w:r>
      <w:r>
        <w:rPr>
          <w:rStyle w:val="8"/>
          <w:rFonts w:hint="default" w:ascii="Times New Roman" w:hAnsi="Times New Roman" w:cs="Times New Roman"/>
        </w:rPr>
        <w:t>GET /api/v1/minat/citizens/{nid}</w:t>
      </w:r>
      <w:r>
        <w:rPr>
          <w:rFonts w:hint="default" w:ascii="Times New Roman" w:hAnsi="Times New Roman" w:cs="Times New Roman"/>
        </w:rPr>
        <w:t>. This drastically lowers the technical barrier to inter-agency integration and fosters a culture of shared services.</w:t>
      </w:r>
    </w:p>
    <w:p w14:paraId="6E633668">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Centralized Governance, Federated Execution:</w:t>
      </w:r>
      <w:r>
        <w:rPr>
          <w:rFonts w:hint="default" w:ascii="Times New Roman" w:hAnsi="Times New Roman" w:cs="Times New Roman"/>
        </w:rPr>
        <w:t xml:space="preserve"> The platform provides a central point for governing data sharing policies (through the IAM/RBAC component), but the execution is federated, with each ministry controlling its own data. This model builds trust. The Minister of Finance can be assured that no other ministry can access their sensitive tax data unless their own designated administrator has explicitly granted permission for a specific purpose on the Min-Connect platform. This combination of central, auditable control and respected autonomy is key to encouraging adoption and willing collaboration among ministries.</w:t>
      </w:r>
    </w:p>
    <w:p w14:paraId="3CEB716B">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Event-Driven Workflows:</w:t>
      </w:r>
      <w:r>
        <w:rPr>
          <w:rFonts w:hint="default" w:ascii="Times New Roman" w:hAnsi="Times New Roman" w:cs="Times New Roman"/>
        </w:rPr>
        <w:t xml:space="preserve"> The use of a message queue enables powerful, automated, cross-ministerial workflows that react to events as they happen.</w:t>
      </w:r>
    </w:p>
    <w:p w14:paraId="4EEDE317">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Example Scenario:</w:t>
      </w:r>
    </w:p>
    <w:p w14:paraId="0231A7A3">
      <w:pPr>
        <w:pStyle w:val="9"/>
        <w:keepNext w:val="0"/>
        <w:keepLines w:val="0"/>
        <w:widowControl/>
        <w:suppressLineNumbers w:val="0"/>
        <w:ind w:left="216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The Ministry of Transport receives an official notification that a commercial vehicle has been involved in a serious accident and its road-worthiness certificate is immediately revoked in their system.</w:t>
      </w:r>
    </w:p>
    <w:p w14:paraId="34C78A8D">
      <w:pPr>
        <w:pStyle w:val="9"/>
        <w:keepNext w:val="0"/>
        <w:keepLines w:val="0"/>
        <w:widowControl/>
        <w:suppressLineNumbers w:val="0"/>
        <w:ind w:left="2160"/>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rPr>
        <w:t xml:space="preserve">The MINTRANS connector publishes a </w:t>
      </w:r>
      <w:r>
        <w:rPr>
          <w:rStyle w:val="8"/>
          <w:rFonts w:hint="default" w:ascii="Times New Roman" w:hAnsi="Times New Roman" w:cs="Times New Roman"/>
        </w:rPr>
        <w:t>vehicle.status.changed</w:t>
      </w:r>
      <w:r>
        <w:rPr>
          <w:rFonts w:hint="default" w:ascii="Times New Roman" w:hAnsi="Times New Roman" w:cs="Times New Roman"/>
        </w:rPr>
        <w:t xml:space="preserve"> event containing the vehicle's registration number and new status.</w:t>
      </w:r>
    </w:p>
    <w:p w14:paraId="0E491DBA">
      <w:pPr>
        <w:pStyle w:val="9"/>
        <w:keepNext w:val="0"/>
        <w:keepLines w:val="0"/>
        <w:widowControl/>
        <w:suppressLineNumbers w:val="0"/>
        <w:ind w:left="2160"/>
        <w:rPr>
          <w:rFonts w:hint="default" w:ascii="Times New Roman" w:hAnsi="Times New Roman" w:cs="Times New Roman"/>
        </w:rPr>
      </w:pPr>
      <w:r>
        <w:rPr>
          <w:rFonts w:hint="default" w:ascii="Times New Roman" w:hAnsi="Times New Roman" w:cs="Times New Roman"/>
          <w:lang w:val="en-US"/>
        </w:rPr>
        <w:t>3.</w:t>
      </w:r>
      <w:r>
        <w:rPr>
          <w:rFonts w:hint="default" w:ascii="Times New Roman" w:hAnsi="Times New Roman" w:cs="Times New Roman"/>
        </w:rPr>
        <w:t>The MINFI connector, which is subscribed to this event topic, instantly receives it. It can trigger an automated process to place a temporary hold on any fuel subsidy claims associated with that vehicle.</w:t>
      </w:r>
    </w:p>
    <w:p w14:paraId="426DDE1B">
      <w:pPr>
        <w:pStyle w:val="9"/>
        <w:keepNext w:val="0"/>
        <w:keepLines w:val="0"/>
        <w:widowControl/>
        <w:suppressLineNumbers w:val="0"/>
        <w:ind w:left="2160"/>
        <w:rPr>
          <w:rFonts w:hint="default" w:ascii="Times New Roman" w:hAnsi="Times New Roman" w:cs="Times New Roman"/>
        </w:rPr>
      </w:pPr>
      <w:r>
        <w:rPr>
          <w:rFonts w:hint="default" w:ascii="Times New Roman" w:hAnsi="Times New Roman" w:cs="Times New Roman"/>
          <w:lang w:val="en-US"/>
        </w:rPr>
        <w:t>4.</w:t>
      </w:r>
      <w:r>
        <w:rPr>
          <w:rFonts w:hint="default" w:ascii="Times New Roman" w:hAnsi="Times New Roman" w:cs="Times New Roman"/>
        </w:rPr>
        <w:t>Another connector for a future Ministry of Commerce could simultaneously receive the same event and flag the operating license of the business that owns the vehicle for review. This kind of proactive, automated, and near real-time collaboration is completely impossible in a siloed, manual environment but becomes trivial to implement on the Min-Connect platform.</w:t>
      </w:r>
    </w:p>
    <w:p w14:paraId="52A1C9F5">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Traceability and Accountability:</w:t>
      </w:r>
      <w:r>
        <w:rPr>
          <w:rFonts w:hint="default" w:ascii="Times New Roman" w:hAnsi="Times New Roman" w:cs="Times New Roman"/>
        </w:rPr>
        <w:t xml:space="preserve"> The immutable audit log is a powerful tool for building trust and encouraging collaboration. If a dispute or question arises about how certain data was accessed, the log provides an undeniable, chronological record of who accessed what, from where, and when. This complete transparency ensures all participants are held accountable for their use of shared data, making ministries more willing to participate in the ecosystem, knowing that all actions are being monitored and can be audited.</w:t>
      </w:r>
    </w:p>
    <w:p w14:paraId="3322EDC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14:paraId="24A7D90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14:paraId="43DC1938">
      <w:pPr>
        <w:pStyle w:val="3"/>
        <w:keepNext w:val="0"/>
        <w:keepLines w:val="0"/>
        <w:widowControl/>
        <w:suppressLineNumbers w:val="0"/>
        <w:rPr>
          <w:rFonts w:hint="default" w:ascii="Times New Roman" w:hAnsi="Times New Roman" w:cs="Times New Roman"/>
        </w:rPr>
      </w:pPr>
      <w:bookmarkStart w:id="16" w:name="_Toc23276"/>
      <w:bookmarkStart w:id="17" w:name="_Toc30261"/>
      <w:r>
        <w:rPr>
          <w:rFonts w:hint="default" w:ascii="Times New Roman" w:hAnsi="Times New Roman" w:cs="Times New Roman"/>
        </w:rPr>
        <w:t>6. System Design and Architecture</w:t>
      </w:r>
      <w:bookmarkEnd w:id="16"/>
      <w:bookmarkEnd w:id="17"/>
    </w:p>
    <w:p w14:paraId="20E4084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Our proposed architecture is modern, layered, and based on industry best practices for building secure, scalable, and maintainable distributed systems.</w:t>
      </w:r>
    </w:p>
    <w:p w14:paraId="13E85CA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6.1. High-Level Architectural Model: A Layered Approach</w:t>
      </w:r>
    </w:p>
    <w:p w14:paraId="4D4315B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Min-Connect platform can be visualized as a series of logical layers, each with a distinct responsibility.</w:t>
      </w:r>
    </w:p>
    <w:p w14:paraId="7CD4DFE0">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Layer 1: Ministry Internal Systems (The Edge)</w:t>
      </w:r>
      <w:r>
        <w:rPr>
          <w:rFonts w:hint="default" w:ascii="Times New Roman" w:hAnsi="Times New Roman" w:cs="Times New Roman"/>
        </w:rPr>
        <w:t xml:space="preserve"> This layer is not part of our platform but represents the starting point. It consists of the existing databases (e.g., Oracle, SQL Server), servers, and applications currently in use by each ministry. Our platform interacts with this layer via the Ministry Connectors, respecting it as a black box.</w:t>
      </w:r>
    </w:p>
    <w:p w14:paraId="3A287068">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Layer 2: The Integration &amp; Security Layer</w:t>
      </w:r>
      <w:r>
        <w:rPr>
          <w:rFonts w:hint="default" w:ascii="Times New Roman" w:hAnsi="Times New Roman" w:cs="Times New Roman"/>
        </w:rPr>
        <w:t xml:space="preserve"> This is the core of the Min-Connect platform, residing in a secure cloud environment. It is responsible for all communication, security, and data transformation.</w:t>
      </w:r>
    </w:p>
    <w:p w14:paraId="59839340">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Ministry Connectors:</w:t>
      </w:r>
      <w:r>
        <w:rPr>
          <w:rFonts w:hint="default" w:ascii="Times New Roman" w:hAnsi="Times New Roman" w:cs="Times New Roman"/>
        </w:rPr>
        <w:t xml:space="preserve"> As described previously, these reside at the edge of the ministry's network, acting as secure data proxies.</w:t>
      </w:r>
    </w:p>
    <w:p w14:paraId="1141B1B4">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Secure API Gateway:</w:t>
      </w:r>
      <w:r>
        <w:rPr>
          <w:rFonts w:hint="default" w:ascii="Times New Roman" w:hAnsi="Times New Roman" w:cs="Times New Roman"/>
        </w:rPr>
        <w:t xml:space="preserve"> The single front door for all traffic. It enforces security policies and routes requests to the appropriate internal services.</w:t>
      </w:r>
    </w:p>
    <w:p w14:paraId="6B794F6C">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Identity &amp; Access Management (IAM) Service:</w:t>
      </w:r>
      <w:r>
        <w:rPr>
          <w:rFonts w:hint="default" w:ascii="Times New Roman" w:hAnsi="Times New Roman" w:cs="Times New Roman"/>
        </w:rPr>
        <w:t xml:space="preserve"> Manages all authentication (who you are) and authorization (what you're allowed to do).</w:t>
      </w:r>
    </w:p>
    <w:p w14:paraId="52A97B43">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Message Queue:</w:t>
      </w:r>
      <w:r>
        <w:rPr>
          <w:rFonts w:hint="default" w:ascii="Times New Roman" w:hAnsi="Times New Roman" w:cs="Times New Roman"/>
        </w:rPr>
        <w:t xml:space="preserve"> Facilitates asynchronous communication and event-driven workflows between services.</w:t>
      </w:r>
    </w:p>
    <w:p w14:paraId="011E3D79">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Layer 3: The Business Logic &amp; Core Services Layer</w:t>
      </w:r>
      <w:r>
        <w:rPr>
          <w:rFonts w:hint="default" w:ascii="Times New Roman" w:hAnsi="Times New Roman" w:cs="Times New Roman"/>
        </w:rPr>
        <w:t xml:space="preserve"> This layer contains the fleet of microservices that perform the main functions of the platform.</w:t>
      </w:r>
    </w:p>
    <w:p w14:paraId="543D926D">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Schema Registry Service:</w:t>
      </w:r>
      <w:r>
        <w:rPr>
          <w:rFonts w:hint="default" w:ascii="Times New Roman" w:hAnsi="Times New Roman" w:cs="Times New Roman"/>
        </w:rPr>
        <w:t xml:space="preserve"> Manages and versions the unified data models, providing a central source of truth for data structures.</w:t>
      </w:r>
    </w:p>
    <w:p w14:paraId="76A7AB99">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Audit Service:</w:t>
      </w:r>
      <w:r>
        <w:rPr>
          <w:rFonts w:hint="default" w:ascii="Times New Roman" w:hAnsi="Times New Roman" w:cs="Times New Roman"/>
        </w:rPr>
        <w:t xml:space="preserve"> A dedicated service with the sole responsibility of receiving audit events and writing them securely to the immutable audit log.</w:t>
      </w:r>
    </w:p>
    <w:p w14:paraId="0101F53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Connector Services:</w:t>
      </w:r>
      <w:r>
        <w:rPr>
          <w:rFonts w:hint="default" w:ascii="Times New Roman" w:hAnsi="Times New Roman" w:cs="Times New Roman"/>
        </w:rPr>
        <w:t xml:space="preserve"> A dedicated microservice for each ministry (e.g., MINAT-Service, MINFI-Service) that contains the business logic for interacting with that ministry's connector. This is where ministry-specific data transformations and orchestration logic reside.</w:t>
      </w:r>
    </w:p>
    <w:p w14:paraId="0C7E1A0A">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Notification Service:</w:t>
      </w:r>
      <w:r>
        <w:rPr>
          <w:rFonts w:hint="default" w:ascii="Times New Roman" w:hAnsi="Times New Roman" w:cs="Times New Roman"/>
        </w:rPr>
        <w:t xml:space="preserve"> A service for handling outbound notifications (e.g., email or SMS alerts to administrators) in a centralized way.</w:t>
      </w:r>
    </w:p>
    <w:p w14:paraId="792DFC3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14:paraId="6923788C">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Layer 4: The Data Persistence Layer</w:t>
      </w:r>
      <w:r>
        <w:rPr>
          <w:rFonts w:hint="default" w:ascii="Times New Roman" w:hAnsi="Times New Roman" w:cs="Times New Roman"/>
        </w:rPr>
        <w:t xml:space="preserve"> This layer contains the highly-available databases used by the Min-Connect platform itself (not the ministries' main databases).</w:t>
      </w:r>
    </w:p>
    <w:p w14:paraId="4B71A29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IAM Database:</w:t>
      </w:r>
      <w:r>
        <w:rPr>
          <w:rFonts w:hint="default" w:ascii="Times New Roman" w:hAnsi="Times New Roman" w:cs="Times New Roman"/>
        </w:rPr>
        <w:t xml:space="preserve"> Stores user credentials, roles, and permissions. A relational database like PostgreSQL is ideal here for its transactional integrity.</w:t>
      </w:r>
    </w:p>
    <w:p w14:paraId="6CAA953E">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Audit Log Database:</w:t>
      </w:r>
      <w:r>
        <w:rPr>
          <w:rFonts w:hint="default" w:ascii="Times New Roman" w:hAnsi="Times New Roman" w:cs="Times New Roman"/>
        </w:rPr>
        <w:t xml:space="preserve"> Stores the immutable transaction logs. A write-optimized or blockchain-based database could be used here to guarantee integrity and non-repudiation.</w:t>
      </w:r>
    </w:p>
    <w:p w14:paraId="502A12F3">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Configuration Database:</w:t>
      </w:r>
      <w:r>
        <w:rPr>
          <w:rFonts w:hint="default" w:ascii="Times New Roman" w:hAnsi="Times New Roman" w:cs="Times New Roman"/>
        </w:rPr>
        <w:t xml:space="preserve"> Stores system configuration data, such as API rate limits and circuit breaker thresholds. A key-value store like Redis or etcd is suitable.</w:t>
      </w:r>
    </w:p>
    <w:p w14:paraId="7DFBB7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6.2. Data Flow Example: A Real-Time ID Verification</w:t>
      </w:r>
    </w:p>
    <w:p w14:paraId="520A93F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Let's trace a typical request through the system to illustrate how the components interact.</w:t>
      </w:r>
    </w:p>
    <w:p w14:paraId="143E03C7">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Scenario:</w:t>
      </w:r>
      <w:r>
        <w:rPr>
          <w:rFonts w:hint="default" w:ascii="Times New Roman" w:hAnsi="Times New Roman" w:cs="Times New Roman"/>
        </w:rPr>
        <w:t xml:space="preserve"> An officer at the Ministry of Defense needs to verify the National ID of a new recruit.</w:t>
      </w:r>
    </w:p>
    <w:p w14:paraId="7E059ACA">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Request Initiation:</w:t>
      </w:r>
      <w:r>
        <w:rPr>
          <w:rFonts w:hint="default" w:ascii="Times New Roman" w:hAnsi="Times New Roman" w:cs="Times New Roman"/>
        </w:rPr>
        <w:t xml:space="preserve"> The officer uses an application within the MINDEF network. This application makes an API call to the local MINDEF Connector, asking to verify NID </w:t>
      </w:r>
      <w:r>
        <w:rPr>
          <w:rStyle w:val="8"/>
          <w:rFonts w:hint="default" w:ascii="Times New Roman" w:hAnsi="Times New Roman" w:cs="Times New Roman"/>
        </w:rPr>
        <w:t>123456789</w:t>
      </w:r>
      <w:r>
        <w:rPr>
          <w:rFonts w:hint="default" w:ascii="Times New Roman" w:hAnsi="Times New Roman" w:cs="Times New Roman"/>
        </w:rPr>
        <w:t>.</w:t>
      </w:r>
    </w:p>
    <w:p w14:paraId="15E99BB5">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Connector to Gateway:</w:t>
      </w:r>
      <w:r>
        <w:rPr>
          <w:rFonts w:hint="default" w:ascii="Times New Roman" w:hAnsi="Times New Roman" w:cs="Times New Roman"/>
        </w:rPr>
        <w:t xml:space="preserve"> The MINDEF Connector forwards this request, along with its own secure credentials (a client certificate or API key), to the Min-Connect API Gateway's public endpoint over an encrypted TLS connection.</w:t>
      </w:r>
    </w:p>
    <w:p w14:paraId="1CE3969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Authentication:</w:t>
      </w:r>
      <w:r>
        <w:rPr>
          <w:rFonts w:hint="default" w:ascii="Times New Roman" w:hAnsi="Times New Roman" w:cs="Times New Roman"/>
        </w:rPr>
        <w:t xml:space="preserve"> The API Gateway receives the request. It first passes the credentials to the IAM Service to authenticate that the request is genuinely from the registered MINDEF Connector service account.</w:t>
      </w:r>
    </w:p>
    <w:p w14:paraId="4BD374FC">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Authorization:</w:t>
      </w:r>
      <w:r>
        <w:rPr>
          <w:rFonts w:hint="default" w:ascii="Times New Roman" w:hAnsi="Times New Roman" w:cs="Times New Roman"/>
        </w:rPr>
        <w:t xml:space="preserve"> The IAM Service confirms authentication. The API Gateway then asks the IAM Service if the MINDEF Connector's role has permission to access the </w:t>
      </w:r>
      <w:r>
        <w:rPr>
          <w:rStyle w:val="8"/>
          <w:rFonts w:hint="default" w:ascii="Times New Roman" w:hAnsi="Times New Roman" w:cs="Times New Roman"/>
        </w:rPr>
        <w:t>citizens.verify</w:t>
      </w:r>
      <w:r>
        <w:rPr>
          <w:rFonts w:hint="default" w:ascii="Times New Roman" w:hAnsi="Times New Roman" w:cs="Times New Roman"/>
        </w:rPr>
        <w:t xml:space="preserve"> endpoint for MINAT. The IAM service confirms this permission is granted.</w:t>
      </w:r>
    </w:p>
    <w:p w14:paraId="67C10045">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Logging (Request):</w:t>
      </w:r>
      <w:r>
        <w:rPr>
          <w:rFonts w:hint="default" w:ascii="Times New Roman" w:hAnsi="Times New Roman" w:cs="Times New Roman"/>
        </w:rPr>
        <w:t xml:space="preserve"> The API Gateway sends a message to the Audit Service to log the incoming, authenticated, and authorized request (who, what, when).</w:t>
      </w:r>
    </w:p>
    <w:p w14:paraId="7D8CE3C9">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Routing:</w:t>
      </w:r>
      <w:r>
        <w:rPr>
          <w:rFonts w:hint="default" w:ascii="Times New Roman" w:hAnsi="Times New Roman" w:cs="Times New Roman"/>
        </w:rPr>
        <w:t xml:space="preserve"> The Gateway, knowing this is a request for MINAT data, routes the request to the internal MINAT-Service microservice.</w:t>
      </w:r>
    </w:p>
    <w:p w14:paraId="480CC85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Business Logic:</w:t>
      </w:r>
      <w:r>
        <w:rPr>
          <w:rFonts w:hint="default" w:ascii="Times New Roman" w:hAnsi="Times New Roman" w:cs="Times New Roman"/>
        </w:rPr>
        <w:t xml:space="preserve"> The MINAT-Service receives the request. It knows the specific protocol and IP address for communicating with the MINAT Connector. It sends a standardized query to the MINAT Connector on the edge of MINAT's network.</w:t>
      </w:r>
    </w:p>
    <w:p w14:paraId="0EE9C890">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Data Retrieval:</w:t>
      </w:r>
      <w:r>
        <w:rPr>
          <w:rFonts w:hint="default" w:ascii="Times New Roman" w:hAnsi="Times New Roman" w:cs="Times New Roman"/>
        </w:rPr>
        <w:t xml:space="preserve"> The MINAT Connector receives the query. It translates the standardized query into the native SQL dialect of MINAT's internal citizen registry database. It executes the query, gets the result, and meticulously maps the result from the internal </w:t>
      </w:r>
      <w:r>
        <w:rPr>
          <w:rStyle w:val="8"/>
          <w:rFonts w:hint="default" w:ascii="Times New Roman" w:hAnsi="Times New Roman" w:cs="Times New Roman"/>
        </w:rPr>
        <w:t>Citoyen</w:t>
      </w:r>
      <w:r>
        <w:rPr>
          <w:rFonts w:hint="default" w:ascii="Times New Roman" w:hAnsi="Times New Roman" w:cs="Times New Roman"/>
        </w:rPr>
        <w:t xml:space="preserve"> table format back into the standard </w:t>
      </w:r>
      <w:r>
        <w:rPr>
          <w:rStyle w:val="8"/>
          <w:rFonts w:hint="default" w:ascii="Times New Roman" w:hAnsi="Times New Roman" w:cs="Times New Roman"/>
        </w:rPr>
        <w:t>Citizen</w:t>
      </w:r>
      <w:r>
        <w:rPr>
          <w:rFonts w:hint="default" w:ascii="Times New Roman" w:hAnsi="Times New Roman" w:cs="Times New Roman"/>
        </w:rPr>
        <w:t xml:space="preserve"> object format defined in the Schema Registry.</w:t>
      </w:r>
    </w:p>
    <w:p w14:paraId="397B14F1">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Response Journey:</w:t>
      </w:r>
      <w:r>
        <w:rPr>
          <w:rFonts w:hint="default" w:ascii="Times New Roman" w:hAnsi="Times New Roman" w:cs="Times New Roman"/>
        </w:rPr>
        <w:t xml:space="preserve"> The MINAT Connector sends the standardized </w:t>
      </w:r>
      <w:r>
        <w:rPr>
          <w:rStyle w:val="8"/>
          <w:rFonts w:hint="default" w:ascii="Times New Roman" w:hAnsi="Times New Roman" w:cs="Times New Roman"/>
        </w:rPr>
        <w:t>Citizen</w:t>
      </w:r>
      <w:r>
        <w:rPr>
          <w:rFonts w:hint="default" w:ascii="Times New Roman" w:hAnsi="Times New Roman" w:cs="Times New Roman"/>
        </w:rPr>
        <w:t xml:space="preserve"> object back to the MINAT-Service. The service forwards it to the API Gateway. The Gateway logs the successful response via the Audit Service and finally sends the data back to the originating MINDEF Connector.</w:t>
      </w:r>
    </w:p>
    <w:p w14:paraId="4C3C014A">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Result:</w:t>
      </w:r>
      <w:r>
        <w:rPr>
          <w:rFonts w:hint="default" w:ascii="Times New Roman" w:hAnsi="Times New Roman" w:cs="Times New Roman"/>
        </w:rPr>
        <w:t xml:space="preserve"> The MINDEF application receives the verified citizen data and displays it to the officer.</w:t>
      </w:r>
    </w:p>
    <w:p w14:paraId="5DDD931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entire process, while involving many robust security and logging steps, would be completed in milliseconds, providing a secure, audited, and real-time verification that is utterly impossible in the current manual system.</w:t>
      </w:r>
    </w:p>
    <w:p w14:paraId="719A632E">
      <w:pPr>
        <w:pStyle w:val="3"/>
        <w:keepNext w:val="0"/>
        <w:keepLines w:val="0"/>
        <w:widowControl/>
        <w:suppressLineNumbers w:val="0"/>
        <w:rPr>
          <w:rFonts w:hint="default" w:ascii="Times New Roman" w:hAnsi="Times New Roman" w:cs="Times New Roman"/>
        </w:rPr>
      </w:pPr>
      <w:bookmarkStart w:id="18" w:name="_Toc12048"/>
      <w:bookmarkStart w:id="19" w:name="_Toc25951"/>
      <w:r>
        <w:rPr>
          <w:rFonts w:hint="default" w:ascii="Times New Roman" w:hAnsi="Times New Roman" w:cs="Times New Roman"/>
        </w:rPr>
        <w:t>7. Proposed Technology Stack</w:t>
      </w:r>
      <w:bookmarkEnd w:id="18"/>
      <w:bookmarkEnd w:id="19"/>
    </w:p>
    <w:p w14:paraId="480BFE5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selection of technologies is driven by our architectural principles: we need tools that are open-source, mature, highly scalable, secure, and well-supported by a global community.</w:t>
      </w:r>
    </w:p>
    <w:p w14:paraId="35154C7E">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Backend Development:</w:t>
      </w:r>
    </w:p>
    <w:p w14:paraId="4AB3841A">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Language/Framework:</w:t>
      </w:r>
      <w:r>
        <w:rPr>
          <w:rFonts w:hint="default" w:ascii="Times New Roman" w:hAnsi="Times New Roman" w:cs="Times New Roman"/>
        </w:rPr>
        <w:t xml:space="preserve"> </w:t>
      </w:r>
      <w:r>
        <w:rPr>
          <w:rStyle w:val="10"/>
          <w:rFonts w:hint="default" w:ascii="Times New Roman" w:hAnsi="Times New Roman" w:cs="Times New Roman"/>
        </w:rPr>
        <w:t>Node.js with TypeScript and the NestJS framework.</w:t>
      </w:r>
    </w:p>
    <w:p w14:paraId="17CD446E">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Justification:</w:t>
      </w:r>
      <w:r>
        <w:rPr>
          <w:rFonts w:hint="default" w:ascii="Times New Roman" w:hAnsi="Times New Roman" w:cs="Times New Roman"/>
        </w:rPr>
        <w:t xml:space="preserve"> Node.js is highly efficient and non-blocking, making it perfect for I/O-bound operations like handling thousands of concurrent API requests and querying databases. TypeScript adds strong typing, which is crucial for building robust, maintainable, enterprise-grade applications and reducing bugs. NestJS provides a structured, modular architecture that is perfect for building scalable and testable microservices.</w:t>
      </w:r>
    </w:p>
    <w:p w14:paraId="052FA9A1">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Database Systems:</w:t>
      </w:r>
    </w:p>
    <w:p w14:paraId="5BC03485">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Primary Relational Database (for IAM, Configuration):</w:t>
      </w:r>
      <w:r>
        <w:rPr>
          <w:rFonts w:hint="default" w:ascii="Times New Roman" w:hAnsi="Times New Roman" w:cs="Times New Roman"/>
        </w:rPr>
        <w:t xml:space="preserve"> </w:t>
      </w:r>
      <w:r>
        <w:rPr>
          <w:rStyle w:val="10"/>
          <w:rFonts w:hint="default" w:ascii="Times New Roman" w:hAnsi="Times New Roman" w:cs="Times New Roman"/>
        </w:rPr>
        <w:t>PostgreSQL.</w:t>
      </w:r>
    </w:p>
    <w:p w14:paraId="7CE6C61E">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Justification:</w:t>
      </w:r>
      <w:r>
        <w:rPr>
          <w:rFonts w:hint="default" w:ascii="Times New Roman" w:hAnsi="Times New Roman" w:cs="Times New Roman"/>
        </w:rPr>
        <w:t xml:space="preserve"> PostgreSQL is a world-class, open-source relational database renowned for its reliability, powerful feature set, extensibility, and strong security record. It is the gold standard for applications requiring transactional integrity.</w:t>
      </w:r>
    </w:p>
    <w:p w14:paraId="62A03900">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Distributed Data Store (for Audit Log):</w:t>
      </w:r>
      <w:r>
        <w:rPr>
          <w:rFonts w:hint="default" w:ascii="Times New Roman" w:hAnsi="Times New Roman" w:cs="Times New Roman"/>
        </w:rPr>
        <w:t xml:space="preserve"> </w:t>
      </w:r>
      <w:r>
        <w:rPr>
          <w:rStyle w:val="10"/>
          <w:rFonts w:hint="default" w:ascii="Times New Roman" w:hAnsi="Times New Roman" w:cs="Times New Roman"/>
        </w:rPr>
        <w:t>Apache Cassandra or a distributed PostgreSQL solution (e.g., Citus).</w:t>
      </w:r>
    </w:p>
    <w:p w14:paraId="2469A2E2">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Justification:</w:t>
      </w:r>
      <w:r>
        <w:rPr>
          <w:rFonts w:hint="default" w:ascii="Times New Roman" w:hAnsi="Times New Roman" w:cs="Times New Roman"/>
        </w:rPr>
        <w:t xml:space="preserve"> These databases are designed for extreme scalability and fault tolerance. They excel at handling high-volume, write-heavy workloads like audit logging, distributing data across multiple nodes to ensure both performance and resilience.</w:t>
      </w:r>
    </w:p>
    <w:p w14:paraId="0267AD17">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Infrastructure and Deployment:</w:t>
      </w:r>
    </w:p>
    <w:p w14:paraId="595AE354">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Cloud Provider:</w:t>
      </w:r>
      <w:r>
        <w:rPr>
          <w:rFonts w:hint="default" w:ascii="Times New Roman" w:hAnsi="Times New Roman" w:cs="Times New Roman"/>
        </w:rPr>
        <w:t xml:space="preserve"> A choice between </w:t>
      </w:r>
      <w:r>
        <w:rPr>
          <w:rStyle w:val="10"/>
          <w:rFonts w:hint="default" w:ascii="Times New Roman" w:hAnsi="Times New Roman" w:cs="Times New Roman"/>
        </w:rPr>
        <w:t>Amazon Web Services (AWS), Microsoft Azure, or Google Cloud Platform (GCP).</w:t>
      </w:r>
      <w:r>
        <w:rPr>
          <w:rFonts w:hint="default" w:ascii="Times New Roman" w:hAnsi="Times New Roman" w:cs="Times New Roman"/>
        </w:rPr>
        <w:t xml:space="preserve"> The final choice would depend on government preference, data residency requirements, and local skills availability.</w:t>
      </w:r>
    </w:p>
    <w:p w14:paraId="2C36216C">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Containerization:</w:t>
      </w:r>
      <w:r>
        <w:rPr>
          <w:rFonts w:hint="default" w:ascii="Times New Roman" w:hAnsi="Times New Roman" w:cs="Times New Roman"/>
        </w:rPr>
        <w:t xml:space="preserve"> </w:t>
      </w:r>
      <w:r>
        <w:rPr>
          <w:rStyle w:val="10"/>
          <w:rFonts w:hint="default" w:ascii="Times New Roman" w:hAnsi="Times New Roman" w:cs="Times New Roman"/>
        </w:rPr>
        <w:t>Docker.</w:t>
      </w:r>
      <w:r>
        <w:rPr>
          <w:rFonts w:hint="default" w:ascii="Times New Roman" w:hAnsi="Times New Roman" w:cs="Times New Roman"/>
        </w:rPr>
        <w:t xml:space="preserve"> This is the undisputed industry standard for packaging applications and their dependencies into portable, isolated containers.</w:t>
      </w:r>
    </w:p>
    <w:p w14:paraId="1EFAE123">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Container Orchestration:</w:t>
      </w:r>
      <w:r>
        <w:rPr>
          <w:rFonts w:hint="default" w:ascii="Times New Roman" w:hAnsi="Times New Roman" w:cs="Times New Roman"/>
        </w:rPr>
        <w:t xml:space="preserve"> </w:t>
      </w:r>
      <w:r>
        <w:rPr>
          <w:rStyle w:val="10"/>
          <w:rFonts w:hint="default" w:ascii="Times New Roman" w:hAnsi="Times New Roman" w:cs="Times New Roman"/>
        </w:rPr>
        <w:t>Kubernetes.</w:t>
      </w:r>
      <w:r>
        <w:rPr>
          <w:rFonts w:hint="default" w:ascii="Times New Roman" w:hAnsi="Times New Roman" w:cs="Times New Roman"/>
        </w:rPr>
        <w:t xml:space="preserve"> This is the leading open-source platform for deploying, managing, and automatically scaling containerized applications. It provides the foundation for our self-healing, scalable, and resilient infrastructure.</w:t>
      </w:r>
    </w:p>
    <w:p w14:paraId="2A817A52">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Communication and Integration:</w:t>
      </w:r>
    </w:p>
    <w:p w14:paraId="5F7332FD">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API Standard:</w:t>
      </w:r>
      <w:r>
        <w:rPr>
          <w:rFonts w:hint="default" w:ascii="Times New Roman" w:hAnsi="Times New Roman" w:cs="Times New Roman"/>
        </w:rPr>
        <w:t xml:space="preserve"> </w:t>
      </w:r>
      <w:r>
        <w:rPr>
          <w:rStyle w:val="10"/>
          <w:rFonts w:hint="default" w:ascii="Times New Roman" w:hAnsi="Times New Roman" w:cs="Times New Roman"/>
        </w:rPr>
        <w:t>RESTful APIs with OpenAPI (Swagger) documentation.</w:t>
      </w:r>
      <w:r>
        <w:rPr>
          <w:rFonts w:hint="default" w:ascii="Times New Roman" w:hAnsi="Times New Roman" w:cs="Times New Roman"/>
        </w:rPr>
        <w:t xml:space="preserve"> This provides a predictable, well-understood, and language-agnostic standard for web services. OpenAPI allows for the automatic </w:t>
      </w:r>
      <w:bookmarkStart w:id="24" w:name="_GoBack"/>
      <w:bookmarkEnd w:id="24"/>
      <w:r>
        <w:rPr>
          <w:rFonts w:hint="default" w:ascii="Times New Roman" w:hAnsi="Times New Roman" w:cs="Times New Roman"/>
        </w:rPr>
        <w:t>generation of interactive documentation and client SDKs.</w:t>
      </w:r>
    </w:p>
    <w:p w14:paraId="70487EDC">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Message Broker:</w:t>
      </w:r>
      <w:r>
        <w:rPr>
          <w:rFonts w:hint="default" w:ascii="Times New Roman" w:hAnsi="Times New Roman" w:cs="Times New Roman"/>
        </w:rPr>
        <w:t xml:space="preserve"> </w:t>
      </w:r>
      <w:r>
        <w:rPr>
          <w:rStyle w:val="10"/>
          <w:rFonts w:hint="default" w:ascii="Times New Roman" w:hAnsi="Times New Roman" w:cs="Times New Roman"/>
        </w:rPr>
        <w:t>RabbitMQ.</w:t>
      </w:r>
      <w:r>
        <w:rPr>
          <w:rFonts w:hint="default" w:ascii="Times New Roman" w:hAnsi="Times New Roman" w:cs="Times New Roman"/>
        </w:rPr>
        <w:t xml:space="preserve"> A mature, reliable, and widely-adopted message queue for enabling asynchronous, decoupled communication between microservices.</w:t>
      </w:r>
    </w:p>
    <w:p w14:paraId="6589A81A">
      <w:pPr>
        <w:pStyle w:val="9"/>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Security:</w:t>
      </w:r>
    </w:p>
    <w:p w14:paraId="7CED0BED">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Authentication/Authorization:</w:t>
      </w:r>
      <w:r>
        <w:rPr>
          <w:rFonts w:hint="default" w:ascii="Times New Roman" w:hAnsi="Times New Roman" w:cs="Times New Roman"/>
        </w:rPr>
        <w:t xml:space="preserve"> </w:t>
      </w:r>
      <w:r>
        <w:rPr>
          <w:rStyle w:val="10"/>
          <w:rFonts w:hint="default" w:ascii="Times New Roman" w:hAnsi="Times New Roman" w:cs="Times New Roman"/>
        </w:rPr>
        <w:t>OAuth 2.0 and JSON Web Tokens (JWT).</w:t>
      </w:r>
      <w:r>
        <w:rPr>
          <w:rFonts w:hint="default" w:ascii="Times New Roman" w:hAnsi="Times New Roman" w:cs="Times New Roman"/>
        </w:rPr>
        <w:t xml:space="preserve"> This is the modern, flexible, and secure standard for securing API access for service-to-service communication.</w:t>
      </w:r>
    </w:p>
    <w:p w14:paraId="14116CD0">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Encryption:</w:t>
      </w:r>
      <w:r>
        <w:rPr>
          <w:rFonts w:hint="default" w:ascii="Times New Roman" w:hAnsi="Times New Roman" w:cs="Times New Roman"/>
        </w:rPr>
        <w:t xml:space="preserve"> </w:t>
      </w:r>
      <w:r>
        <w:rPr>
          <w:rStyle w:val="10"/>
          <w:rFonts w:hint="default" w:ascii="Times New Roman" w:hAnsi="Times New Roman" w:cs="Times New Roman"/>
        </w:rPr>
        <w:t>TLS 1.3</w:t>
      </w:r>
      <w:r>
        <w:rPr>
          <w:rFonts w:hint="default" w:ascii="Times New Roman" w:hAnsi="Times New Roman" w:cs="Times New Roman"/>
        </w:rPr>
        <w:t xml:space="preserve"> for all data in transit, ensuring all network communication is encrypted. </w:t>
      </w:r>
      <w:r>
        <w:rPr>
          <w:rStyle w:val="10"/>
          <w:rFonts w:hint="default" w:ascii="Times New Roman" w:hAnsi="Times New Roman" w:cs="Times New Roman"/>
        </w:rPr>
        <w:t>AES-256</w:t>
      </w:r>
      <w:r>
        <w:rPr>
          <w:rFonts w:hint="default" w:ascii="Times New Roman" w:hAnsi="Times New Roman" w:cs="Times New Roman"/>
        </w:rPr>
        <w:t xml:space="preserve"> encryption for all data at rest on servers, disks, and in databases.</w:t>
      </w:r>
    </w:p>
    <w:p w14:paraId="7B525849">
      <w:pPr>
        <w:pStyle w:val="9"/>
        <w:keepNext w:val="0"/>
        <w:keepLines w:val="0"/>
        <w:widowControl/>
        <w:suppressLineNumbers w:val="0"/>
        <w:ind w:left="1440"/>
        <w:rPr>
          <w:rFonts w:hint="default" w:ascii="Times New Roman" w:hAnsi="Times New Roman" w:cs="Times New Roman"/>
        </w:rPr>
      </w:pPr>
      <w:r>
        <w:rPr>
          <w:rStyle w:val="10"/>
          <w:rFonts w:hint="default" w:ascii="Times New Roman" w:hAnsi="Times New Roman" w:cs="Times New Roman"/>
        </w:rPr>
        <w:t>Infrastructure Security:</w:t>
      </w:r>
      <w:r>
        <w:rPr>
          <w:rFonts w:hint="default" w:ascii="Times New Roman" w:hAnsi="Times New Roman" w:cs="Times New Roman"/>
        </w:rPr>
        <w:t xml:space="preserve"> </w:t>
      </w:r>
      <w:r>
        <w:rPr>
          <w:rStyle w:val="10"/>
          <w:rFonts w:hint="default" w:ascii="Times New Roman" w:hAnsi="Times New Roman" w:cs="Times New Roman"/>
        </w:rPr>
        <w:t>Web Application Firewalls (WAF), regular automated vulnerability scanning, strict network security group policies (firewalls), and secrets management with tools like HashiCorp Vault.</w:t>
      </w:r>
    </w:p>
    <w:p w14:paraId="1F4DBC95">
      <w:pPr>
        <w:keepNext w:val="0"/>
        <w:keepLines w:val="0"/>
        <w:widowControl/>
        <w:numPr>
          <w:ilvl w:val="1"/>
          <w:numId w:val="3"/>
        </w:numPr>
        <w:suppressLineNumbers w:val="0"/>
        <w:spacing w:before="0" w:beforeAutospacing="1" w:after="0" w:afterAutospacing="1"/>
        <w:ind w:left="2882" w:hanging="360"/>
        <w:rPr>
          <w:rFonts w:hint="default" w:ascii="Times New Roman" w:hAnsi="Times New Roman" w:cs="Times New Roman"/>
        </w:rPr>
      </w:pPr>
    </w:p>
    <w:p w14:paraId="318ED87F">
      <w:pPr>
        <w:pStyle w:val="3"/>
        <w:keepNext w:val="0"/>
        <w:keepLines w:val="0"/>
        <w:widowControl/>
        <w:suppressLineNumbers w:val="0"/>
        <w:rPr>
          <w:rFonts w:hint="default" w:ascii="Times New Roman" w:hAnsi="Times New Roman" w:cs="Times New Roman"/>
        </w:rPr>
      </w:pPr>
      <w:bookmarkStart w:id="20" w:name="_Toc16691"/>
      <w:bookmarkStart w:id="21" w:name="_Toc27821"/>
      <w:r>
        <w:rPr>
          <w:rFonts w:hint="default" w:ascii="Times New Roman" w:hAnsi="Times New Roman" w:cs="Times New Roman"/>
        </w:rPr>
        <w:t>8. Project Implementation Plan and Timeline</w:t>
      </w:r>
      <w:bookmarkEnd w:id="20"/>
      <w:bookmarkEnd w:id="21"/>
    </w:p>
    <w:p w14:paraId="7E9AD8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We propose a phased, agile approach to implementation, ensuring that value is delivered incrementally and the project can adapt to feedback from the participating ministries. The estimated timeline for Phase 1 is </w:t>
      </w:r>
      <w:r>
        <w:rPr>
          <w:rStyle w:val="10"/>
          <w:rFonts w:hint="default" w:ascii="Times New Roman" w:hAnsi="Times New Roman" w:cs="Times New Roman"/>
        </w:rPr>
        <w:t>12 months</w:t>
      </w:r>
      <w:r>
        <w:rPr>
          <w:rFonts w:hint="default" w:ascii="Times New Roman" w:hAnsi="Times New Roman" w:cs="Times New Roman"/>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2"/>
        <w:gridCol w:w="996"/>
        <w:gridCol w:w="3053"/>
        <w:gridCol w:w="2745"/>
      </w:tblGrid>
      <w:tr w14:paraId="53D3A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57" w:type="dxa"/>
            <w:shd w:val="clear"/>
            <w:vAlign w:val="center"/>
          </w:tcPr>
          <w:p w14:paraId="341A3167">
            <w:pPr>
              <w:pStyle w:val="9"/>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rPr>
              <w:t>Phase</w:t>
            </w:r>
          </w:p>
        </w:tc>
        <w:tc>
          <w:tcPr>
            <w:tcW w:w="966" w:type="dxa"/>
            <w:shd w:val="clear"/>
            <w:vAlign w:val="center"/>
          </w:tcPr>
          <w:p w14:paraId="019FE085">
            <w:pPr>
              <w:pStyle w:val="9"/>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rPr>
              <w:t>Duration</w:t>
            </w:r>
          </w:p>
        </w:tc>
        <w:tc>
          <w:tcPr>
            <w:tcW w:w="0" w:type="auto"/>
            <w:shd w:val="clear"/>
            <w:vAlign w:val="center"/>
          </w:tcPr>
          <w:p w14:paraId="6C3E9615">
            <w:pPr>
              <w:pStyle w:val="9"/>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rPr>
              <w:t>Key Activities</w:t>
            </w:r>
          </w:p>
        </w:tc>
        <w:tc>
          <w:tcPr>
            <w:tcW w:w="0" w:type="auto"/>
            <w:shd w:val="clear"/>
            <w:vAlign w:val="center"/>
          </w:tcPr>
          <w:p w14:paraId="688EC226">
            <w:pPr>
              <w:pStyle w:val="9"/>
              <w:keepNext w:val="0"/>
              <w:keepLines w:val="0"/>
              <w:widowControl/>
              <w:suppressLineNumbers w:val="0"/>
              <w:jc w:val="center"/>
              <w:rPr>
                <w:rFonts w:hint="default" w:ascii="Times New Roman" w:hAnsi="Times New Roman" w:cs="Times New Roman"/>
              </w:rPr>
            </w:pPr>
            <w:r>
              <w:rPr>
                <w:rStyle w:val="10"/>
                <w:rFonts w:hint="default" w:ascii="Times New Roman" w:hAnsi="Times New Roman" w:cs="Times New Roman"/>
              </w:rPr>
              <w:t>Milestones</w:t>
            </w:r>
          </w:p>
        </w:tc>
      </w:tr>
      <w:tr w14:paraId="288FE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57" w:type="dxa"/>
            <w:shd w:val="clear"/>
            <w:vAlign w:val="center"/>
          </w:tcPr>
          <w:p w14:paraId="70945827">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Phase 1: Discovery &amp; Planning</w:t>
            </w:r>
          </w:p>
        </w:tc>
        <w:tc>
          <w:tcPr>
            <w:tcW w:w="966" w:type="dxa"/>
            <w:shd w:val="clear"/>
            <w:vAlign w:val="center"/>
          </w:tcPr>
          <w:p w14:paraId="5E9839B5">
            <w:pPr>
              <w:pStyle w:val="9"/>
              <w:keepNext w:val="0"/>
              <w:keepLines w:val="0"/>
              <w:widowControl/>
              <w:suppressLineNumbers w:val="0"/>
              <w:rPr>
                <w:rFonts w:hint="default" w:ascii="Times New Roman" w:hAnsi="Times New Roman" w:cs="Times New Roman"/>
                <w:lang w:val="en-US"/>
              </w:rPr>
            </w:pPr>
            <w:r>
              <w:rPr>
                <w:rStyle w:val="10"/>
                <w:rFonts w:hint="default" w:ascii="Times New Roman" w:hAnsi="Times New Roman" w:cs="Times New Roman"/>
              </w:rPr>
              <w:t xml:space="preserve">2 </w:t>
            </w:r>
            <w:r>
              <w:rPr>
                <w:rStyle w:val="10"/>
                <w:rFonts w:hint="default" w:ascii="Times New Roman" w:hAnsi="Times New Roman" w:cs="Times New Roman"/>
                <w:lang w:val="en-US"/>
              </w:rPr>
              <w:t>Weeks</w:t>
            </w:r>
          </w:p>
        </w:tc>
        <w:tc>
          <w:tcPr>
            <w:tcW w:w="0" w:type="auto"/>
            <w:shd w:val="clear"/>
            <w:vAlign w:val="center"/>
          </w:tcPr>
          <w:p w14:paraId="067DBF5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Conduct stakeholder kickoff workshops with all 5 ministries. - Perform deep-dive technical analysis of existing IT systems, APIs, &amp; databases. - Draft and finalize inter-ministerial Data Sharing Agreements (DSAs) and governance policies. - Create a detailed functional specification for all Phase 1 use cases.</w:t>
            </w:r>
          </w:p>
        </w:tc>
        <w:tc>
          <w:tcPr>
            <w:tcW w:w="0" w:type="auto"/>
            <w:shd w:val="clear"/>
            <w:vAlign w:val="center"/>
          </w:tcPr>
          <w:p w14:paraId="12980A8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Signed Memorandums of Understanding (MOUs) with all participating ministries. - Finalized and published Unified Data Schema v1.0. - Detailed Technical Architecture Document (TAD) is approved.</w:t>
            </w:r>
          </w:p>
        </w:tc>
      </w:tr>
      <w:tr w14:paraId="65228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57" w:type="dxa"/>
            <w:shd w:val="clear"/>
            <w:vAlign w:val="center"/>
          </w:tcPr>
          <w:p w14:paraId="65173362">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Phase 2: Core Platform Development</w:t>
            </w:r>
          </w:p>
        </w:tc>
        <w:tc>
          <w:tcPr>
            <w:tcW w:w="966" w:type="dxa"/>
            <w:shd w:val="clear"/>
            <w:vAlign w:val="center"/>
          </w:tcPr>
          <w:p w14:paraId="19494555">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4 </w:t>
            </w:r>
            <w:r>
              <w:rPr>
                <w:rStyle w:val="10"/>
                <w:rFonts w:hint="default" w:ascii="Times New Roman" w:hAnsi="Times New Roman" w:cs="Times New Roman"/>
                <w:lang w:val="en-US"/>
              </w:rPr>
              <w:t>Weeks</w:t>
            </w:r>
          </w:p>
        </w:tc>
        <w:tc>
          <w:tcPr>
            <w:tcW w:w="0" w:type="auto"/>
            <w:shd w:val="clear"/>
            <w:vAlign w:val="center"/>
          </w:tcPr>
          <w:p w14:paraId="22E263A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Provision secure cloud infrastructure and configure Kubernetes cluster. - Develop and test the Identity &amp; Access Management (IAM) service with RBAC. - Develop and test the Secure API Gateway with core routing and security logic. - Develop and deploy the Audit Service and logging infrastructure.</w:t>
            </w:r>
          </w:p>
        </w:tc>
        <w:tc>
          <w:tcPr>
            <w:tcW w:w="0" w:type="auto"/>
            <w:shd w:val="clear"/>
            <w:vAlign w:val="center"/>
          </w:tcPr>
          <w:p w14:paraId="7E4645D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Core platform infrastructure is live and monitored. - Administrative UI for managing roles and permissions is functional. - Successful end-to-end test of a mock request through the full gateway and logging pipeline.</w:t>
            </w:r>
          </w:p>
        </w:tc>
      </w:tr>
      <w:tr w14:paraId="080D2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57" w:type="dxa"/>
            <w:shd w:val="clear"/>
            <w:vAlign w:val="center"/>
          </w:tcPr>
          <w:p w14:paraId="26025522">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Phase 3: Ministry Integration &amp; Connector Dev</w:t>
            </w:r>
          </w:p>
        </w:tc>
        <w:tc>
          <w:tcPr>
            <w:tcW w:w="966" w:type="dxa"/>
            <w:shd w:val="clear"/>
            <w:vAlign w:val="center"/>
          </w:tcPr>
          <w:p w14:paraId="36370035">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4 </w:t>
            </w:r>
            <w:r>
              <w:rPr>
                <w:rStyle w:val="10"/>
                <w:rFonts w:hint="default" w:ascii="Times New Roman" w:hAnsi="Times New Roman" w:cs="Times New Roman"/>
                <w:lang w:val="en-US"/>
              </w:rPr>
              <w:t>Weeks</w:t>
            </w:r>
          </w:p>
        </w:tc>
        <w:tc>
          <w:tcPr>
            <w:tcW w:w="0" w:type="auto"/>
            <w:shd w:val="clear"/>
            <w:vAlign w:val="center"/>
          </w:tcPr>
          <w:p w14:paraId="3F3E869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Develop, deploy, and test the connectors for MINAT and MINFI. - Onboard MINAT and MINFI to the platform in a staging environment. - Develop, deploy, and test the connectors for MINTRANS, MINESUP, and MINDEF. - Onboard the remaining three ministries to the staging environment.</w:t>
            </w:r>
          </w:p>
        </w:tc>
        <w:tc>
          <w:tcPr>
            <w:tcW w:w="0" w:type="auto"/>
            <w:shd w:val="clear"/>
            <w:vAlign w:val="center"/>
          </w:tcPr>
          <w:p w14:paraId="70F7D2F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First two ministries (MINAT &amp; MINFI) are fully integrated and can exchange data in staging. - All five ministries are connected to the platform. - Successful execution of all defined Phase 1 use cases in the staging environment.</w:t>
            </w:r>
          </w:p>
        </w:tc>
      </w:tr>
      <w:tr w14:paraId="29DC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57" w:type="dxa"/>
            <w:shd w:val="clear"/>
            <w:vAlign w:val="center"/>
          </w:tcPr>
          <w:p w14:paraId="7F2F3987">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Phase 4: Testing, Security Audit &amp; Go-Live</w:t>
            </w:r>
          </w:p>
        </w:tc>
        <w:tc>
          <w:tcPr>
            <w:tcW w:w="966" w:type="dxa"/>
            <w:shd w:val="clear"/>
            <w:vAlign w:val="center"/>
          </w:tcPr>
          <w:p w14:paraId="69A47F9D">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2 </w:t>
            </w:r>
            <w:r>
              <w:rPr>
                <w:rStyle w:val="10"/>
                <w:rFonts w:hint="default" w:ascii="Times New Roman" w:hAnsi="Times New Roman" w:cs="Times New Roman"/>
                <w:lang w:val="en-US"/>
              </w:rPr>
              <w:t>Weeks</w:t>
            </w:r>
          </w:p>
        </w:tc>
        <w:tc>
          <w:tcPr>
            <w:tcW w:w="0" w:type="auto"/>
            <w:shd w:val="clear"/>
            <w:vAlign w:val="center"/>
          </w:tcPr>
          <w:p w14:paraId="232E9FE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Conduct comprehensive end-to-end system integration testing. - Execute performance, stress, and load testing to validate scalability. - Commission a mandatory third-party security penetration test and vulnerability audit. - Conduct training sessions for ministry IT staff and system administrators. - Execute a phased, low-risk rollout to the production environment.</w:t>
            </w:r>
          </w:p>
        </w:tc>
        <w:tc>
          <w:tcPr>
            <w:tcW w:w="0" w:type="auto"/>
            <w:shd w:val="clear"/>
            <w:vAlign w:val="center"/>
          </w:tcPr>
          <w:p w14:paraId="56C7878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Successful completion of security audit with no critical vulnerabilities found. - Final User Acceptance Testing (UAT) sign-off from all five ministries. - </w:t>
            </w:r>
            <w:r>
              <w:rPr>
                <w:rStyle w:val="10"/>
                <w:rFonts w:hint="default" w:ascii="Times New Roman" w:hAnsi="Times New Roman" w:cs="Times New Roman"/>
              </w:rPr>
              <w:t>Min-Connect Cameroon Phase 1 is officially live.</w:t>
            </w:r>
          </w:p>
        </w:tc>
      </w:tr>
      <w:tr w14:paraId="6B5F2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57" w:type="dxa"/>
            <w:shd w:val="clear"/>
            <w:vAlign w:val="center"/>
          </w:tcPr>
          <w:p w14:paraId="18256CDF">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Phase 5: Operations &amp; Maintenance</w:t>
            </w:r>
          </w:p>
        </w:tc>
        <w:tc>
          <w:tcPr>
            <w:tcW w:w="966" w:type="dxa"/>
            <w:shd w:val="clear"/>
            <w:vAlign w:val="center"/>
          </w:tcPr>
          <w:p w14:paraId="60A7E586">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Ongoing</w:t>
            </w:r>
          </w:p>
        </w:tc>
        <w:tc>
          <w:tcPr>
            <w:tcW w:w="0" w:type="auto"/>
            <w:shd w:val="clear"/>
            <w:vAlign w:val="center"/>
          </w:tcPr>
          <w:p w14:paraId="0B783F9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- 24/7/365 system monitoring, incident response, and support. - Application of regular software updates and security patches. - Strategic planning and stakeholder engagement for Phase 2 (onboarding new ministries and features).</w:t>
            </w:r>
          </w:p>
        </w:tc>
        <w:tc>
          <w:tcPr>
            <w:tcW w:w="0" w:type="auto"/>
            <w:shd w:val="clear"/>
            <w:vAlign w:val="center"/>
          </w:tcPr>
          <w:p w14:paraId="7530206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Service Level Agreement (SLA) reports consistently showing &gt;99.9% uptime. - Regular cadence of security and performance review meetings with stakeholders.</w:t>
            </w:r>
          </w:p>
        </w:tc>
      </w:tr>
    </w:tbl>
    <w:p w14:paraId="47AE4B81">
      <w:pPr>
        <w:pStyle w:val="3"/>
        <w:keepNext w:val="0"/>
        <w:keepLines w:val="0"/>
        <w:widowControl/>
        <w:suppressLineNumbers w:val="0"/>
        <w:rPr>
          <w:rFonts w:hint="default" w:ascii="Times New Roman" w:hAnsi="Times New Roman" w:cs="Times New Roman"/>
        </w:rPr>
      </w:pPr>
      <w:bookmarkStart w:id="22" w:name="_Toc19981"/>
      <w:bookmarkStart w:id="23" w:name="_Toc27538"/>
      <w:r>
        <w:rPr>
          <w:rFonts w:hint="default" w:ascii="Times New Roman" w:hAnsi="Times New Roman" w:cs="Times New Roman"/>
        </w:rPr>
        <w:t>9. Conclusion</w:t>
      </w:r>
      <w:bookmarkEnd w:id="22"/>
      <w:bookmarkEnd w:id="23"/>
    </w:p>
    <w:p w14:paraId="210E55C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transition to a digital-first, collaborative model of governance is no longer an option, but a necessity for national development, security, and economic competitiveness. The challenges born from data fragmentation—systemic inefficiency, citizen frustration, weakened security, and hindered policymaking—can be definitively overcome with a strategic, secure, and technologically sound approach.</w:t>
      </w:r>
    </w:p>
    <w:p w14:paraId="5631FC4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Min-Connect Cameroon</w:t>
      </w:r>
      <w:r>
        <w:rPr>
          <w:rFonts w:hint="default" w:ascii="Times New Roman" w:hAnsi="Times New Roman" w:cs="Times New Roman"/>
        </w:rPr>
        <w:t xml:space="preserve"> platform proposed by InnovateCM Solutions is precisely that approach. It is a carefully designed service that respects the autonomy and data sovereignty of individual ministries while unlocking the immense, untapped potential of their collective data. By building a scalable, fault-tolerant, and secure data exchange layer, we are providing the foundational infrastructure for a more responsive, more efficient, and more effective government.</w:t>
      </w:r>
    </w:p>
    <w:p w14:paraId="3522DC0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represents a significant and strategic investment in the future of Cameroon. It will streamline public services, foster a more attractive and predictable environment for local and international business, strengthen national security through real-time intelligence, and empower our leaders with the data-driven tools they need to build a more prosperous nation. We have the vision, the technical expertise, and the strategic plan to make this a reality. We invite you to partner with us in this transformative journey to build a truly connected government for a connected Cameroon.</w:t>
      </w:r>
    </w:p>
    <w:p w14:paraId="42F20881">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70776"/>
    <w:multiLevelType w:val="multilevel"/>
    <w:tmpl w:val="817707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FA4B02"/>
    <w:multiLevelType w:val="multilevel"/>
    <w:tmpl w:val="8CFA4B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EE2AC8E"/>
    <w:multiLevelType w:val="singleLevel"/>
    <w:tmpl w:val="4EE2AC8E"/>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F327A5"/>
    <w:rsid w:val="05D65858"/>
    <w:rsid w:val="15F32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 w:type="paragraph" w:customStyle="1" w:styleId="11">
    <w:name w:val="WPSOffice手动目录 1"/>
    <w:uiPriority w:val="0"/>
    <w:pPr>
      <w:ind w:leftChars="0"/>
    </w:pPr>
    <w:rPr>
      <w:sz w:val="20"/>
      <w:szCs w:val="20"/>
    </w:rPr>
  </w:style>
  <w:style w:type="paragraph" w:customStyle="1" w:styleId="12">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7</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2025-10-18T17:44:00Z</dcterms:created>
  <dc:creator>WPS_1743762326</dc:creator>
  <cp:lastModifiedBy>WPS_1743762326</cp:lastModifiedBy>
  <dcterms:modified xsi:type="dcterms:W3CDTF">2025-10-18T19:15:07Z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C182D63C51974CBE9629B7789A38ECC6_11</vt:lpwstr>
  </property>
</Properties>
</file>