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軟正黑體" w:hAnsi="微軟正黑體" w:eastAsia="微軟正黑體"/>
        </w:rPr>
        <w:t>研華 (2395 TT) — Edge AI 領導者，但 alpha 在 mix shift 與匯率對沖，而非主敘事</w:t>
      </w:r>
    </w:p>
    <w:p>
      <w:r>
        <w:rPr>
          <w:rFonts w:ascii="微軟正黑體" w:hAnsi="微軟正黑體" w:eastAsia="微軟正黑體"/>
          <w:b w:val="0"/>
          <w:i/>
          <w:sz w:val="20"/>
        </w:rPr>
        <w:t>Research note · 2026-05-07 · 模式 --深 · 6 個有機區塊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Metadata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標的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研華 (2395 TT) Advantech Co., Ltd.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研究日期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2026-05-07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研究模式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TWStock Deep Dive v1.0  --深 (含產業鏈外溢與 peer comp)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v1.0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整體信度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中-高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研究員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Sell-side Analyst (Bernstein/MS/GS/JPM 風格)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color w:val="1F3A68"/>
        </w:rPr>
        <w:t>區塊 1｜Bottom Line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b/>
          <w:sz w:val="21"/>
        </w:rPr>
        <w:t>Directional view：觀望偏正面，但不是主動配置首選。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sz w:val="21"/>
        </w:rPr>
        <w:t>研華是台股少有的 high-quality compounder（TTM ROE ~15%、毛利率 39-41%、淨現金 ~184 億）站在 Edge AI 真實落地的最前緣。然而股價已反映多數 bull narrative，主敘事「NVIDIA + Edge AI」屬 consensus，不是 alpha。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b/>
          <w:sz w:val="21"/>
        </w:rPr>
        <w:t>真正可被 mispriced 的點有兩個：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sz w:val="21"/>
        </w:rPr>
        <w:t>1. 共識 EPS 偏低：Factset 共識 2026E EPS 12.8（目標價 435 元），但 BBG 由下而上加總（Q1A 3.79 + Q2E 3.62 + Q3E 3.80 + Q4 推算 ~4.0）= 15.0+。若 BBG 對，現價 ~342 對應 forward PE 22.8x（vs 共識的 26.7x），space 有 15-17% 被低估。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sz w:val="21"/>
        </w:rPr>
        <w:t>2. Mix shift 的 incremental margin：Edge AI 從 Q3 2025 的 17% 衝向 2026 目標 25%，搭配 GM &gt; 40% 的 guidance，若達成則營益率有 1.5-2pp 上修空間 — 共識可能尚未 fully model。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b/>
          <w:sz w:val="21"/>
        </w:rPr>
        <w:t>最關鍵驗證指標（接下來 1-3 個月必看）：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sz w:val="21"/>
        </w:rPr>
        <w:t>• 2026 年 4 月 / 5 月月營收 YoY（Q1 2026 +17.5% YoY，須維持 &gt;15%）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sz w:val="21"/>
        </w:rPr>
        <w:t>• Q2 2026 法說會：Edge AI 佔比是否突破 18-19%、GM 能否守 39%+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sz w:val="21"/>
        </w:rPr>
        <w:t>• TWD 匯率：每升值 1% 影響 EPS 約 0.8-1.0%（Q2 2025 匯損致 EPS 從本業隱含 3.0+ 砸到 2.42，是清楚教訓）</w:t>
      </w:r>
    </w:p>
    <w:p>
      <w:pPr>
        <w:shd w:val="clear" w:color="auto" w:fill="F2F2F2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</w:pPr>
      <w:r>
        <w:rPr>
          <w:rFonts w:ascii="微軟正黑體" w:hAnsi="微軟正黑體" w:eastAsia="微軟正黑體"/>
          <w:b/>
          <w:sz w:val="21"/>
        </w:rPr>
        <w:t>翻空條件：① 月營收 YoY 連 2 個月跌破 10%；② B/B ratio 跌破 1.0；③ 記憶體/關鍵零件漲價導致 GM 失守 38%。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區塊 2｜核心論點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論點 A｜BBG 由下而上 vs Factset consensus 存在 17% 落差，是真實 expectation gap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BBG 三季加總（Q1A 3.79 + Q2E 3.62 + Q3E 3.80）= 11.21，若 Q4 估 3.99（季 +5%）→ 全年 15.20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Factset 同期 EPS 共識 12.8，目標價 435 元（隱含 PE 34x，明顯偏高）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落差來源：sell-side 模型多未反映 Q1 2026 強勁印量（EPS YoY +19.5%）+ B/B 1.8x backlog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1"/>
        </w:rPr>
        <w:t>驗證時點：</w:t>
      </w:r>
      <w:r>
        <w:rPr>
          <w:rFonts w:ascii="微軟正黑體" w:hAnsi="微軟正黑體" w:eastAsia="微軟正黑體"/>
          <w:sz w:val="21"/>
        </w:rPr>
        <w:t>5 月 Q1 法說會後 sell-side 上修，6 月 Factset 共識更新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論點 B｜這是 cyclical recovery + structural Edge AI 雙重故事，並非單純 AI 題材股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月營收 YoY 軌跡：Q1 24 -20% → Q2 24 -14% → Q3 24 -0.4% → Q4 24 +7.8% → Q1 25 +25.0% → Q2 25 +21.8% → Q3 25 +18.9% → Q4 25 +9.9% → Q1 26 +17.5%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經典 destocking 後 V 型 — 但加速性從 Q4 25 已現減速跡象，純 cyclical 部分接近 mid-cycle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Edge AI 結構性故事接力：Q3 2025 Edge AI 佔 17%，2026 目標 25% → 若達成代表年成長率 50%+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1"/>
        </w:rPr>
        <w:t>重要區別：</w:t>
      </w:r>
      <w:r>
        <w:rPr>
          <w:rFonts w:ascii="微軟正黑體" w:hAnsi="微軟正黑體" w:eastAsia="微軟正黑體"/>
          <w:sz w:val="21"/>
        </w:rPr>
        <w:t>這不是「題材爆發」，是 BU mix shift 在已 mature business 上層加值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論點 C｜NVIDIA 關係深度被低估 — 不只是出貨夥伴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黃仁勳「Trillion Dollar Dinner」唯一受邀的 IPC 廠，反映 20 年合作關係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Jetson Thor / IGX Thor 在 GTC 2026 與研華產品深度整合（Physical AI、機器人、醫療）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WEDA（WISE-Edge Developer Architecture）平台 2026 推出，整合多晶片架構統一開發環境 — 軟體 platform 屬性上升，TAM 拓展但未被市場 model 入估值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1"/>
        </w:rPr>
        <w:t>這是真正的 moat 來源：</w:t>
      </w:r>
      <w:r>
        <w:rPr>
          <w:rFonts w:ascii="微軟正黑體" w:hAnsi="微軟正黑體" w:eastAsia="微軟正黑體"/>
          <w:sz w:val="21"/>
        </w:rPr>
        <w:t>Adlink（6166）也做 NVIDIA 邊緣 AI，但缺乏研華的應用領域深度（醫療、零售、物流、工廠自動化）與全球 BD 網絡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論點 D｜Q2 2025 匯損是被高估的「業績瑕疵」，本業並未失速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Q2 2025 NI margin 11.8%（vs 平均 14-16%）來自業外損失 6.3 億（匯兌損失，TWD 升值）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營業利益實際 QoQ 與 YoY 雙增 — 本業 fully on track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1"/>
        </w:rPr>
        <w:t>市場已給予一次性處理</w:t>
      </w:r>
      <w:r>
        <w:rPr>
          <w:rFonts w:ascii="微軟正黑體" w:hAnsi="微軟正黑體" w:eastAsia="微軟正黑體"/>
          <w:sz w:val="21"/>
        </w:rPr>
        <w:t>（Q3 2025 後 PE 重新擴張），但 TWD 結構性升值風險未被 fully priced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若 TWD 全年較 2025 升值 3-5%，匯損將連續對 EPS 拖累 2-4%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區塊 3｜產業鏈定位 × Edge AI 利潤池遷移</w:t>
      </w:r>
    </w:p>
    <w:p>
      <w:r>
        <w:rPr>
          <w:rFonts w:ascii="微軟正黑體" w:hAnsi="微軟正黑體" w:eastAsia="微軟正黑體"/>
          <w:b/>
          <w:sz w:val="21"/>
        </w:rPr>
        <w:t>研華的真實位置：IPC 全球龍頭（市佔 ~25-28%，3 倍於第二名 Adlink），但更精準的描述是「邊緣運算系統整合商」。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利潤池正從哪裡遷移？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過去 5 年：純 IPC 硬體被中國本土廠（研祥、華北工控）逐步壓縮 → 研華毛利率守在 39-41%（同業 Adlink 約 30-32%、Axiomtek 約 33-36%）靠的是 解決方案化（sector solution）+ 軟體服務（WISE-IoT/WEDA）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未來 3 年：Edge AI 推升 ASP，模組化單機板+AI 加速卡 ASP 較傳統 IPC 高 30-50%；同時軟體 attach 帶來 recurring revenue 雛形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競爭結構：全球前三（研華、Kontron、Adlink）合佔 ~40%，研華毛利率與 ROE 顯著領先 → 領導者溢價被市場 partially 給予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為什麼研華站在利潤上升環節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客戶結構分散（醫療、零售、自動化、能源、交通；前五大客戶 &lt;20%）→ 議價力強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高毛利新業務（Edge AI servers、WEDA 軟體）佔比上升 → 結構性 GM 上行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Service IoT 與 Applied Computing 部分有準系統化 ARR 收入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風險點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記憶體/CPU 漲價週期（管理層明確點名為 2026 GM 最大變數）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Adlink 在 NVIDIA 邊緣運算的 aggressive pricing（會壓縮高階 SKU 利潤）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中國本土低階搶單持續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區塊 4｜「被低估 / 剛起漲」訊號評分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A. 五種錯位檢核（共 2/5 ✓）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錯位類型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結果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證據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預期錯位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BBG bottoms-up EPS 15.0 vs Factset 共識 12.8（17% gap）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時序錯位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Cyclical recovery 已 5 季，股價反映；現在是 mid-cycle 不是初升段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結構錯位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Edge AI 17%→25% mix shift + 軟體 platform（WEDA）TAM 未入模型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籌碼錯位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外資持股 ~31%（歷史正常區間），sell-side coverage 充分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敘事錯位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NVIDIA / Edge AI 故事為市場主流共識，非被誤解標的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color w:val="2E5C8A"/>
        </w:rPr>
        <w:t>B. 三種起漲 inflection 訊號（5/9）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訊號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評分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細節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基本面 inflection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2/3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月營收 YoY 連 5+ 季正成長；B/B 1.8x 訂單能見度高；GM 連 2 季站穩 39%+；但加速度放緩（Q4 25 +9.9% &lt; Q1 25 +25%）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籌碼 inflection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1/3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外資 31% 中性檔位；無投信首次認養訊號；無內部人增持；無顯著借券軋空訊號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敘事 inflection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2/3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NVIDIA Trillion Dollar Dinner（唯一受邀 IPC）+ GTC 2026 Physical AI 站台 = 真實催化；但市場已知</w:t>
            </w:r>
          </w:p>
        </w:tc>
      </w:tr>
    </w:tbl>
    <w:p>
      <w:r>
        <w:rPr>
          <w:rFonts w:ascii="微軟正黑體" w:hAnsi="微軟正黑體" w:eastAsia="微軟正黑體"/>
          <w:b/>
          <w:sz w:val="21"/>
        </w:rPr>
        <w:t>綜合 5/9 → 觀察名單，非強烈起漲訊號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C. 分類判斷：Compounder（高品質長線複利型），不是 Cigar Butt 或 Special Situation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高 ROIC（~15% ROE 多年穩定）✓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再投資空間（Edge AI、軟體 platform、機器人）✓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護城河（品牌、應用 know-how、NVIDIA 生態）擴張中 ✓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適合 2-3 年中長線持有，不適合短線事件交易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區塊 5｜估值與隱含預期（反向 DCF）</w:t>
      </w:r>
    </w:p>
    <w:p>
      <w:r>
        <w:rPr>
          <w:rFonts w:ascii="微軟正黑體" w:hAnsi="微軟正黑體" w:eastAsia="微軟正黑體"/>
          <w:b/>
          <w:sz w:val="21"/>
        </w:rPr>
        <w:t>目前股價 ~342 元、市值 ~298 億新台幣</w:t>
      </w:r>
      <w:r>
        <w:rPr>
          <w:rFonts w:ascii="微軟正黑體" w:hAnsi="微軟正黑體" w:eastAsia="微軟正黑體"/>
          <w:sz w:val="21"/>
        </w:rPr>
        <w:t>（用 5/7 最新價）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EV/EBITDA 與 PE 對照（基於 BBG 數據）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TTM EBITDA（Q2 25 - Q1 26）= 13.6B → EV/EBITDA = 19.0x（vs 5 年平均 ~17x，premium 12%）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TTM EPS = 12.53 → PE = 27.3x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2026E EPS（BBG bottoms-up）= 15.0 → forward PE = 22.8x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2026E EPS（Factset 共識）= 12.8 → forward PE = 26.7x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反推市場隱含假設（簡化情境）</w:t>
      </w:r>
    </w:p>
    <w:p>
      <w:r>
        <w:rPr>
          <w:rFonts w:ascii="微軟正黑體" w:hAnsi="微軟正黑體" w:eastAsia="微軟正黑體"/>
          <w:b w:val="0"/>
          <w:i w:val="0"/>
          <w:sz w:val="21"/>
        </w:rPr>
        <w:t>若市場用 22-23x forward PE × 15.0 EPS = 330-345 元（接近現價），代表市場已採納 BBG 樂觀預期。</w:t>
      </w:r>
    </w:p>
    <w:p>
      <w:r>
        <w:rPr>
          <w:rFonts w:ascii="微軟正黑體" w:hAnsi="微軟正黑體" w:eastAsia="微軟正黑體"/>
          <w:b w:val="0"/>
          <w:i w:val="0"/>
          <w:sz w:val="21"/>
        </w:rPr>
        <w:t>若市場用 26-27x × 12.8 EPS = 333-345 元，代表市場用 Factset 共識但給予 premium PE。</w:t>
      </w:r>
    </w:p>
    <w:p>
      <w:r>
        <w:rPr>
          <w:rFonts w:ascii="微軟正黑體" w:hAnsi="微軟正黑體" w:eastAsia="微軟正黑體"/>
          <w:b/>
          <w:sz w:val="21"/>
        </w:rPr>
        <w:t>兩種詮釋的策略含義不同：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情境 1（市場已用 BBG 樂觀數）→ 上行有限，需要 EPS 進一步上修才有空間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情境 2（市場用 Factset 但給 premium）→ 一旦 sell-side 上修共識至 BBG 水準，PE 自然壓回 22-23x，股價可向 405-435 元彈升（即 Factset 目標價區間）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第二層思考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共識敘事 = 「Edge AI 落地之年，NVIDIA 夥伴首選」→ 已 priced in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我哪裡看法不同 = 共識聚焦故事，未量化 Edge AI mix shift 對 GM/OPM 的非線性影響 + 軟體 attach 的 recurring 屬性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若我對：股價 12-18 個月內彈升至 410-450 元（+20-30%）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若我錯：股價在 300-360 區間整理 → 下行有限（淨現金墊高、配息殖利率 ~3%）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1"/>
        </w:rPr>
        <w:t>報酬不對稱性：上行 20-30% vs 下行 10-15%，比率約 1.5-2x，可接受但非極端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Page 16 stories（被忽略的次要敘事）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WEDA 軟體 platform 的 SaaS-like 訂閱模型雛形（管理層尚未量化揭露）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Robotics / Physical AI 在 Jetson Thor 上的具體出貨時程（2026 H2 開始爬坡）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醫療 IoT（Advantech-LNC 旗下）若獨立揭露，估值可能有 sum-of-parts 折讓被打開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區塊 6｜Bear Case 與 catalyst path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真實的 Bear Case（並非編湊）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Mid-cycle 而非初升段：cyclical 部分已恢復 5 季，加速度放緩（Q4 25 +9.9% YoY）。若 Edge AI 落地不如預期，2026 H2 營收 YoY 可能回落至 5-8%。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記憶體/零組件成本上行：管理層明確點名為 2026 GM 最大變數。DRAM 漲價週期若延續，GM 守 40% 困難。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TWD 結構升值：Q2 2025 已示範一次性 6.3 億匯損。若 TWD/USD 從 ~31 進一步升至 28-29，全年匯損可達 15-20 億。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CEO 接班執行風險：劉克振 2026 年底卸任 CEO（已宣布），公司治理過渡期 12-18 個月，重大策略決策可能延後。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Adlink 在 NVIDIA 邊緣 AI 的進攻性定價：搶單若導致研華被迫降價，高階 SKU GM 受壓。</w:t>
      </w:r>
    </w:p>
    <w:p>
      <w:r>
        <w:rPr>
          <w:rFonts w:ascii="微軟正黑體" w:hAnsi="微軟正黑體" w:eastAsia="微軟正黑體"/>
          <w:b/>
          <w:sz w:val="21"/>
        </w:rPr>
        <w:t>Bear case 嚴重度評估：</w:t>
      </w:r>
      <w:r>
        <w:rPr>
          <w:rFonts w:ascii="微軟正黑體" w:hAnsi="微軟正黑體" w:eastAsia="微軟正黑體"/>
          <w:sz w:val="21"/>
        </w:rPr>
        <w:t>1、2、3 是中等機率、中等影響；4 是低機率、中等影響；5 是中等機率、低影響。整體 bear case 不致引發股價腰斬，但可能讓股價在 280-320 區間 derate 6-12 個月。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Catalyst path（按時序）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時點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事件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含義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2026/05/10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4 月月營收公告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確認 Q1 強印量是否延續；YoY &lt; 12% 為警訊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2026/05 中下旬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Q1 2026 法說會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Edge AI 實際佔比、GM guidance、Q2 訂單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2026/06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Factset 共識更新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sell-side 上修為主要 catalyst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2026/07-08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7 月月營收 + Q2 法說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驗證 mid-year guidance、TWD 影響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2026/10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Q3 2026 法說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全年 EPS 落點，是否朝 BBG bottoms-up 收斂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2026/Q4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CEO 接班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sz w:val="19"/>
              </w:rPr>
              <w:t>治理過渡</w:t>
            </w:r>
          </w:p>
        </w:tc>
      </w:tr>
    </w:tbl>
    <w:p>
      <w:pPr>
        <w:pStyle w:val="Heading1"/>
      </w:pPr>
      <w:r>
        <w:rPr>
          <w:rFonts w:ascii="微軟正黑體" w:hAnsi="微軟正黑體" w:eastAsia="微軟正黑體"/>
          <w:color w:val="1F3A68"/>
        </w:rPr>
        <w:t>查證透明度</w:t>
      </w:r>
    </w:p>
    <w:p>
      <w:r>
        <w:rPr>
          <w:rFonts w:ascii="微軟正黑體" w:hAnsi="微軟正黑體" w:eastAsia="微軟正黑體"/>
          <w:b/>
          <w:sz w:val="21"/>
        </w:rPr>
        <w:t>搜尋次數：</w:t>
      </w:r>
      <w:r>
        <w:rPr>
          <w:rFonts w:ascii="微軟正黑體" w:hAnsi="微軟正黑體" w:eastAsia="微軟正黑體"/>
          <w:sz w:val="21"/>
        </w:rPr>
        <w:t>MCP 1 次（Quartr 需付費 fallthrough）+ Web 7 次 = 8 次（額度 30 次內）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主要資料來源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Bloomberg Terminal（使用者提供，2026-05-07 為止）— 季度財務、共識預估、市值、EV — 權威來源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CMoney / 旺得富 / udn — 2026 Q1 法說會中文摘要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鉅亨網 / Anue — Factset 共識 EPS 與目標價（12.8 / 435 元）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中時電子報 — Q1 2026 EPS 3.85 元、Q2 預期續揚、零組件短缺 H2 緩解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Vocus / Readmo / Diveinvest — Edge AI 17% 佔比、營收 +21.8% 關鍵數據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TechNews / Yahoo 財經 — NVIDIA GTC 2026 + Trillion Dollar Dinner 細節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研華 IR + 公開說明 — 2026 guidance（營收 770-800 億、Edge AI 25%、GM &gt;40%）</w:t>
      </w:r>
    </w:p>
    <w:p>
      <w:pPr>
        <w:pStyle w:val="ListNumber"/>
      </w:pPr>
      <w:r>
        <w:rPr>
          <w:rFonts w:ascii="微軟正黑體" w:hAnsi="微軟正黑體" w:eastAsia="微軟正黑體"/>
          <w:sz w:val="21"/>
        </w:rPr>
        <w:t>Vocus（Q2 2025 匯損分析）— 業外損失 6.3 億、本業營益仍成長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未能查證項目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4 月 / 5 月最新月營收（公告日 2026/05/10 後可得）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2026 年初最新外資持股精確比例與買賣超 5/20/60 日數據（一般來源僅有 ~31.25% 大致數字）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研華在 0050 / 0056 等 ETF 的精確權重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借券賣出餘額、融資餘額變動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內部人申讓 / 增持資料（須查公開資訊觀測站）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Quartr 法說會逐字稿（訂閱問題無法存取，少了一手 management tone）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整體信心水平：中-高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高信心部分：BBG 數據齊全、guidance 清楚、產業地位明確、Q2 2025 異常已解釋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中等信心部分：reverse DCF 隱含假設區間需要 4-5 月實際數據驗證；籌碼面缺最新精確數據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待追蹤指標（接下來 1-3 個月）</w:t>
      </w:r>
    </w:p>
    <w:p>
      <w:pPr>
        <w:pStyle w:val="ListNumber"/>
      </w:pPr>
      <w:r>
        <w:rPr>
          <w:rFonts w:ascii="微軟正黑體" w:hAnsi="微軟正黑體" w:eastAsia="微軟正黑體"/>
          <w:b/>
          <w:sz w:val="21"/>
        </w:rPr>
        <w:t>2026/04、05 月月營收 YoY</w:t>
      </w:r>
      <w:r>
        <w:rPr>
          <w:rFonts w:ascii="微軟正黑體" w:hAnsi="微軟正黑體" w:eastAsia="微軟正黑體"/>
          <w:sz w:val="21"/>
        </w:rPr>
        <w:t>（連 2 個月 &gt;15% 為支撐 BBG bottoms-up；&lt;10% 為下調訊號）</w:t>
      </w:r>
    </w:p>
    <w:p>
      <w:pPr>
        <w:pStyle w:val="ListNumber"/>
      </w:pPr>
      <w:r>
        <w:rPr>
          <w:rFonts w:ascii="微軟正黑體" w:hAnsi="微軟正黑體" w:eastAsia="微軟正黑體"/>
          <w:b/>
          <w:sz w:val="21"/>
        </w:rPr>
        <w:t>Q1 2026 法說會 Edge AI 佔比 vs Q3 25 的 17%</w:t>
      </w:r>
      <w:r>
        <w:rPr>
          <w:rFonts w:ascii="微軟正黑體" w:hAnsi="微軟正黑體" w:eastAsia="微軟正黑體"/>
          <w:sz w:val="21"/>
        </w:rPr>
        <w:t>（&gt;18% 為加速；&lt;17% 為 stall）</w:t>
      </w:r>
    </w:p>
    <w:p>
      <w:pPr>
        <w:pStyle w:val="ListNumber"/>
      </w:pPr>
      <w:r>
        <w:rPr>
          <w:rFonts w:ascii="微軟正黑體" w:hAnsi="微軟正黑體" w:eastAsia="微軟正黑體"/>
          <w:b/>
          <w:sz w:val="21"/>
        </w:rPr>
        <w:t>Factset / IBES 共識 EPS 是否從 12.8 上修至 14+</w:t>
      </w:r>
      <w:r>
        <w:rPr>
          <w:rFonts w:ascii="微軟正黑體" w:hAnsi="微軟正黑體" w:eastAsia="微軟正黑體"/>
          <w:sz w:val="21"/>
        </w:rPr>
        <w:t>（這是 PE re-rating 的關鍵）</w:t>
      </w:r>
    </w:p>
    <w:p>
      <w:pPr>
        <w:pStyle w:val="Heading2"/>
      </w:pPr>
      <w:r>
        <w:rPr>
          <w:rFonts w:ascii="微軟正黑體" w:hAnsi="微軟正黑體" w:eastAsia="微軟正黑體"/>
          <w:color w:val="2E5C8A"/>
        </w:rPr>
        <w:t>若有 Bloomberg Terminal 額外資料可大幅提升精度的指標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最新 IBES analyst rating change history（過去 3 個月有幾家上修目標價）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Foreign holding 5d/20d 變化（外資是否在 Q1 2026 強印後加碼）</w:t>
      </w:r>
    </w:p>
    <w:p>
      <w:pPr>
        <w:pStyle w:val="ListBullet"/>
      </w:pPr>
      <w:r>
        <w:rPr>
          <w:rFonts w:ascii="微軟正黑體" w:hAnsi="微軟正黑體" w:eastAsia="微軟正黑體"/>
          <w:sz w:val="21"/>
        </w:rPr>
        <w:t>ADR 折溢價變化（雖然 2395 無 ADR，但同業 Kontron 可參照）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結語</w:t>
      </w:r>
    </w:p>
    <w:p>
      <w:r>
        <w:rPr>
          <w:rFonts w:ascii="微軟正黑體" w:hAnsi="微軟正黑體" w:eastAsia="微軟正黑體"/>
          <w:b/>
          <w:sz w:val="21"/>
        </w:rPr>
        <w:t>研華是一檔「品質高 + 故事真 + 但故事已知」的 compounder。</w:t>
      </w:r>
      <w:r>
        <w:rPr>
          <w:rFonts w:ascii="微軟正黑體" w:hAnsi="微軟正黑體" w:eastAsia="微軟正黑體"/>
          <w:sz w:val="21"/>
        </w:rPr>
        <w:t>alpha 不在於發現 Edge AI 趨勢（市場早已知道），而在於辨識 Factset 共識 EPS 12.8 vs BBG bottoms-up 15.0 的 17% gap 是否會隨後續月營收/法說會 catalyst 而收斂。若你的資金週期是 12-18 個月、能容忍 mid-cycle 整理風險，這是一個合理的「PE re-rating + 共識上修」交易機會；若追求快速上漲爆發力，建議列入觀察名單而非主動配置。</w:t>
      </w:r>
    </w:p>
    <w:p>
      <w:pPr>
        <w:pStyle w:val="Heading1"/>
      </w:pPr>
      <w:r>
        <w:rPr>
          <w:rFonts w:ascii="微軟正黑體" w:hAnsi="微軟正黑體" w:eastAsia="微軟正黑體"/>
          <w:color w:val="1F3A68"/>
        </w:rPr>
        <w:t>Sources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2026 Q1 法說會 Edge AI 17% 佔比: </w:t>
      </w:r>
      <w:r>
        <w:rPr>
          <w:rFonts w:ascii="Calibri" w:hAnsi="Calibri"/>
          <w:sz w:val="19"/>
        </w:rPr>
        <w:t>https://vocus.cc/article/696ed7f0fd8978000121f237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2025 全年營收 708 億: </w:t>
      </w:r>
      <w:r>
        <w:rPr>
          <w:rFonts w:ascii="Calibri" w:hAnsi="Calibri"/>
          <w:sz w:val="19"/>
        </w:rPr>
        <w:t>https://www.technice.com.tw/experience/enterprise/208239/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Q1 2026 EPS 3.85 元 Q2 續揚: </w:t>
      </w:r>
      <w:r>
        <w:rPr>
          <w:rFonts w:ascii="Calibri" w:hAnsi="Calibri"/>
          <w:sz w:val="19"/>
        </w:rPr>
        <w:t>https://www.chinatimes.com/realtimenews/20260506004113-260410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Q1 2026 法說會 udn 報導: </w:t>
      </w:r>
      <w:r>
        <w:rPr>
          <w:rFonts w:ascii="Calibri" w:hAnsi="Calibri"/>
          <w:sz w:val="19"/>
        </w:rPr>
        <w:t>https://udn.com/news/story/7252/9359019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研華法說 Q1 淡季不淡: </w:t>
      </w:r>
      <w:r>
        <w:rPr>
          <w:rFonts w:ascii="Calibri" w:hAnsi="Calibri"/>
          <w:sz w:val="19"/>
        </w:rPr>
        <w:t>https://tw.stock.yahoo.com/news/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CEO 接班宣布: </w:t>
      </w:r>
      <w:r>
        <w:rPr>
          <w:rFonts w:ascii="Calibri" w:hAnsi="Calibri"/>
          <w:sz w:val="19"/>
        </w:rPr>
        <w:t>https://tw.stock.yahoo.com/news/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Factset 共識 EPS 12.8 目標價 435: </w:t>
      </w:r>
      <w:r>
        <w:rPr>
          <w:rFonts w:ascii="Calibri" w:hAnsi="Calibri"/>
          <w:sz w:val="19"/>
        </w:rPr>
        <w:t>https://news.cnyes.com/news/id/5957439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NVIDIA Trillion Dollar Dinner: </w:t>
      </w:r>
      <w:r>
        <w:rPr>
          <w:rFonts w:ascii="Calibri" w:hAnsi="Calibri"/>
          <w:sz w:val="19"/>
        </w:rPr>
        <w:t>https://cmnews.com.tw/article/newsyoudeservetoknow-49d3eaa1-fffb-11f0-80a6-8ee05d14ad94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GTC 2026 Physical AI: </w:t>
      </w:r>
      <w:r>
        <w:rPr>
          <w:rFonts w:ascii="Calibri" w:hAnsi="Calibri"/>
          <w:sz w:val="19"/>
        </w:rPr>
        <w:t>https://finance.technews.tw/2026/03/17/physical-ai-gtc-2026/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研華 Q2 2025 匯損分析: </w:t>
      </w:r>
      <w:r>
        <w:rPr>
          <w:rFonts w:ascii="Calibri" w:hAnsi="Calibri"/>
          <w:sz w:val="19"/>
        </w:rPr>
        <w:t>https://vocus.cc/article/6889a279fd89780001c19f14</w:t>
      </w:r>
    </w:p>
    <w:p>
      <w:pPr>
        <w:pStyle w:val="ListBullet"/>
      </w:pPr>
      <w:r>
        <w:rPr>
          <w:rFonts w:ascii="微軟正黑體" w:hAnsi="微軟正黑體" w:eastAsia="微軟正黑體"/>
          <w:b/>
          <w:sz w:val="20"/>
        </w:rPr>
        <w:t xml:space="preserve">IPC 產業競爭格局: </w:t>
      </w:r>
      <w:r>
        <w:rPr>
          <w:rFonts w:ascii="Calibri" w:hAnsi="Calibri"/>
          <w:sz w:val="19"/>
        </w:rPr>
        <w:t>https://www.researchandmarkets.com/articles/key-companies-in-industrial-pc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