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Review Checklist 20260511</w:t>
      </w:r>
    </w:p>
    <w:p>
      <w:pPr>
        <w:jc w:val="center"/>
      </w:pPr>
      <w:r>
        <w:rPr>
          <w:i/>
        </w:rPr>
        <w:t>Paragraph-based import sample. No tables are used in this Word document.</w:t>
      </w:r>
    </w:p>
    <w:p>
      <w:pPr>
        <w:pStyle w:val="Heading1"/>
      </w:pPr>
      <w:r>
        <w:t>Basic Information</w:t>
      </w:r>
    </w:p>
    <w:p>
      <w:pPr>
        <w:spacing w:after="60"/>
      </w:pPr>
      <w:r>
        <w:rPr>
          <w:b/>
        </w:rPr>
        <w:t xml:space="preserve">Checklist name: </w:t>
      </w:r>
      <w:r>
        <w:t>English Word Review Checklist 20260511</w:t>
      </w:r>
    </w:p>
    <w:p>
      <w:pPr>
        <w:spacing w:after="60"/>
      </w:pPr>
      <w:r>
        <w:rPr>
          <w:b/>
        </w:rPr>
        <w:t xml:space="preserve">Applicable contract type: </w:t>
      </w:r>
      <w:r>
        <w:t>Procurement Agreement</w:t>
      </w:r>
    </w:p>
    <w:p>
      <w:pPr>
        <w:spacing w:after="60"/>
      </w:pPr>
      <w:r>
        <w:rPr>
          <w:b/>
        </w:rPr>
        <w:t xml:space="preserve">Purpose: </w:t>
      </w:r>
      <w:r>
        <w:t>English content preservation regression sample for review checklist import.</w:t>
      </w:r>
    </w:p>
    <w:p>
      <w:pPr>
        <w:spacing w:after="60"/>
      </w:pPr>
      <w:r>
        <w:rPr>
          <w:b/>
        </w:rPr>
        <w:t xml:space="preserve">Scenario: </w:t>
      </w:r>
      <w:r>
        <w:t>Cross-border procurement and technology service purchases.</w:t>
      </w:r>
    </w:p>
    <w:p>
      <w:pPr>
        <w:pStyle w:val="Heading1"/>
      </w:pPr>
      <w:r>
        <w:t>Review Rules</w:t>
      </w:r>
    </w:p>
    <w:p>
      <w:pPr>
        <w:pStyle w:val="Heading2"/>
      </w:pPr>
      <w:r>
        <w:t>Rule 1 - Confidentiality obligation</w:t>
      </w:r>
    </w:p>
    <w:p>
      <w:pPr>
        <w:spacing w:after="60"/>
      </w:pPr>
      <w:r>
        <w:rPr>
          <w:b/>
        </w:rPr>
        <w:t xml:space="preserve">Review item: </w:t>
      </w:r>
      <w:r>
        <w:t>Confidentiality obligation</w:t>
      </w:r>
    </w:p>
    <w:p>
      <w:pPr>
        <w:spacing w:after="60"/>
      </w:pPr>
      <w:r>
        <w:rPr>
          <w:b/>
        </w:rPr>
        <w:t xml:space="preserve">Review standard: </w:t>
      </w:r>
      <w:r>
        <w:t>The agreement must include an English confidentiality clause covering confidential information, disclosure restrictions, survival period, and permitted recipients.</w:t>
      </w:r>
    </w:p>
    <w:p>
      <w:pPr>
        <w:spacing w:after="60"/>
      </w:pPr>
      <w:r>
        <w:rPr>
          <w:b/>
        </w:rPr>
        <w:t xml:space="preserve">Risk level: </w:t>
      </w:r>
      <w:r>
        <w:t>High</w:t>
      </w:r>
    </w:p>
    <w:p>
      <w:pPr>
        <w:spacing w:after="60"/>
      </w:pPr>
      <w:r>
        <w:rPr>
          <w:b/>
        </w:rPr>
        <w:t xml:space="preserve">Action guidance: </w:t>
      </w:r>
      <w:r>
        <w:t>Flag the contract as high risk if confidential information can be disclosed without prior written consent.</w:t>
      </w:r>
    </w:p>
    <w:p>
      <w:pPr>
        <w:pStyle w:val="Heading2"/>
      </w:pPr>
      <w:r>
        <w:t>Rule 2 - Payment schedule</w:t>
      </w:r>
    </w:p>
    <w:p>
      <w:pPr>
        <w:spacing w:after="60"/>
      </w:pPr>
      <w:r>
        <w:rPr>
          <w:b/>
        </w:rPr>
        <w:t xml:space="preserve">Review item: </w:t>
      </w:r>
      <w:r>
        <w:t>Payment schedule</w:t>
      </w:r>
    </w:p>
    <w:p>
      <w:pPr>
        <w:spacing w:after="60"/>
      </w:pPr>
      <w:r>
        <w:rPr>
          <w:b/>
        </w:rPr>
        <w:t xml:space="preserve">Review standard: </w:t>
      </w:r>
      <w:r>
        <w:t>Payment milestones, invoice requirements, tax treatment, currency, and late-payment consequences must be stated in clear English.</w:t>
      </w:r>
    </w:p>
    <w:p>
      <w:pPr>
        <w:spacing w:after="60"/>
      </w:pPr>
      <w:r>
        <w:rPr>
          <w:b/>
        </w:rPr>
        <w:t xml:space="preserve">Risk level: </w:t>
      </w:r>
      <w:r>
        <w:t>High</w:t>
      </w:r>
    </w:p>
    <w:p>
      <w:pPr>
        <w:spacing w:after="60"/>
      </w:pPr>
      <w:r>
        <w:rPr>
          <w:b/>
        </w:rPr>
        <w:t xml:space="preserve">Action guidance: </w:t>
      </w:r>
      <w:r>
        <w:t>Require finance and legal review when payment timing, amount, or invoice conditions are ambiguous.</w:t>
      </w:r>
    </w:p>
    <w:p>
      <w:pPr>
        <w:pStyle w:val="Heading2"/>
      </w:pPr>
      <w:r>
        <w:t>Rule 3 - Delivery and acceptance</w:t>
      </w:r>
    </w:p>
    <w:p>
      <w:pPr>
        <w:spacing w:after="60"/>
      </w:pPr>
      <w:r>
        <w:rPr>
          <w:b/>
        </w:rPr>
        <w:t xml:space="preserve">Review item: </w:t>
      </w:r>
      <w:r>
        <w:t>Delivery and acceptance</w:t>
      </w:r>
    </w:p>
    <w:p>
      <w:pPr>
        <w:spacing w:after="60"/>
      </w:pPr>
      <w:r>
        <w:rPr>
          <w:b/>
        </w:rPr>
        <w:t xml:space="preserve">Review standard: </w:t>
      </w:r>
      <w:r>
        <w:t>The contract must define delivery date, delivery location, acceptance criteria, inspection period, and rejection procedure.</w:t>
      </w:r>
    </w:p>
    <w:p>
      <w:pPr>
        <w:spacing w:after="60"/>
      </w:pPr>
      <w:r>
        <w:rPr>
          <w:b/>
        </w:rPr>
        <w:t xml:space="preserve">Risk level: </w:t>
      </w:r>
      <w:r>
        <w:t>Medium</w:t>
      </w:r>
    </w:p>
    <w:p>
      <w:pPr>
        <w:spacing w:after="60"/>
      </w:pPr>
      <w:r>
        <w:rPr>
          <w:b/>
        </w:rPr>
        <w:t xml:space="preserve">Action guidance: </w:t>
      </w:r>
      <w:r>
        <w:t>Ask the business owner to add objective acceptance standards before approval.</w:t>
      </w:r>
    </w:p>
    <w:p>
      <w:pPr>
        <w:pStyle w:val="Heading2"/>
      </w:pPr>
      <w:r>
        <w:t>Rule 4 - Intellectual property ownership</w:t>
      </w:r>
    </w:p>
    <w:p>
      <w:pPr>
        <w:spacing w:after="60"/>
      </w:pPr>
      <w:r>
        <w:rPr>
          <w:b/>
        </w:rPr>
        <w:t xml:space="preserve">Review item: </w:t>
      </w:r>
      <w:r>
        <w:t>Intellectual property ownership</w:t>
      </w:r>
    </w:p>
    <w:p>
      <w:pPr>
        <w:spacing w:after="60"/>
      </w:pPr>
      <w:r>
        <w:rPr>
          <w:b/>
        </w:rPr>
        <w:t xml:space="preserve">Review standard: </w:t>
      </w:r>
      <w:r>
        <w:t>Ownership of deliverables, background technology, license scope, and restrictions on third-party materials must be allocated expressly.</w:t>
      </w:r>
    </w:p>
    <w:p>
      <w:pPr>
        <w:spacing w:after="60"/>
      </w:pPr>
      <w:r>
        <w:rPr>
          <w:b/>
        </w:rPr>
        <w:t xml:space="preserve">Risk level: </w:t>
      </w:r>
      <w:r>
        <w:t>High</w:t>
      </w:r>
    </w:p>
    <w:p>
      <w:pPr>
        <w:spacing w:after="60"/>
      </w:pPr>
      <w:r>
        <w:rPr>
          <w:b/>
        </w:rPr>
        <w:t xml:space="preserve">Action guidance: </w:t>
      </w:r>
      <w:r>
        <w:t>Escalate to legal if ownership or license rights are missing or inconsistent.</w:t>
      </w:r>
    </w:p>
    <w:p>
      <w:pPr>
        <w:pStyle w:val="Heading2"/>
      </w:pPr>
      <w:r>
        <w:t>Rule 5 - Termination and liability</w:t>
      </w:r>
    </w:p>
    <w:p>
      <w:pPr>
        <w:spacing w:after="60"/>
      </w:pPr>
      <w:r>
        <w:rPr>
          <w:b/>
        </w:rPr>
        <w:t xml:space="preserve">Review item: </w:t>
      </w:r>
      <w:r>
        <w:t>Termination and liability</w:t>
      </w:r>
    </w:p>
    <w:p>
      <w:pPr>
        <w:spacing w:after="60"/>
      </w:pPr>
      <w:r>
        <w:rPr>
          <w:b/>
        </w:rPr>
        <w:t xml:space="preserve">Review standard: </w:t>
      </w:r>
      <w:r>
        <w:t>Termination triggers, notice period, cure period, liability cap, excluded damages, and survival obligations must be complete.</w:t>
      </w:r>
    </w:p>
    <w:p>
      <w:pPr>
        <w:spacing w:after="60"/>
      </w:pPr>
      <w:r>
        <w:rPr>
          <w:b/>
        </w:rPr>
        <w:t xml:space="preserve">Risk level: </w:t>
      </w:r>
      <w:r>
        <w:t>Medium</w:t>
      </w:r>
    </w:p>
    <w:p>
      <w:pPr>
        <w:spacing w:after="60"/>
      </w:pPr>
      <w:r>
        <w:rPr>
          <w:b/>
        </w:rPr>
        <w:t xml:space="preserve">Action guidance: </w:t>
      </w:r>
      <w:r>
        <w:t>Request revisions when termination rights or liability boundaries are one-sided or undefined.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