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特殊命名 审查清单 20260408_160156</w:t>
      </w:r>
    </w:p>
    <w:p>
      <w:r>
        <w:t>这是一个用于测试中文、空格、特殊符号命名兼容性的审查清单。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审查项</w:t>
            </w:r>
          </w:p>
        </w:tc>
        <w:tc>
          <w:tcPr>
            <w:tcW w:type="dxa" w:w="2160"/>
          </w:tcPr>
          <w:p>
            <w:r>
              <w:t>逻辑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价格条款</w:t>
            </w:r>
          </w:p>
        </w:tc>
        <w:tc>
          <w:tcPr>
            <w:tcW w:type="dxa" w:w="2160"/>
          </w:tcPr>
          <w:p>
            <w:r>
              <w:t>若合同未约定币种与税率，则提示价格信息不完整。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需补充币种、税率</w:t>
            </w:r>
          </w:p>
        </w:tc>
      </w:tr>
      <w:tr>
        <w:tc>
          <w:tcPr>
            <w:tcW w:type="dxa" w:w="2160"/>
          </w:tcPr>
          <w:p>
            <w:r>
              <w:t>交付条款</w:t>
            </w:r>
          </w:p>
        </w:tc>
        <w:tc>
          <w:tcPr>
            <w:tcW w:type="dxa" w:w="2160"/>
          </w:tcPr>
          <w:p>
            <w:r>
              <w:t>若交货地点或风险转移时点缺失，则提示交付条款不完整。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补充交付地点与责任</w:t>
            </w:r>
          </w:p>
        </w:tc>
      </w:tr>
      <w:tr>
        <w:tc>
          <w:tcPr>
            <w:tcW w:type="dxa" w:w="2160"/>
          </w:tcPr>
          <w:p>
            <w:r>
              <w:t>保密条款</w:t>
            </w:r>
          </w:p>
        </w:tc>
        <w:tc>
          <w:tcPr>
            <w:tcW w:type="dxa" w:w="2160"/>
          </w:tcPr>
          <w:p>
            <w:r>
              <w:t>若涉及客户数据但无保密责任，则提示保密风险。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补充保密责任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