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批量导入测试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审查项</w:t>
            </w:r>
          </w:p>
        </w:tc>
        <w:tc>
          <w:tcPr>
            <w:tcW w:type="dxa" w:w="2160"/>
          </w:tcPr>
          <w:p>
            <w:r>
              <w:t>逻辑</w:t>
            </w:r>
          </w:p>
        </w:tc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审查项3A</w:t>
            </w:r>
          </w:p>
        </w:tc>
        <w:tc>
          <w:tcPr>
            <w:tcW w:type="dxa" w:w="2160"/>
          </w:tcPr>
          <w:p>
            <w:r>
              <w:t>若关键字段缺失，则提示补充。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批量导入文件</w:t>
            </w:r>
          </w:p>
        </w:tc>
      </w:tr>
      <w:tr>
        <w:tc>
          <w:tcPr>
            <w:tcW w:type="dxa" w:w="2160"/>
          </w:tcPr>
          <w:p>
            <w:r>
              <w:t>审查项3B</w:t>
            </w:r>
          </w:p>
        </w:tc>
        <w:tc>
          <w:tcPr>
            <w:tcW w:type="dxa" w:w="2160"/>
          </w:tcPr>
          <w:p>
            <w:r>
              <w:t>若违约责任缺失，则提示风险。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批量导入文件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