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草稿编辑场景测试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审查项</w:t>
            </w:r>
          </w:p>
        </w:tc>
        <w:tc>
          <w:tcPr>
            <w:tcW w:type="dxa" w:w="2160"/>
          </w:tcPr>
          <w:p>
            <w:r>
              <w:t>逻辑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付款条款</w:t>
            </w:r>
          </w:p>
        </w:tc>
        <w:tc>
          <w:tcPr>
            <w:tcW w:type="dxa" w:w="2160"/>
          </w:tcPr>
          <w:p>
            <w:r>
              <w:t>若付款节点缺失，则提示风险。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用于删除/新增规则测试</w:t>
            </w:r>
          </w:p>
        </w:tc>
      </w:tr>
      <w:tr>
        <w:tc>
          <w:tcPr>
            <w:tcW w:type="dxa" w:w="2160"/>
          </w:tcPr>
          <w:p>
            <w:r>
              <w:t>违约责任</w:t>
            </w:r>
          </w:p>
        </w:tc>
        <w:tc>
          <w:tcPr>
            <w:tcW w:type="dxa" w:w="2160"/>
          </w:tcPr>
          <w:p>
            <w:r>
              <w:t>若违约责任缺失，则提示风险。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用于删除/新增规则测试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