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QATest Word 审查清单 20260408_153608</w:t>
      </w:r>
    </w:p>
    <w:p>
      <w:r>
        <w:t>文档类型：采购合同审查清单</w:t>
      </w:r>
    </w:p>
    <w:p>
      <w:r>
        <w:t>说明：该文档用于测试智能审查规则管理-审查清单-导入清单功能。</w:t>
      </w:r>
    </w:p>
    <w:p>
      <w:pPr>
        <w:pStyle w:val="Heading1"/>
      </w:pPr>
      <w:r>
        <w:t>一、基础信息</w:t>
      </w:r>
    </w:p>
    <w:p>
      <w:r>
        <w:t>适用合同类型：采购合同</w:t>
      </w:r>
    </w:p>
    <w:p>
      <w:r>
        <w:t>适用场景：关键物料采购、模组采购、委外加工</w:t>
      </w:r>
    </w:p>
    <w:p>
      <w:pPr>
        <w:pStyle w:val="Heading1"/>
      </w:pPr>
      <w:r>
        <w:t>二、重点审查项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审查项</w:t>
            </w:r>
          </w:p>
        </w:tc>
        <w:tc>
          <w:tcPr>
            <w:tcW w:type="dxa" w:w="2160"/>
          </w:tcPr>
          <w:p>
            <w:r>
              <w:t>审查标准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处理建议</w:t>
            </w:r>
          </w:p>
        </w:tc>
      </w:tr>
      <w:tr>
        <w:tc>
          <w:tcPr>
            <w:tcW w:type="dxa" w:w="2160"/>
          </w:tcPr>
          <w:p>
            <w:r>
              <w:t>主体信息</w:t>
            </w:r>
          </w:p>
        </w:tc>
        <w:tc>
          <w:tcPr>
            <w:tcW w:type="dxa" w:w="2160"/>
          </w:tcPr>
          <w:p>
            <w:r>
              <w:t>供应商名称、统一社会信用代码、签约主体必须完整且一致。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主体不一致时禁止发起审批。</w:t>
            </w:r>
          </w:p>
        </w:tc>
      </w:tr>
      <w:tr>
        <w:tc>
          <w:tcPr>
            <w:tcW w:type="dxa" w:w="2160"/>
          </w:tcPr>
          <w:p>
            <w:r>
              <w:t>付款条款</w:t>
            </w:r>
          </w:p>
        </w:tc>
        <w:tc>
          <w:tcPr>
            <w:tcW w:type="dxa" w:w="2160"/>
          </w:tcPr>
          <w:p>
            <w:r>
              <w:t>预付款比例不得超过30%，尾款支付需绑定验收节点。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发现超比例预付款时要求法务复核。</w:t>
            </w:r>
          </w:p>
        </w:tc>
      </w:tr>
      <w:tr>
        <w:tc>
          <w:tcPr>
            <w:tcW w:type="dxa" w:w="2160"/>
          </w:tcPr>
          <w:p>
            <w:r>
              <w:t>交付验收</w:t>
            </w:r>
          </w:p>
        </w:tc>
        <w:tc>
          <w:tcPr>
            <w:tcW w:type="dxa" w:w="2160"/>
          </w:tcPr>
          <w:p>
            <w:r>
              <w:t>需明确交付时间、验收标准、异议期限。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缺少验收标准时补充附件或技术协议。</w:t>
            </w:r>
          </w:p>
        </w:tc>
      </w:tr>
      <w:tr>
        <w:tc>
          <w:tcPr>
            <w:tcW w:type="dxa" w:w="2160"/>
          </w:tcPr>
          <w:p>
            <w:r>
              <w:t>违约责任</w:t>
            </w:r>
          </w:p>
        </w:tc>
        <w:tc>
          <w:tcPr>
            <w:tcW w:type="dxa" w:w="2160"/>
          </w:tcPr>
          <w:p>
            <w:r>
              <w:t>延迟交付、质量不合格、泄密违约责任需明确。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无违约责任条款时标记为高风险。</w:t>
            </w:r>
          </w:p>
        </w:tc>
      </w:tr>
      <w:tr>
        <w:tc>
          <w:tcPr>
            <w:tcW w:type="dxa" w:w="2160"/>
          </w:tcPr>
          <w:p>
            <w:r>
              <w:t>争议解决</w:t>
            </w:r>
          </w:p>
        </w:tc>
        <w:tc>
          <w:tcPr>
            <w:tcW w:type="dxa" w:w="2160"/>
          </w:tcPr>
          <w:p>
            <w:r>
              <w:t>争议解决方式应为仲裁或法院管辖，并明确地点。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地点缺失时提示补充。</w:t>
            </w:r>
          </w:p>
        </w:tc>
      </w:tr>
    </w:tbl>
    <w:p>
      <w:pPr>
        <w:pStyle w:val="Heading1"/>
      </w:pPr>
      <w:r>
        <w:t>三、补充规则</w:t>
      </w:r>
    </w:p>
    <w:p>
      <w:r>
        <w:t>1. 合同中涉及模具、知识产权、保密信息时，必须包含保密及知识产权归属条款。</w:t>
      </w:r>
    </w:p>
    <w:p>
      <w:r>
        <w:t>2. 涉及跨境交付时，应审查出口管制、税费承担与贸易术语。</w:t>
      </w:r>
    </w:p>
    <w:p>
      <w:r>
        <w:t>3. 审查人需重点关注价格调整机制、发票要求与售后响应时效。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