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ENGSAF Dataset Usage and Citation Instructions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 Name</w:t>
      </w:r>
      <w:r w:rsidDel="00000000" w:rsidR="00000000" w:rsidRPr="00000000">
        <w:rPr>
          <w:rtl w:val="0"/>
        </w:rPr>
        <w:t xml:space="preserve">: EngSAF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[v1.0]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: Dishank Aggarwal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49uzsnltj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Description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EngSAF Dataset: Contains ~5.8k data points from real-life examinations at a reputed institute, covering 119 questions across multiple engineering domains.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Split: 70% training, 16% unseen answers (UA), 14% unseen questions (UQ).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Output Label meanings: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Incorrect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response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Partially correct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response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Correct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response</w:t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r0yj1j0ve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Citation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Aggarwal, Dishank, et al. "“I Understand Why I Got This Grade”: Automatic Short Answer Grading (ASAG) with Feedback." </w:t>
      </w:r>
      <w:r w:rsidDel="00000000" w:rsidR="00000000" w:rsidRPr="00000000">
        <w:rPr>
          <w:i w:val="1"/>
          <w:color w:val="202124"/>
          <w:sz w:val="24"/>
          <w:szCs w:val="24"/>
          <w:shd w:fill="f1f3f4" w:val="clear"/>
          <w:rtl w:val="0"/>
        </w:rPr>
        <w:t xml:space="preserve">International Conference on Artificial Intelligence in Education</w:t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. Cham: Springer Nature Switzerland,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1xikizdq93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Usage Terms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dataset is released </w:t>
      </w:r>
      <w:r w:rsidDel="00000000" w:rsidR="00000000" w:rsidRPr="00000000">
        <w:rPr>
          <w:b w:val="1"/>
          <w:rtl w:val="0"/>
        </w:rPr>
        <w:t xml:space="preserve">for academic and research purposes only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Commercial use is strictly prohibited.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Redistribution without permission is not allowed.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Please do not share sensitive information (if any) in public settings.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