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黑体" w:hAnsi="黑体" w:eastAsia="黑体"/>
          <w:b/>
          <w:bCs/>
          <w:sz w:val="72"/>
          <w:szCs w:val="72"/>
        </w:rPr>
      </w:pPr>
      <w:r>
        <w:rPr>
          <w:rFonts w:hint="eastAsia" w:ascii="黑体" w:hAnsi="黑体" w:eastAsia="黑体"/>
          <w:b/>
          <w:bCs/>
          <w:sz w:val="72"/>
          <w:szCs w:val="72"/>
        </w:rPr>
        <w:t>《</w:t>
      </w:r>
      <w:r>
        <w:rPr>
          <w:rFonts w:hint="eastAsia" w:ascii="黑体" w:hAnsi="黑体" w:eastAsia="黑体"/>
          <w:b/>
          <w:bCs/>
          <w:sz w:val="72"/>
          <w:szCs w:val="72"/>
          <w:lang w:val="en-US" w:eastAsia="zh-CN"/>
        </w:rPr>
        <w:t>吊顶检测系统</w:t>
      </w:r>
      <w:r>
        <w:rPr>
          <w:rFonts w:hint="eastAsia" w:ascii="黑体" w:hAnsi="黑体" w:eastAsia="黑体"/>
          <w:b/>
          <w:bCs/>
          <w:sz w:val="72"/>
          <w:szCs w:val="72"/>
        </w:rPr>
        <w:t>》</w:t>
      </w:r>
    </w:p>
    <w:p>
      <w:pPr>
        <w:spacing w:line="360" w:lineRule="auto"/>
        <w:jc w:val="center"/>
        <w:rPr>
          <w:rFonts w:asciiTheme="majorEastAsia" w:hAnsiTheme="majorEastAsia" w:eastAsiaTheme="majorEastAsia"/>
          <w:b/>
          <w:sz w:val="72"/>
          <w:szCs w:val="72"/>
        </w:rPr>
      </w:pPr>
    </w:p>
    <w:p>
      <w:pPr>
        <w:spacing w:line="360" w:lineRule="auto"/>
        <w:jc w:val="center"/>
        <w:rPr>
          <w:rFonts w:hint="default" w:asciiTheme="majorEastAsia" w:hAnsiTheme="majorEastAsia" w:eastAsiaTheme="majorEastAsia"/>
          <w:b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72"/>
          <w:szCs w:val="72"/>
          <w:lang w:val="en-US" w:eastAsia="zh-CN"/>
        </w:rPr>
        <w:t>常</w:t>
      </w:r>
    </w:p>
    <w:p>
      <w:pPr>
        <w:spacing w:line="360" w:lineRule="auto"/>
        <w:jc w:val="center"/>
        <w:rPr>
          <w:rFonts w:hint="default" w:asciiTheme="majorEastAsia" w:hAnsiTheme="majorEastAsia" w:eastAsiaTheme="majorEastAsia"/>
          <w:b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72"/>
          <w:szCs w:val="72"/>
          <w:lang w:val="en-US" w:eastAsia="zh-CN"/>
        </w:rPr>
        <w:t>见</w:t>
      </w:r>
    </w:p>
    <w:p>
      <w:pPr>
        <w:spacing w:line="360" w:lineRule="auto"/>
        <w:jc w:val="center"/>
        <w:rPr>
          <w:rFonts w:hint="default" w:asciiTheme="majorEastAsia" w:hAnsiTheme="majorEastAsia" w:eastAsiaTheme="majorEastAsia"/>
          <w:b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72"/>
          <w:szCs w:val="72"/>
          <w:lang w:val="en-US" w:eastAsia="zh-CN"/>
        </w:rPr>
        <w:t>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/>
          <w:b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72"/>
          <w:szCs w:val="72"/>
          <w:lang w:val="en-US" w:eastAsia="zh-CN"/>
        </w:rPr>
        <w:t>题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手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/>
          <w:b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72"/>
          <w:szCs w:val="72"/>
          <w:lang w:val="en-US" w:eastAsia="zh-CN"/>
        </w:rPr>
        <w:t>册</w:t>
      </w:r>
    </w:p>
    <w:p>
      <w:pPr>
        <w:pStyle w:val="16"/>
        <w:spacing w:line="360" w:lineRule="auto"/>
      </w:pPr>
    </w:p>
    <w:p>
      <w:pPr>
        <w:pStyle w:val="16"/>
        <w:spacing w:line="360" w:lineRule="auto"/>
      </w:pPr>
      <w:r>
        <w:t>(</w:t>
      </w:r>
      <w:r>
        <w:rPr>
          <w:rFonts w:hint="eastAsia" w:ascii="宋体"/>
        </w:rPr>
        <w:t>仅供内部使用</w:t>
      </w:r>
      <w:r>
        <w:t>)</w:t>
      </w:r>
    </w:p>
    <w:p>
      <w:pPr>
        <w:pStyle w:val="17"/>
        <w:jc w:val="left"/>
        <w:sectPr>
          <w:footerReference r:id="rId3" w:type="default"/>
          <w:pgSz w:w="11906" w:h="16838"/>
          <w:pgMar w:top="1440" w:right="1803" w:bottom="1440" w:left="1803" w:header="13" w:footer="13" w:gutter="0"/>
          <w:pgNumType w:fmt="decimal"/>
          <w:cols w:space="0" w:num="1"/>
          <w:docGrid w:type="lines" w:linePitch="240" w:charSpace="0"/>
        </w:sectPr>
      </w:pPr>
    </w:p>
    <w:p>
      <w:bookmarkStart w:id="16" w:name="_GoBack"/>
      <w:bookmarkEnd w:id="16"/>
    </w:p>
    <w:sdt>
      <w:sdtPr>
        <w:rPr>
          <w:rFonts w:hint="eastAsia" w:ascii="黑体" w:hAnsi="黑体" w:eastAsia="黑体" w:cs="黑体"/>
          <w:b/>
          <w:bCs/>
          <w:color w:val="080F17"/>
          <w:sz w:val="24"/>
          <w:szCs w:val="22"/>
        </w:rPr>
        <w:id w:val="147457554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color w:val="080F17"/>
          <w:sz w:val="22"/>
        </w:rPr>
      </w:sdtEndPr>
      <w:sdtContent>
        <w:p>
          <w:pPr>
            <w:pStyle w:val="9"/>
            <w:bidi w:val="0"/>
            <w:jc w:val="center"/>
          </w:pPr>
          <w:r>
            <w:rPr>
              <w:rFonts w:hint="eastAsia" w:ascii="黑体" w:hAnsi="黑体" w:eastAsia="黑体" w:cs="黑体"/>
              <w:b/>
              <w:bCs/>
              <w:color w:val="080F17"/>
              <w:sz w:val="24"/>
              <w:szCs w:val="22"/>
              <w:lang w:val="en-US" w:eastAsia="zh-CN"/>
            </w:rPr>
            <w:tab/>
          </w:r>
          <w:r>
            <w:rPr>
              <w:rStyle w:val="19"/>
              <w:rFonts w:hint="eastAsia"/>
              <w:b/>
              <w:bCs/>
              <w:sz w:val="36"/>
              <w:szCs w:val="28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_Toc2564 </w:instrText>
          </w:r>
          <w:r>
            <w:fldChar w:fldCharType="separate"/>
          </w:r>
          <w:r>
            <w:t>1. 环境配置问题</w:t>
          </w:r>
          <w:r>
            <w:tab/>
          </w:r>
          <w:r>
            <w:fldChar w:fldCharType="begin"/>
          </w:r>
          <w:r>
            <w:instrText xml:space="preserve"> PAGEREF _Toc2564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_Toc14031 </w:instrText>
          </w:r>
          <w:r>
            <w:fldChar w:fldCharType="separate"/>
          </w:r>
          <w:r>
            <w:t>1.1 Anaconda安装与配置</w:t>
          </w:r>
          <w:r>
            <w:tab/>
          </w:r>
          <w:r>
            <w:fldChar w:fldCharType="begin"/>
          </w:r>
          <w:r>
            <w:instrText xml:space="preserve"> PAGEREF _Toc14031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_Toc28848 </w:instrText>
          </w:r>
          <w:r>
            <w:fldChar w:fldCharType="separate"/>
          </w:r>
          <w:r>
            <w:t>1.2 Python版本与依赖安装</w:t>
          </w:r>
          <w:r>
            <w:tab/>
          </w:r>
          <w:r>
            <w:fldChar w:fldCharType="begin"/>
          </w:r>
          <w:r>
            <w:instrText xml:space="preserve"> PAGEREF _Toc28848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_Toc6645 </w:instrText>
          </w:r>
          <w:r>
            <w:fldChar w:fldCharType="separate"/>
          </w:r>
          <w:r>
            <w:t>2. 硬件连接与驱动问题</w:t>
          </w:r>
          <w:r>
            <w:tab/>
          </w:r>
          <w:r>
            <w:fldChar w:fldCharType="begin"/>
          </w:r>
          <w:r>
            <w:instrText xml:space="preserve"> PAGEREF _Toc6645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_Toc4696 </w:instrText>
          </w:r>
          <w:r>
            <w:fldChar w:fldCharType="separate"/>
          </w:r>
          <w:r>
            <w:t>2.1 MechEye相机连接</w:t>
          </w:r>
          <w:r>
            <w:tab/>
          </w:r>
          <w:r>
            <w:fldChar w:fldCharType="begin"/>
          </w:r>
          <w:r>
            <w:instrText xml:space="preserve"> PAGEREF _Toc4696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_Toc8645 </w:instrText>
          </w:r>
          <w:r>
            <w:fldChar w:fldCharType="separate"/>
          </w:r>
          <w:r>
            <w:t>2.2 红外测距仪与升降杆</w:t>
          </w:r>
          <w:r>
            <w:tab/>
          </w:r>
          <w:r>
            <w:fldChar w:fldCharType="begin"/>
          </w:r>
          <w:r>
            <w:instrText xml:space="preserve"> PAGEREF _Toc8645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_Toc18992 </w:instrText>
          </w:r>
          <w:r>
            <w:fldChar w:fldCharType="separate"/>
          </w:r>
          <w:r>
            <w:t>3. 软件操作与功能问题</w:t>
          </w:r>
          <w:r>
            <w:tab/>
          </w:r>
          <w:r>
            <w:fldChar w:fldCharType="begin"/>
          </w:r>
          <w:r>
            <w:instrText xml:space="preserve"> PAGEREF _Toc18992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_Toc19342 </w:instrText>
          </w:r>
          <w:r>
            <w:fldChar w:fldCharType="separate"/>
          </w:r>
          <w:r>
            <w:t>3.1 软件启动与界面操作</w:t>
          </w:r>
          <w:r>
            <w:tab/>
          </w:r>
          <w:r>
            <w:fldChar w:fldCharType="begin"/>
          </w:r>
          <w:r>
            <w:instrText xml:space="preserve"> PAGEREF _Toc19342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_Toc7043 </w:instrText>
          </w:r>
          <w:r>
            <w:fldChar w:fldCharType="separate"/>
          </w:r>
          <w:r>
            <w:t>3.2 检测流程与配置</w:t>
          </w:r>
          <w:r>
            <w:tab/>
          </w:r>
          <w:r>
            <w:fldChar w:fldCharType="begin"/>
          </w:r>
          <w:r>
            <w:instrText xml:space="preserve"> PAGEREF _Toc7043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_Toc9127 </w:instrText>
          </w:r>
          <w:r>
            <w:fldChar w:fldCharType="separate"/>
          </w:r>
          <w:r>
            <w:t>3.3 报警与数据处理</w:t>
          </w:r>
          <w:r>
            <w:tab/>
          </w:r>
          <w:r>
            <w:fldChar w:fldCharType="begin"/>
          </w:r>
          <w:r>
            <w:instrText xml:space="preserve"> PAGEREF _Toc9127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_Toc1699 </w:instrText>
          </w:r>
          <w:r>
            <w:fldChar w:fldCharType="separate"/>
          </w:r>
          <w:r>
            <w:t>4. 维护与故障排除</w:t>
          </w:r>
          <w:r>
            <w:tab/>
          </w:r>
          <w:r>
            <w:fldChar w:fldCharType="begin"/>
          </w:r>
          <w:r>
            <w:instrText xml:space="preserve"> PAGEREF _Toc1699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 </w:instrText>
          </w:r>
          <w:r>
            <w:fldChar w:fldCharType="separate"/>
          </w:r>
          <w:r>
            <w:t>4.1 常见故障排除</w:t>
          </w:r>
          <w:r>
            <w:tab/>
          </w:r>
          <w:r>
            <w:fldChar w:fldCharType="begin"/>
          </w:r>
          <w:r>
            <w:instrText xml:space="preserve"> PAGEREF _Toc290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_Toc9788 </w:instrText>
          </w:r>
          <w:r>
            <w:fldChar w:fldCharType="separate"/>
          </w:r>
          <w:r>
            <w:t>4.2 设备保养与收纳</w:t>
          </w:r>
          <w:r>
            <w:tab/>
          </w:r>
          <w:r>
            <w:fldChar w:fldCharType="begin"/>
          </w:r>
          <w:r>
            <w:instrText xml:space="preserve"> PAGEREF _Toc9788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_Toc15451 </w:instrText>
          </w:r>
          <w:r>
            <w:fldChar w:fldCharType="separate"/>
          </w:r>
          <w:r>
            <w:t>4.3 定期维护</w:t>
          </w:r>
          <w:r>
            <w:tab/>
          </w:r>
          <w:r>
            <w:fldChar w:fldCharType="begin"/>
          </w:r>
          <w:r>
            <w:instrText xml:space="preserve"> PAGEREF _Toc15451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_Toc24621 </w:instrText>
          </w:r>
          <w:r>
            <w:fldChar w:fldCharType="separate"/>
          </w:r>
          <w:r>
            <w:t>4.4 用户培训与支持</w:t>
          </w:r>
          <w:r>
            <w:tab/>
          </w:r>
          <w:r>
            <w:fldChar w:fldCharType="begin"/>
          </w:r>
          <w:r>
            <w:instrText xml:space="preserve"> PAGEREF _Toc24621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 w:eastAsia="微软雅黑" w:cs="微软雅黑"/>
              <w:color w:val="080F17"/>
              <w:sz w:val="22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bidi w:val="0"/>
      </w:pPr>
    </w:p>
    <w:p>
      <w:pPr>
        <w:pStyle w:val="3"/>
        <w:bidi w:val="0"/>
        <w:rPr>
          <w:rFonts w:hint="eastAsia"/>
        </w:rPr>
      </w:pPr>
      <w:bookmarkStart w:id="0" w:name="_Toc11472"/>
      <w:r>
        <w:rPr>
          <w:rFonts w:hint="eastAsia"/>
        </w:rPr>
        <w:t>项目名称</w:t>
      </w:r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t>吊顶检测系统</w:t>
      </w: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25" o:spt="1" style="height:1.5pt;width:432pt;" fillcolor="#05073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bookmarkStart w:id="1" w:name="_Toc2564"/>
      <w:r>
        <w:t>1. 环境配置问题</w:t>
      </w:r>
      <w:bookmarkEnd w:id="1"/>
    </w:p>
    <w:p>
      <w:pPr>
        <w:pStyle w:val="4"/>
        <w:keepNext w:val="0"/>
        <w:keepLines w:val="0"/>
        <w:widowControl/>
        <w:suppressLineNumbers w:val="0"/>
      </w:pPr>
      <w:bookmarkStart w:id="2" w:name="_Toc14031"/>
      <w:r>
        <w:t>1.1 Anaconda安装与配置</w:t>
      </w:r>
      <w:bookmarkEnd w:id="2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安装失败</w:t>
      </w:r>
      <w:r>
        <w:t>：确保下载与操作系统（如Windows 10/11）及位数（64位）匹配的Anaconda版本。安装时选择“Just Me”为当前用户，或“All Users”为所有用户安装，并根据需要修改安装路径。安装完成后，可以通过Anaconda Navigator管理环境和包。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环境变量配置</w:t>
      </w:r>
      <w:r>
        <w:t>：若命令行提示“conda不是内部或外部命令”，需将Anaconda的安装路径及其子目录（如Scripts、Library\bin）添加到系统环境变量Path中。可通过“系统属性”-&gt;“环境变量”进行配置。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虚拟环境创建</w:t>
      </w:r>
      <w:r>
        <w:t>：使用命令</w:t>
      </w:r>
      <w:r>
        <w:rPr>
          <w:rStyle w:val="15"/>
        </w:rPr>
        <w:t>conda create -n 环境名 python=X.X</w:t>
      </w:r>
      <w:r>
        <w:t>创建虚拟环境，推荐Python版本为3.8或3.9。创建完成后，使用</w:t>
      </w:r>
      <w:r>
        <w:rPr>
          <w:rStyle w:val="15"/>
        </w:rPr>
        <w:t>conda activate 环境名</w:t>
      </w:r>
      <w:r>
        <w:t>激活环境。可使用</w:t>
      </w:r>
      <w:r>
        <w:rPr>
          <w:rStyle w:val="15"/>
        </w:rPr>
        <w:t>conda info --envs</w:t>
      </w:r>
      <w:r>
        <w:t>查看已创建的环境。</w:t>
      </w:r>
    </w:p>
    <w:p>
      <w:pPr>
        <w:pStyle w:val="4"/>
        <w:keepNext w:val="0"/>
        <w:keepLines w:val="0"/>
        <w:widowControl/>
        <w:suppressLineNumbers w:val="0"/>
      </w:pPr>
      <w:bookmarkStart w:id="3" w:name="_Toc28848"/>
      <w:r>
        <w:t>1.2 Python版本与依赖安装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Python版本不兼容</w:t>
      </w:r>
      <w:r>
        <w:t>：确保已安装Python 3.8及以上版本，推荐使用Anaconda管理的Python环境，以避免版本冲突。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依赖安装失败</w:t>
      </w:r>
      <w:r>
        <w:t>：在虚拟环境中使用</w:t>
      </w:r>
      <w:r>
        <w:rPr>
          <w:rStyle w:val="15"/>
        </w:rPr>
        <w:t>pip install XXXXXXXXXXXXXX -i https://pypi.tuna.tsinghua.edu.cn/simple</w:t>
      </w:r>
      <w:r>
        <w:t>命令安装依赖，指定清华大学镜像源以提高下载速度。常见依赖包括NumPy、OpenCV、Matplotlib等。可以使用</w:t>
      </w:r>
      <w:r>
        <w:rPr>
          <w:rStyle w:val="15"/>
        </w:rPr>
        <w:t>pip freeze</w:t>
      </w:r>
      <w:r>
        <w:t>查看已安装的依赖包及其版本。</w:t>
      </w:r>
    </w:p>
    <w:p>
      <w:pPr>
        <w:pStyle w:val="3"/>
        <w:keepNext w:val="0"/>
        <w:keepLines w:val="0"/>
        <w:widowControl/>
        <w:suppressLineNumbers w:val="0"/>
      </w:pPr>
      <w:bookmarkStart w:id="4" w:name="_Toc6645"/>
      <w:r>
        <w:t>2. 硬件连接与驱动问题</w:t>
      </w:r>
      <w:bookmarkEnd w:id="4"/>
    </w:p>
    <w:p>
      <w:pPr>
        <w:pStyle w:val="4"/>
        <w:keepNext w:val="0"/>
        <w:keepLines w:val="0"/>
        <w:widowControl/>
        <w:suppressLineNumbers w:val="0"/>
      </w:pPr>
      <w:bookmarkStart w:id="5" w:name="_Toc4696"/>
      <w:r>
        <w:t>2.1 MechEye相机连接</w:t>
      </w:r>
      <w:bookmarkEnd w:id="5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无法识别相机</w:t>
      </w:r>
      <w:r>
        <w:t>：确保相机驱动已正确安装，且相机通过网线连接至电脑，配置相机IP地址与电脑在同一网段。可使用相机自带的工具软件进行连接测试。如未能识别，请检查网络连接和防火墙设置。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曝光度调整</w:t>
      </w:r>
      <w:r>
        <w:t>：在相机软件中，可调整曝光时间、曝光度、增益等参数以优化拍摄效果，确保图像清晰。建议根据环境光线条件调整相应参数。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40" w:lineRule="auto"/>
        <w:ind w:left="-360" w:leftChars="0" w:right="0" w:rightChars="0"/>
        <w:jc w:val="center"/>
      </w:pPr>
      <w:r>
        <w:drawing>
          <wp:inline distT="0" distB="0" distL="114300" distR="114300">
            <wp:extent cx="876300" cy="11620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40" w:lineRule="auto"/>
        <w:ind w:left="-360" w:leftChars="0" w:right="0" w:rightChars="0"/>
        <w:jc w:val="center"/>
        <w:rPr>
          <w:rFonts w:hint="default" w:eastAsia="微软雅黑"/>
          <w:sz w:val="18"/>
          <w:szCs w:val="15"/>
          <w:lang w:val="en-US" w:eastAsia="zh-CN"/>
        </w:rPr>
      </w:pPr>
      <w:r>
        <w:rPr>
          <w:rFonts w:hint="eastAsia"/>
          <w:sz w:val="18"/>
          <w:szCs w:val="15"/>
          <w:lang w:val="en-US" w:eastAsia="zh-CN"/>
        </w:rPr>
        <w:t>相机软件图标</w:t>
      </w:r>
    </w:p>
    <w:p>
      <w:pPr>
        <w:pStyle w:val="4"/>
        <w:keepNext w:val="0"/>
        <w:keepLines w:val="0"/>
        <w:widowControl/>
        <w:suppressLineNumbers w:val="0"/>
      </w:pPr>
      <w:bookmarkStart w:id="6" w:name="_Toc8645"/>
      <w:r>
        <w:t>2.2 红外测距仪与升降杆</w:t>
      </w:r>
      <w:bookmarkEnd w:id="6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串口连接失败</w:t>
      </w:r>
      <w:r>
        <w:t>：检查串口是否被其他应用占用，确保设备管理器中串口状态正常，正确连接测距仪并配置串口号、波特率和数据位。建议使用串口调试工具进行连接测试。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升降杆无法调节</w:t>
      </w:r>
      <w:r>
        <w:t>：若升降杆无响应，检查电源是否接通，确认测距仪已正确连接并配置，必要时重启设备。确保升降杆的电缆未损坏，并检查所有连接点。</w:t>
      </w:r>
    </w:p>
    <w:p>
      <w:pPr>
        <w:pStyle w:val="3"/>
        <w:keepNext w:val="0"/>
        <w:keepLines w:val="0"/>
        <w:widowControl/>
        <w:suppressLineNumbers w:val="0"/>
      </w:pPr>
      <w:bookmarkStart w:id="7" w:name="_Toc18992"/>
      <w:r>
        <w:t>3. 软件操作与功能问题</w:t>
      </w:r>
      <w:bookmarkEnd w:id="7"/>
    </w:p>
    <w:p>
      <w:pPr>
        <w:pStyle w:val="4"/>
        <w:keepNext w:val="0"/>
        <w:keepLines w:val="0"/>
        <w:widowControl/>
        <w:suppressLineNumbers w:val="0"/>
      </w:pPr>
      <w:bookmarkStart w:id="8" w:name="_Toc19342"/>
      <w:r>
        <w:t>3.1 软件启动与界面操作</w:t>
      </w:r>
      <w:bookmarkEnd w:id="8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软件无法启动</w:t>
      </w:r>
      <w:r>
        <w:t>：确保双击“吊顶检测.bat”快捷方式，或右键“吊顶检测.bat”图标，选择“打开”。并耐心等待启动过程完成，可能需要几秒钟。若启动异常，请检查是否有其他程序占用资源。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界面元素不熟悉</w:t>
      </w:r>
      <w:r>
        <w:t>：阅读用户操作手册，了解各标签页、按钮和下拉菜单的功能与操作。如有疑问，可向技术支持咨询。可通过软件内的帮助文档获取更多信息。</w:t>
      </w:r>
    </w:p>
    <w:p>
      <w:pPr>
        <w:pStyle w:val="4"/>
        <w:keepNext w:val="0"/>
        <w:keepLines w:val="0"/>
        <w:widowControl/>
        <w:suppressLineNumbers w:val="0"/>
      </w:pPr>
      <w:bookmarkStart w:id="9" w:name="_Toc7043"/>
      <w:r>
        <w:t>3.2 检测流程与配置</w:t>
      </w:r>
      <w:bookmarkEnd w:id="9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相机高度调整</w:t>
      </w:r>
      <w:r>
        <w:t>：若配置了红外测距仪，点击“调整相机高度”按钮，升降杆会自动调整相机至最佳距离，确保检测效果最佳。建议在实际检测前进行预检，以确认调整效果。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配置信息填写</w:t>
      </w:r>
      <w:r>
        <w:t>：在检测前，需按提示顺序填写线路、车站、区域、中心、工区、吊顶样式及采集间隔等信息。确保信息准确，以便后续数据处理。建议在填写前，准备好相关数据以提高效率。</w:t>
      </w:r>
    </w:p>
    <w:p>
      <w:pPr>
        <w:pStyle w:val="4"/>
        <w:keepNext w:val="0"/>
        <w:keepLines w:val="0"/>
        <w:widowControl/>
        <w:suppressLineNumbers w:val="0"/>
      </w:pPr>
      <w:bookmarkStart w:id="10" w:name="_Toc9127"/>
      <w:r>
        <w:t>3.3 报警与数据处理</w:t>
      </w:r>
      <w:bookmarkEnd w:id="1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报警信息核实</w:t>
      </w:r>
      <w:r>
        <w:t>：病害信息超过设定值时，会弹出报警框并伴随声音提示，需核实检测结果并填写病害位置、是否处置及处理措施，确保信息完整。建议记录每次报警的详细情况以便后续分析。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数据导出</w:t>
      </w:r>
      <w:r>
        <w:t>：将病害信息的时间、位置、开裂数值等整合后，导出为JSON文件，并将采集结果数据与图像进行压缩打包，方便后续分析。确保导出数据的路径可访问，以避免丢失。</w:t>
      </w:r>
    </w:p>
    <w:p>
      <w:pPr>
        <w:pStyle w:val="3"/>
        <w:keepNext w:val="0"/>
        <w:keepLines w:val="0"/>
        <w:widowControl/>
        <w:suppressLineNumbers w:val="0"/>
      </w:pPr>
      <w:bookmarkStart w:id="11" w:name="_Toc1699"/>
      <w:r>
        <w:t>4. 维护与故障排除</w:t>
      </w:r>
      <w:bookmarkEnd w:id="11"/>
    </w:p>
    <w:p>
      <w:pPr>
        <w:pStyle w:val="4"/>
        <w:keepNext w:val="0"/>
        <w:keepLines w:val="0"/>
        <w:widowControl/>
        <w:suppressLineNumbers w:val="0"/>
      </w:pPr>
      <w:bookmarkStart w:id="12" w:name="_Toc290"/>
      <w:r>
        <w:t>4.1 常见故障排除</w:t>
      </w:r>
      <w:bookmarkEnd w:id="12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串口连接问题</w:t>
      </w:r>
      <w:r>
        <w:t>：确保串口未被占用，检查设备管理器中串口状态，重新连接设备并重启程序。可尝试更换串口或使用不同的USB接口。如果问题依旧，考虑使用其他计算机进行测试。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相机连接问题</w:t>
      </w:r>
      <w:r>
        <w:t>：重新安装相机驱动，检查相机连接状态，重启程序，必要时重启计算机。如果驱动更新后问题仍然存在，可能需要联系客服支持。</w:t>
      </w:r>
    </w:p>
    <w:p>
      <w:pPr>
        <w:pStyle w:val="4"/>
        <w:keepNext w:val="0"/>
        <w:keepLines w:val="0"/>
        <w:widowControl/>
        <w:suppressLineNumbers w:val="0"/>
      </w:pPr>
      <w:bookmarkStart w:id="13" w:name="_Toc9788"/>
      <w:r>
        <w:t>4.2 设备保养与收纳</w:t>
      </w:r>
      <w:bookmarkEnd w:id="13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设备清洁</w:t>
      </w:r>
      <w:r>
        <w:t>：定期清洁相机镜头与外壳，避免灰尘影响拍摄效果，使用专用清洁工具。每次使用后，应检查设备外观，及时清理可能的污垢。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升降杆收纳</w:t>
      </w:r>
      <w:r>
        <w:t>：完成采集后，点击“完成采集”按键，自动收起升降杆，以便设备转移与收纳，确保设备存放在干燥阴凉的地方。建议使用保护罩保护设备免受损坏。</w:t>
      </w:r>
    </w:p>
    <w:p>
      <w:pPr>
        <w:pStyle w:val="4"/>
        <w:keepNext w:val="0"/>
        <w:keepLines w:val="0"/>
        <w:widowControl/>
        <w:suppressLineNumbers w:val="0"/>
      </w:pPr>
      <w:bookmarkStart w:id="14" w:name="_Toc15451"/>
      <w:r>
        <w:t>4.3 定期维护</w:t>
      </w:r>
      <w:bookmarkEnd w:id="14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硬件检查</w:t>
      </w:r>
      <w:r>
        <w:t>：定期检查设备的连接线、接口及其他硬件，确保无磨损或松动，影响设备正常工作。每季度进行一次全面的硬件检查，以延长设备使用寿命。</w:t>
      </w:r>
    </w:p>
    <w:p>
      <w:pPr>
        <w:pStyle w:val="4"/>
        <w:keepNext w:val="0"/>
        <w:keepLines w:val="0"/>
        <w:widowControl/>
        <w:suppressLineNumbers w:val="0"/>
      </w:pPr>
      <w:bookmarkStart w:id="15" w:name="_Toc24621"/>
      <w:r>
        <w:t>4.4 用户培训与支持</w:t>
      </w:r>
      <w:bookmarkEnd w:id="15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用户培训</w:t>
      </w:r>
      <w:r>
        <w:t>：建议定期为操作人员进行培训，提高操作技能和故障排除能力。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</w:rPr>
        <w:t>技术支持</w:t>
      </w:r>
      <w:r>
        <w:t>：如遇到无法解决的问题，请及时联系技术支持团队，提供详细问题描述和相关日志，以便快速解决。</w:t>
      </w:r>
    </w:p>
    <w:p>
      <w:pPr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21"/>
        <w:tab w:val="clear" w:pos="4153"/>
      </w:tabs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21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B6F0E"/>
    <w:multiLevelType w:val="multilevel"/>
    <w:tmpl w:val="802B6F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CB2CF7F"/>
    <w:multiLevelType w:val="multilevel"/>
    <w:tmpl w:val="DCB2CF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6906B3B"/>
    <w:multiLevelType w:val="multilevel"/>
    <w:tmpl w:val="E6906B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9B11D79"/>
    <w:multiLevelType w:val="multilevel"/>
    <w:tmpl w:val="F9B11D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AF08F42"/>
    <w:multiLevelType w:val="multilevel"/>
    <w:tmpl w:val="FAF08F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1B73174"/>
    <w:multiLevelType w:val="multilevel"/>
    <w:tmpl w:val="11B731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CD03A0E"/>
    <w:multiLevelType w:val="multilevel"/>
    <w:tmpl w:val="2CD03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7F0F1C7"/>
    <w:multiLevelType w:val="multilevel"/>
    <w:tmpl w:val="47F0F1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885E06C"/>
    <w:multiLevelType w:val="multilevel"/>
    <w:tmpl w:val="5885E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088B8B8"/>
    <w:multiLevelType w:val="multilevel"/>
    <w:tmpl w:val="6088B8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4B261FF"/>
    <w:multiLevelType w:val="multilevel"/>
    <w:tmpl w:val="74B261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xMDk2ZmYzZmU4ZTRiNDY0ZTI1ZjlkZmEzMWY0N2UifQ=="/>
  </w:docVars>
  <w:rsids>
    <w:rsidRoot w:val="00000000"/>
    <w:rsid w:val="037F4580"/>
    <w:rsid w:val="07CD0B25"/>
    <w:rsid w:val="1269692C"/>
    <w:rsid w:val="3B2864BE"/>
    <w:rsid w:val="458B2A47"/>
    <w:rsid w:val="5F51043F"/>
    <w:rsid w:val="7420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link w:val="19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  <w:style w:type="paragraph" w:customStyle="1" w:styleId="16">
    <w:name w:val="·âÃæ±í¸ñÎÄ±¾"/>
    <w:basedOn w:val="1"/>
    <w:qFormat/>
    <w:uiPriority w:val="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kern w:val="0"/>
      <w:sz w:val="24"/>
      <w:szCs w:val="20"/>
    </w:rPr>
  </w:style>
  <w:style w:type="paragraph" w:customStyle="1" w:styleId="17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8">
    <w:name w:val="标题 1 Char"/>
    <w:link w:val="2"/>
    <w:uiPriority w:val="0"/>
    <w:rPr>
      <w:b/>
      <w:kern w:val="44"/>
      <w:sz w:val="44"/>
    </w:rPr>
  </w:style>
  <w:style w:type="character" w:customStyle="1" w:styleId="19">
    <w:name w:val="目录 1 Char"/>
    <w:link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2024-10-24T02:58:00Z</dcterms:created>
  <dc:creator>PS</dc:creator>
  <cp:lastModifiedBy>WPS_1507959232</cp:lastModifiedBy>
  <dcterms:modified xsi:type="dcterms:W3CDTF">2024-10-24T06:44:01Z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3380BA3FDC7A4E70AE51947AF52D5CFF_12</vt:lpwstr>
  </property>
</Properties>
</file>