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default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MySQL工程对外服务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1.对外的服务放在mysql工程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2.接口和实现放在api工程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9816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引入util工程是为了ResultEntity类，引入entity工程是为了MemberPo类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spring-cloud-starter-openfeign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注意要加 </w:t>
      </w:r>
      <w:r>
        <w:rPr>
          <w:rFonts w:hint="default"/>
          <w:lang w:val="en-US" w:eastAsia="zh-CN"/>
        </w:rPr>
        <w:t>@FeignClient</w:t>
      </w:r>
      <w:r>
        <w:rPr>
          <w:rFonts w:hint="eastAsia"/>
          <w:lang w:val="en-US" w:eastAsia="zh-CN"/>
        </w:rPr>
        <w:t xml:space="preserve"> 注解，远程接口要和provider工程的方法保持一致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即要和mysql-provider工程中的控制器的方法一致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//@FeignClient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 fallbackFactory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consumer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调用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"mysql"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远程调用的接口方法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注意：这里的方法要和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中的具体实现的方法的声明要一致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//@RequestMapping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地址、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@RequestBody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@PathVariable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两边一致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3549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1.控制器方法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MemberProviderHandler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MemberService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工程的远程方法，要和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工程有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@FeignClient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注解标记的方法一致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monospace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todo 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>异常处理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member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.getMemberByLoginacct(loginacct)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(member)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3.service实现类，加上事务控制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在类上使用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@Transactional(readOnly = true)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针对查询操作设置事务属性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@Transactional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(readOnly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@Service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MemberServiceImpl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MemberService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@Autowired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MemberPoMapper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@Override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getMemberByLoginacct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loginacct)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.selectByLoginAcct(loginacct)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4.mapper接口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根据登录账号查询成员信息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loginAcct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selectByLoginAcct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5.mapper.xml的sql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&lt;select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="selectByLoginAcct"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parameterType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="java.lang.String"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resultMap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="BaseResultMap"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select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&lt;include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refid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="Base_Column_List"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/&gt;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from t_member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where loginacct = #{loginAcct}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bidi w:val="0"/>
        <w:rPr>
          <w:rFonts w:hint="eastAsia"/>
          <w:lang w:val="en-US" w:eastAsia="zh-CN"/>
        </w:rPr>
      </w:pPr>
      <w:r>
        <w:t>抽取项目中所有访问 Redis 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整合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Redis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spring-boot-starter-data-redis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测试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主要配置：微服务名称、redis、eureka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3000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redis-provider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相关配置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默认使用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0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号数据库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服务器地址，如果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的配置文件的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bind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属性绑定了地址，需要用该地址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192.168.64.133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默认端口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5000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连接池中最大空闲连接，默认值是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连接池中的最小空闲连接，默认值是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min-idle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如果赋值为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，则表示不限制；如果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已经分配了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maxActive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个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实例，则此时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的状态为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exhansted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（耗尽）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max-active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等待可用连接的最大时间，单位毫秒，默认值为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，表示永不超时。如果超过等待时间，则直接抛出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JedisConnectionException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max-wait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2000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(RedisTest.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"name1"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"shuyun"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redis工程对外服务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提供外部服务：string类型的get、set方法，分带超时时间和不带超时时间的方法，以及删除key的操作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@author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shuyun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@date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2024-10-11 08:52:27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 fallbackFactory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属性指定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consumer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调用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provider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"redis-provider"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redis工程handler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String value = operations.get(key)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.delete(key)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4F040F"/>
    <w:rsid w:val="01F95FF4"/>
    <w:rsid w:val="02090E1E"/>
    <w:rsid w:val="02412BF2"/>
    <w:rsid w:val="02D52F01"/>
    <w:rsid w:val="03B95F17"/>
    <w:rsid w:val="03F75293"/>
    <w:rsid w:val="04487D85"/>
    <w:rsid w:val="049F0BA8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5A6680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8B4C64"/>
    <w:rsid w:val="18D26D7A"/>
    <w:rsid w:val="1938718C"/>
    <w:rsid w:val="1A613641"/>
    <w:rsid w:val="1A68162A"/>
    <w:rsid w:val="1A952836"/>
    <w:rsid w:val="1AFF03DD"/>
    <w:rsid w:val="1B062755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056566"/>
    <w:rsid w:val="235C79FC"/>
    <w:rsid w:val="23BB08D6"/>
    <w:rsid w:val="2496681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3832DB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40E0E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53D5A"/>
    <w:rsid w:val="3AB92CF9"/>
    <w:rsid w:val="3AD33F9C"/>
    <w:rsid w:val="3B116152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694D06"/>
    <w:rsid w:val="40CB69FB"/>
    <w:rsid w:val="4127018A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AC0A83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087A91"/>
    <w:rsid w:val="57347090"/>
    <w:rsid w:val="573C6A6A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6F63CD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E5435CE"/>
    <w:rsid w:val="6F6105B4"/>
    <w:rsid w:val="6FA201F0"/>
    <w:rsid w:val="6FCD7968"/>
    <w:rsid w:val="70387D59"/>
    <w:rsid w:val="709753BD"/>
    <w:rsid w:val="71013272"/>
    <w:rsid w:val="71D12284"/>
    <w:rsid w:val="71D46264"/>
    <w:rsid w:val="71F2625F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63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2024-10-11T01:17:00Z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