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24D4B">
      <w:pPr>
        <w:pStyle w:val="31"/>
      </w:pPr>
      <w:bookmarkStart w:id="0" w:name="_GoBack"/>
      <w:bookmarkEnd w:id="0"/>
      <w:r>
        <w:rPr>
          <w:rFonts w:ascii="Times New Roman" w:hAnsi="Times New Roman" w:eastAsia="黑体"/>
          <w:b/>
          <w:i w:val="0"/>
          <w:color w:val="000000"/>
          <w:sz w:val="36"/>
        </w:rPr>
        <w:t>《白鹿洞书院揭示》精品教案（三课时）</w:t>
      </w:r>
    </w:p>
    <w:p w14:paraId="21B5F3F5"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对标《普通高中语文课程标准》“中华传统文化经典研习”学习任务群（学习任务群8）</w:t>
      </w:r>
    </w:p>
    <w:p w14:paraId="22206A1B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一、课题信息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5120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14" w:type="dxa"/>
            <w:shd w:val="clear" w:color="auto" w:fill="D9D9D9"/>
            <w:vAlign w:val="center"/>
          </w:tcPr>
          <w:p w14:paraId="30542605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w="7257" w:type="dxa"/>
            <w:shd w:val="clear" w:color="auto" w:fill="D9D9D9"/>
            <w:vAlign w:val="center"/>
          </w:tcPr>
          <w:p w14:paraId="611C4C83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内容</w:t>
            </w:r>
          </w:p>
        </w:tc>
      </w:tr>
      <w:tr w14:paraId="1C921D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2BFAC44D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课题</w:t>
            </w:r>
          </w:p>
        </w:tc>
        <w:tc>
          <w:tcPr>
            <w:tcW w:w="7257" w:type="dxa"/>
            <w:vAlign w:val="center"/>
          </w:tcPr>
          <w:p w14:paraId="174293D5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《白鹿洞书院揭示》（朱熹）</w:t>
            </w:r>
          </w:p>
        </w:tc>
      </w:tr>
      <w:tr w14:paraId="60AB57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2DE08F46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课型定位</w:t>
            </w:r>
          </w:p>
        </w:tc>
        <w:tc>
          <w:tcPr>
            <w:tcW w:w="7257" w:type="dxa"/>
            <w:vAlign w:val="center"/>
          </w:tcPr>
          <w:p w14:paraId="3338E78D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选择性必修阶段“中华传统文化经典研习”（学习任务群8）专题研习课</w:t>
            </w:r>
          </w:p>
        </w:tc>
      </w:tr>
      <w:tr w14:paraId="72748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5420C264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教学对象</w:t>
            </w:r>
          </w:p>
        </w:tc>
        <w:tc>
          <w:tcPr>
            <w:tcW w:w="7257" w:type="dxa"/>
            <w:vAlign w:val="center"/>
          </w:tcPr>
          <w:p w14:paraId="0723EFB5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高二年级</w:t>
            </w:r>
          </w:p>
        </w:tc>
      </w:tr>
      <w:tr w14:paraId="32B74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40A7D1E6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课时安排</w:t>
            </w:r>
          </w:p>
        </w:tc>
        <w:tc>
          <w:tcPr>
            <w:tcW w:w="7257" w:type="dxa"/>
            <w:vAlign w:val="center"/>
          </w:tcPr>
          <w:p w14:paraId="644237CC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三课时，每课时45分钟</w:t>
            </w:r>
          </w:p>
        </w:tc>
      </w:tr>
      <w:tr w14:paraId="15EF26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712990B9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课程衔接</w:t>
            </w:r>
          </w:p>
        </w:tc>
        <w:tc>
          <w:tcPr>
            <w:tcW w:w="7257" w:type="dxa"/>
            <w:vAlign w:val="center"/>
          </w:tcPr>
          <w:p w14:paraId="6C0F5B82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可衔接统编版选择性必修上册第二单元“先秦诸子散文”（《大学之道》《论语》十二章等）作互文研习，亦可作为校本课程或专题研习文本</w:t>
            </w:r>
          </w:p>
        </w:tc>
      </w:tr>
    </w:tbl>
    <w:p w14:paraId="0CA351B3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二、课标依据与设计理念</w:t>
      </w:r>
    </w:p>
    <w:p w14:paraId="348AB9AB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（一）课标依据</w:t>
      </w:r>
    </w:p>
    <w:p w14:paraId="16B494FE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《普通高中语文课程标准（2017年版2025年修订）》（教育部2025年10月印发）设置“学习任务群8 中华传统文化经典研习”，指出：本任务群旨在引导学生通过阅读中华传统文化经典作品，积累文言阅读经验，培养民族审美趣味，增进对中华优秀传统文化的理解，提升对中华民族文化的认同感、自豪感，增强文化自信，更好地继承和弘扬中华优秀传统文化。</w:t>
      </w:r>
    </w:p>
    <w:p w14:paraId="3198EE9C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本教案重点落实任务群8的以下学习目标与内容：</w:t>
      </w:r>
    </w:p>
    <w:p w14:paraId="6046521B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选择中国文化史上不同时期、不同类型的一些代表性作品进行精读，体会其精神内涵、审美追求和文化价值。</w:t>
      </w:r>
    </w:p>
    <w:p w14:paraId="086A0CD0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在特定的社会文化场景中考察传统文化经典作品，以客观、科学、礼敬的态度，认识作品对中国文化发展的贡献。</w:t>
      </w:r>
    </w:p>
    <w:p w14:paraId="51296939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梳理所学作品中常见的文言实词、虚词、特殊句式和文化常识，注意古今语言的异同。</w:t>
      </w:r>
    </w:p>
    <w:p w14:paraId="347E3528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阅读作品应写出内容提要和阅读感受；选择一部（篇）作品，从一个或多个角度讨论分析，撰写评论。</w:t>
      </w:r>
    </w:p>
    <w:p w14:paraId="6A0068AE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学习传统文化经典作品的表达艺术，提高自己的写作水平。</w:t>
      </w:r>
    </w:p>
    <w:p w14:paraId="679ECABA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（二）设计理念</w:t>
      </w:r>
    </w:p>
    <w:p w14:paraId="7A5E2C2B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设计以“研习”为主线，遵循“知人论世—诵读明理—义理深析—当代审视—读写转化”的研习路径，以任务驱动、情境创设、群文互文组织教学，坚持诵读涵泳与理性思辨并重、文言积累与文化理解并重、历史眼光与现代观念并重，落实“教—学—评”一致性。</w:t>
      </w:r>
    </w:p>
    <w:p w14:paraId="74E41454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三、文本与学情分析</w:t>
      </w:r>
    </w:p>
    <w:p w14:paraId="0C876132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（一）文本分析</w:t>
      </w:r>
    </w:p>
    <w:p w14:paraId="301EA5D9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1. 内容与结构：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《白鹿洞书院揭示》为南宋理学家朱熹于淳熙七年（1180年）兴复白鹿洞书院时所手定，是中国书院发展史上的纲领性学规。全文分五层：“五教之目”（父子有亲，君臣有义，夫妇有别，长幼有序，朋友有信）、“为学之序”（博学之，审问之，慎思之，明辨之，笃行之）、“修身之要”、“处事之要”、“接物之要”，后附跋语，阐明“讲明义理以修其身、推以及人”的为学宗旨。</w:t>
      </w:r>
    </w:p>
    <w:p w14:paraId="1710EFAD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2. 文体特质：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作为书院学规（“揭示”即张挂公布之意），本文兼具“制度文本”与“经典文本”双重属性：语言凝练典雅、多用对偶排比，结构纲举目张、逻辑严密，全文集《易》《书》《论语》《孟子》《中庸》《汉书》等经典语句而成，是“集经成规”的典范。</w:t>
      </w:r>
    </w:p>
    <w:p w14:paraId="67826DFC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3. 文化价值：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本文集中体现儒家“明人伦”“为己之学”“知行合一”的教育理念，自宋理宗淳祐元年（1241年）御书颁赐太学后，成为南宋书院统一学规与元明清各朝书院学规范本，并影响及于东亚，是理解中华优秀传统文化教育精神的经典窗口。</w:t>
      </w:r>
    </w:p>
    <w:p w14:paraId="63D14C4F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（二）学情分析</w:t>
      </w:r>
    </w:p>
    <w:p w14:paraId="1C06632C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1. 已有基础：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高二学生已完成必修课程，初步具备文言文阅读能力，接触过《论语》《孟子》《大学》等篇章（如统编版选择性必修上册第二单元），对儒家思想有初步感知，具备一定的诵读与批注习惯。</w:t>
      </w:r>
    </w:p>
    <w:p w14:paraId="3AC531B0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2. 可能困难：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一是“五教之目”所体现的伦理秩序与当代生活存在距离，学生容易简单否定或片面接受，需要引导理性审视；二是“义利之辨”“惩忿窒欲”等理学命题较为抽象，需要化抽象为具体；三是对书院文化、学规文体较为陌生，需要情境支架。</w:t>
      </w:r>
    </w:p>
    <w:p w14:paraId="14617222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3. 教学对策：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以情境任务激发兴趣，以互文阅读搭建理解支架，以思辨议题引导历史眼光与现代观念，以读写结合深化理解与迁移。</w:t>
      </w:r>
    </w:p>
    <w:p w14:paraId="5BA9EEDB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四、教学目标</w:t>
      </w:r>
    </w:p>
    <w:p w14:paraId="6C260A92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本课依据语文学科核心素养的四个方面设定教学目标：</w:t>
      </w:r>
    </w:p>
    <w:p w14:paraId="4C26DB69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1. 语言建构与运用：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借助注释与工具书疏通文意，正确朗读并背诵全文；梳理“亲、义、别、序、信、笃、惩、窒、迁、谋、计、反”等重点实词与“之、而、于、所”等虚词用法，掌握“勿施于人”等特殊句式，完成文言积累卡。</w:t>
      </w:r>
    </w:p>
    <w:p w14:paraId="7BE3DD30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2. 思维发展与提升：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梳理学规“总—分”结构与“明理—笃行”的逻辑链条；通过《大学》《中庸》《论语》《孟子》等互文文本的比较，把握儒家教育思想的内在体系；运用历史眼光和辩证思维评价其当代价值与历史局限。</w:t>
      </w:r>
    </w:p>
    <w:p w14:paraId="4C74CA4A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3. 审美鉴赏与创造：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通过诵读涵泳，体会典籍语言凝练典雅、对仗工整的声韵之美；学习“集经成文、纲举目张”的表达艺术，并运用于自己的议论性写作。</w:t>
      </w:r>
    </w:p>
    <w:p w14:paraId="3ADEDE08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4. 文化传承与理解：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理解儒家“明人伦、修己身”的教育理念与书院文化精神，认识《白鹿洞书院揭示》在中国教育史上的地位与影响，增强文化认同与文化自信，尝试探讨中华优秀传统文化的创造性转化与创新性发展。</w:t>
      </w:r>
    </w:p>
    <w:p w14:paraId="7FFDB0A8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五、教学重难点</w:t>
      </w:r>
    </w:p>
    <w:p w14:paraId="61D28388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（一）教学重点</w:t>
      </w:r>
    </w:p>
    <w:p w14:paraId="3E8ECA27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疏通文意，理解“五教之目、为学之序、修身之要、处事之要、接物之要”五层内涵及其内在逻辑；</w:t>
      </w:r>
    </w:p>
    <w:p w14:paraId="1700CCC7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把握“博学—审问—慎思—明辨—笃行”的为学之序，领会“穷理—笃行”的关系；</w:t>
      </w:r>
    </w:p>
    <w:p w14:paraId="539F9E7B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积累重点文言实词、虚词与句式，熟读成诵。</w:t>
      </w:r>
    </w:p>
    <w:p w14:paraId="052353AE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（二）教学难点</w:t>
      </w:r>
    </w:p>
    <w:p w14:paraId="08F1846A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理解“五教之目”体现的儒家伦理秩序及其产生的时代，能够以历史眼光和现代观念进行理性审视；</w:t>
      </w:r>
    </w:p>
    <w:p w14:paraId="3481B7C0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领会“正其义不谋其利，明其道不计其功”的义利观，辨析其与当代价值观念的对话关系；</w:t>
      </w:r>
    </w:p>
    <w:p w14:paraId="01A2E055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体会学规“由内而外、知行合一”的修身路径，实现从文本理解到当代践行的迁移。</w:t>
      </w:r>
    </w:p>
    <w:p w14:paraId="3B97E810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六、教学准备</w:t>
      </w:r>
    </w:p>
    <w:p w14:paraId="47683AA0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1. 教师准备：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制作多媒体课件，含白鹿洞书院（庐山五老峰南麓）影像、朱熹画像、《白鹿洞书院揭示》碑刻拓片等；印发学规原文（含注释）与互文资料包（《大学》“三纲领八条目”、《中庸》“博学之”章、《论语》“子张问行”“仲弓问仁”章、《孟子》“爱人不亲”章、《汉书·董仲舒传》节选、王阳明《教条示龙场诸生》）；设计预习任务单、文言积累卡、结构梳理表、课堂观察量表、短评写作量规。</w:t>
      </w:r>
    </w:p>
    <w:p w14:paraId="7DC518AE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2. 学生准备：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课前朗读原文三遍，借助注释疏通大意；查阅朱熹与白鹿洞书院资料，完成“知人论世卡”；复习《论语》《孟子》《大学》相关背诵篇目。</w:t>
      </w:r>
    </w:p>
    <w:p w14:paraId="653F61D0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七、教学过程设计</w:t>
      </w:r>
    </w:p>
    <w:p w14:paraId="25D58195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（一）第一课时：知人论世·诵读明理——“走进八百年书院”</w:t>
      </w:r>
    </w:p>
    <w:p w14:paraId="596F795A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课时目标：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了解朱熹与白鹿洞书院的历史，能借助注释疏通文意，梳理学规的层次结构；正确、流利、有节奏地朗读全文，初步背诵。</w:t>
      </w:r>
    </w:p>
    <w:p w14:paraId="5BE34F98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环节一 情境导入（约5分钟）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出示白鹿洞书院实景图与“学规石碑”特写。提问：你了解中国古代的“书院”吗？“四大书院”指哪几所？如果一所学校只允许用一张纸来回答“为何而学、如何为学、如何做人”，这张纸上会写什么？学生自由发言后，教师引出：八百多年前，理学大师朱熹在庐山白鹿洞书院写下了这样一张纸，名曰《白鹿洞书院揭示》。今天，我们走进这篇被称为“中国书院发展史上纲领性学规”的经典。</w:t>
      </w:r>
    </w:p>
    <w:p w14:paraId="18B7572E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设计意图：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以“书院—学规”情境激发阅读期待，自然切入课题。</w:t>
      </w:r>
    </w:p>
    <w:p w14:paraId="43F5137D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环节二 知人论世（约10分钟）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1. 朱熹其人：朱熹（1130—1200），字元晦，号晦庵，南宋理学家、教育家，理学集大成者，编注《四书章句集注》，世称“朱子”。2. 书院沿革：白鹿洞书院位于庐山五老峰南麓，唐李渤读书养鹿于此；南唐升元年间辟为“庐山国学”；北宋初定名“白鹿洞书院”，与岳麓、嵩阳、应天书院并称“四大书院”；北宋末年毁于兵火，荒废百余年。3. 创作背景：南宋淳熙六年（1179年）朱熹知南康军，寻得白鹿洞故址，上《申修白鹿洞书院状》兴复书院；淳熙七年（1180年）三月书院修复，朱熹亲率官师生员赴书院开学，自任洞主，讲《中庸》首章，并手定《白鹿洞书院揭示》，“揭之楣间”作为学规。4. 深远影响：宋理宗淳祐元年（1241年）御书《白鹿洞书院揭示》颁赐太学、颁布天下学宫；此后成为南宋书院统一学规和元明清各朝书院学规范本；绍熙五年（1194年）朱熹知潭州时颁于岳麓书院；王阳明赞其“夫为学之方，白鹿之规尽矣”。5. 学生活动：结合预习卡，请学生补充查得的资料，如“朱陆讲会”——淳熙八年（1181年）朱熹请陆九渊至白鹿洞讲“君子喻于义，小人喻于利”，闻者动容。</w:t>
      </w:r>
    </w:p>
    <w:p w14:paraId="5C96A919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设计意图：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知人论世，建立“文本—作者—时代—影响”的认知框架；以预习分享检验前置学习，培养资料检索与信息整合能力。</w:t>
      </w:r>
    </w:p>
    <w:p w14:paraId="7FAE8C2B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环节三 初读正音·句读标点（约10分钟）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1. 听读正音：教师范读或播放音频，正音：惩（chéng）忿、窒（zhì）欲、笃（dǔ）行等。2. 朗读训练：自由朗读→齐读→指名读；注意四字句节奏（“父子／有亲，君臣／有义”）与“博学之，审问之，慎思之，明辨之，笃行之”的推进语气。3. 断句挑战：出示未加标点的“右为学之序”一段，请学生断句，体会文言行文节奏。</w:t>
      </w:r>
    </w:p>
    <w:p w14:paraId="309BC710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设计意图：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以读促悟，培养文言语感；断句练习落实“梳理特殊句式与文化常识”的目标。</w:t>
      </w:r>
    </w:p>
    <w:p w14:paraId="3CBFFB21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环节四 疏通文意·梳理结构（约15分钟）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1. 自主疏通：学生结合注释与工具书自主疏通全文，标注疑难词句，小组互助解决。2. 结构梳理：小组合作完成“结构梳理表”（见下表），明确五层内容、核心要义与经典出处。3. 教师点拨：全文为“总—分”结构——“五教之目”总领教育宗旨（为什么学），“为学之序”确立学习路径（怎么学），“修身、处事、接物之要”落实行为准则（如何做）；“学者学此而已”为枢纽句。4. 齐读巩固。</w:t>
      </w:r>
    </w:p>
    <w:p w14:paraId="4B84061C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设计意图：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以任务单驱动文言疏通与结构把握，落实“梳理文言现象”与“写内容提要”的目标；表格化呈现便于结构化记忆。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F9315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47" w:type="dxa"/>
            <w:shd w:val="clear" w:color="auto" w:fill="D9D9D9"/>
            <w:vAlign w:val="center"/>
          </w:tcPr>
          <w:p w14:paraId="0391B653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层级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58CB119B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原文要句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C03B639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核心要义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7B0B416E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经典出处</w:t>
            </w:r>
          </w:p>
        </w:tc>
      </w:tr>
      <w:tr w14:paraId="419ABC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2B0E16CA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五教之目</w:t>
            </w:r>
          </w:p>
        </w:tc>
        <w:tc>
          <w:tcPr>
            <w:tcW w:w="3175" w:type="dxa"/>
            <w:vAlign w:val="center"/>
          </w:tcPr>
          <w:p w14:paraId="5B5E01AF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父子有亲，君臣有义，夫妇有别，长幼有序，朋友有信</w:t>
            </w:r>
          </w:p>
        </w:tc>
        <w:tc>
          <w:tcPr>
            <w:tcW w:w="2268" w:type="dxa"/>
            <w:vAlign w:val="center"/>
          </w:tcPr>
          <w:p w14:paraId="1626E3A7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明人伦，立教育之本</w:t>
            </w:r>
          </w:p>
        </w:tc>
        <w:tc>
          <w:tcPr>
            <w:tcW w:w="2381" w:type="dxa"/>
            <w:vAlign w:val="center"/>
          </w:tcPr>
          <w:p w14:paraId="245C7B2C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《孟子·滕文公上》等</w:t>
            </w:r>
          </w:p>
        </w:tc>
      </w:tr>
      <w:tr w14:paraId="0FD6F5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09D68E3C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为学之序</w:t>
            </w:r>
          </w:p>
        </w:tc>
        <w:tc>
          <w:tcPr>
            <w:tcW w:w="3175" w:type="dxa"/>
            <w:vAlign w:val="center"/>
          </w:tcPr>
          <w:p w14:paraId="55CAAB98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博学之，审问之，慎思之，明辨之，笃行之</w:t>
            </w:r>
          </w:p>
        </w:tc>
        <w:tc>
          <w:tcPr>
            <w:tcW w:w="2268" w:type="dxa"/>
            <w:vAlign w:val="center"/>
          </w:tcPr>
          <w:p w14:paraId="4915841F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穷理笃行，立为学之法</w:t>
            </w:r>
          </w:p>
        </w:tc>
        <w:tc>
          <w:tcPr>
            <w:tcW w:w="2381" w:type="dxa"/>
            <w:vAlign w:val="center"/>
          </w:tcPr>
          <w:p w14:paraId="46DF6F5C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《礼记·中庸》</w:t>
            </w:r>
          </w:p>
        </w:tc>
      </w:tr>
      <w:tr w14:paraId="6CCAE6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7F83F146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修身之要</w:t>
            </w:r>
          </w:p>
        </w:tc>
        <w:tc>
          <w:tcPr>
            <w:tcW w:w="3175" w:type="dxa"/>
            <w:vAlign w:val="center"/>
          </w:tcPr>
          <w:p w14:paraId="64D2F303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言忠信，行笃敬；惩忿窒欲，迁善改过</w:t>
            </w:r>
          </w:p>
        </w:tc>
        <w:tc>
          <w:tcPr>
            <w:tcW w:w="2268" w:type="dxa"/>
            <w:vAlign w:val="center"/>
          </w:tcPr>
          <w:p w14:paraId="639D49F4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修己以敬，克己向善</w:t>
            </w:r>
          </w:p>
        </w:tc>
        <w:tc>
          <w:tcPr>
            <w:tcW w:w="2381" w:type="dxa"/>
            <w:vAlign w:val="center"/>
          </w:tcPr>
          <w:p w14:paraId="6BDEDD25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《论语·卫灵公》《周易·损》《益》等</w:t>
            </w:r>
          </w:p>
        </w:tc>
      </w:tr>
      <w:tr w14:paraId="65728A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4B2440C5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处事之要</w:t>
            </w:r>
          </w:p>
        </w:tc>
        <w:tc>
          <w:tcPr>
            <w:tcW w:w="3175" w:type="dxa"/>
            <w:vAlign w:val="center"/>
          </w:tcPr>
          <w:p w14:paraId="5D54D545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正其义不谋其利，明其道不计其功</w:t>
            </w:r>
          </w:p>
        </w:tc>
        <w:tc>
          <w:tcPr>
            <w:tcW w:w="2268" w:type="dxa"/>
            <w:vAlign w:val="center"/>
          </w:tcPr>
          <w:p w14:paraId="5B1586BD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义以为上，不谋功利</w:t>
            </w:r>
          </w:p>
        </w:tc>
        <w:tc>
          <w:tcPr>
            <w:tcW w:w="2381" w:type="dxa"/>
            <w:vAlign w:val="center"/>
          </w:tcPr>
          <w:p w14:paraId="728FB160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《汉书·董仲舒传》</w:t>
            </w:r>
          </w:p>
        </w:tc>
      </w:tr>
      <w:tr w14:paraId="24CDC2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444627E4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接物之要</w:t>
            </w:r>
          </w:p>
        </w:tc>
        <w:tc>
          <w:tcPr>
            <w:tcW w:w="3175" w:type="dxa"/>
            <w:vAlign w:val="center"/>
          </w:tcPr>
          <w:p w14:paraId="6FC9BDE0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己所不欲，勿施于人；行有不得，反求诸己</w:t>
            </w:r>
          </w:p>
        </w:tc>
        <w:tc>
          <w:tcPr>
            <w:tcW w:w="2268" w:type="dxa"/>
            <w:vAlign w:val="center"/>
          </w:tcPr>
          <w:p w14:paraId="1F183445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忠恕之道，反求诸己</w:t>
            </w:r>
          </w:p>
        </w:tc>
        <w:tc>
          <w:tcPr>
            <w:tcW w:w="2381" w:type="dxa"/>
            <w:vAlign w:val="center"/>
          </w:tcPr>
          <w:p w14:paraId="3F3E2CF7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《论语·颜渊》《孟子·离娄上》</w:t>
            </w:r>
          </w:p>
        </w:tc>
      </w:tr>
    </w:tbl>
    <w:p w14:paraId="6DF54634">
      <w:pPr>
        <w:spacing w:after="80" w:line="360" w:lineRule="auto"/>
        <w:ind w:firstLine="480"/>
      </w:pPr>
    </w:p>
    <w:p w14:paraId="36CFD365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环节五 课堂小结与作业（约5分钟）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小结：知其人、知其院、读其文、明其构——一篇学规，五种秩序，一套为学为人之法。作业：①背诵全文（下节课抽查）；②完成“文言积累卡”（实词十个、虚词三个、句式两例、文化常识五条）；③思考：如果为班级拟一条“学习之规”，你会写什么？</w:t>
      </w:r>
    </w:p>
    <w:tbl>
      <w:tblPr>
        <w:tblStyle w:val="32"/>
        <w:tblW w:w="0" w:type="auto"/>
        <w:tblInd w:w="0" w:type="dxa"/>
        <w:tblBorders>
          <w:top w:val="single" w:color="4A90D9" w:sz="4" w:space="0"/>
          <w:left w:val="single" w:color="4A90D9" w:sz="4" w:space="0"/>
          <w:bottom w:val="single" w:color="4A90D9" w:sz="4" w:space="0"/>
          <w:right w:val="single" w:color="4A90D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7C99DE6">
        <w:tblPrEx>
          <w:tblBorders>
            <w:top w:val="single" w:color="4A90D9" w:sz="4" w:space="0"/>
            <w:left w:val="single" w:color="4A90D9" w:sz="4" w:space="0"/>
            <w:bottom w:val="single" w:color="4A90D9" w:sz="4" w:space="0"/>
            <w:right w:val="single" w:color="4A90D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F0F5FA"/>
            <w:vAlign w:val="center"/>
          </w:tcPr>
          <w:p w14:paraId="2ABBCAF3">
            <w:pPr>
              <w:spacing w:after="60" w:line="312" w:lineRule="auto"/>
              <w:ind w:firstLine="0"/>
            </w:pPr>
            <w:r>
              <w:rPr>
                <w:rFonts w:ascii="Times New Roman" w:hAnsi="Times New Roman" w:eastAsia="宋体"/>
                <w:b/>
                <w:i w:val="0"/>
                <w:color w:val="003366"/>
                <w:sz w:val="24"/>
              </w:rPr>
              <w:t>【板书设计】第一课时</w:t>
            </w:r>
          </w:p>
          <w:p w14:paraId="1D21B2DF">
            <w:pPr>
              <w:spacing w:after="40" w:line="31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白鹿洞书院揭示（朱熹·南宋）</w:t>
            </w:r>
          </w:p>
          <w:p w14:paraId="02FD8933">
            <w:pPr>
              <w:spacing w:after="40" w:line="31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一院（书院兴废）　一人（朱子其人）　一规（学规纲领）</w:t>
            </w:r>
          </w:p>
          <w:p w14:paraId="450FB2A8">
            <w:pPr>
              <w:spacing w:after="40" w:line="31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五教之目——明人伦（本）</w:t>
            </w:r>
          </w:p>
          <w:p w14:paraId="1721FB98">
            <w:pPr>
              <w:spacing w:after="40" w:line="31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为学之序——穷理笃行（法）</w:t>
            </w:r>
          </w:p>
          <w:p w14:paraId="0CA1A11E">
            <w:pPr>
              <w:spacing w:after="40" w:line="31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修身·处事·接物——知行合一（要）</w:t>
            </w:r>
          </w:p>
        </w:tc>
      </w:tr>
    </w:tbl>
    <w:p w14:paraId="2D05AF58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（二）第二课时：精读研思·义理深析——“读懂一部学规的精神密码”</w:t>
      </w:r>
    </w:p>
    <w:p w14:paraId="0E827FAB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课时目标：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理解五层内容的内在逻辑与思想内涵，重点研习“为学之序”与“义利之辨”；能结合文本与时代，对学规的当代价值作出有理据的评说。</w:t>
      </w:r>
    </w:p>
    <w:p w14:paraId="78FD3876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环节一 温故导入（约5分钟）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抽查背诵（齐背、接龙背），回顾结构图；抛出主问题：朱熹为什么把“五教”放在学规最前面？一篇学规，凭什么能流传八百多年？</w:t>
      </w:r>
    </w:p>
    <w:p w14:paraId="06A257A1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环节二 研习“五教之目”与“为学之序”（约15分钟）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1. 研习“五教之目”：①何为“五教”？——父子有亲、君臣有义、夫妇有别、长幼有序、朋友有信；“尧、舜使契为司徒，敬敷五教，即此是也”，本于《孟子·滕文公上》“教以人伦”。②探究：朱熹为何将“明人伦”置于篇首？——教育宗旨“学者学此而已”，体现儒家“学以为人”的教育观：先立其本，再求其学。③讨论：“亲、义、别、序、信”分别强调什么？构成怎样的秩序观？这种秩序观在今天的家庭、学校、社会中有哪些体现与转化？2. 研习“为学之序”：①诵读“博学之，审问之，慎思之，明辨之，笃行之”，联系《中庸》“有弗学，学之弗能，弗措也……”体会其恳切之意。②探究五者关系：学、问、思、辨为“穷理”，笃行为“践实”，由知到行层层递进。③迁移：为学五序对今天学习的启示——广博与精深、质疑与求证、思辨与行动的统一。</w:t>
      </w:r>
    </w:p>
    <w:p w14:paraId="4A9D4EE2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设计意图：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以追问驱动深度阅读，理解儒家教育的目的论与方法论；联系原典实现互文，勾连学习经验。</w:t>
      </w:r>
    </w:p>
    <w:p w14:paraId="2D62A5D8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环节三 研习“修身、处事、接物之要”（约15分钟）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1. 分组研读（四人一组，各组认领一“要”）：①修身之要——“言忠信，行笃敬”（《论语·卫灵公》“子张问行”章），“惩忿窒欲，迁善改过”（《周易·损》《益》象传），体会“修己以敬”的内省功夫；②处事之要——“正其义不谋其利，明其道不计其功”（《汉书·董仲舒传》，“谊”通“义”），探究“义利之辨”：儒家并非否定“利”，而是主张“以义统利”；③接物之要——“己所不欲，勿施于人”（《论语·颜渊》“仲弓问仁”章，忠恕之道），“行有不得，反求诸己”（《孟子·离娄上》“爱人不亲”章，自反精神）。2. 组际交流：各组汇报，教师点拨并板书关键句。3. 聚焦研讨（“义利之辨”）：补充“朱陆讲会”背景——淳熙八年（1181年）朱熹请陆九渊至白鹿洞讲“君子喻于义，小人喻于利”，诸生闻之感动流涕。设问：为什么一篇学规、一次讲学，能让八百年前的青年如此动容？“义”与“利”在今天是否还是非此即彼？</w:t>
      </w:r>
    </w:p>
    <w:p w14:paraId="2276E7A5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设计意图：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以分组研习实现全员参与，以“义利之辨”为思辨核心，勾连学术史与当下生活。</w:t>
      </w:r>
    </w:p>
    <w:p w14:paraId="1831ADF4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环节四 思辨探究：“经典与今天”（约8分钟）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议题一：有人说“五教之目”中的“君臣有义”“夫妇有别”等观念已经过时，应当全盘抛弃；也有人认为其中包含永恒的人伦智慧。你如何看？议题二：在市场经济时代，“正其义不谋其利”是否还有意义？“义”“利”能否兼得？引导要点：以历史眼光理解时代语境（纲常伦理产生于宗法社会，有其历史合理性，也有等级化、不平等的历史局限）；以现代观念辨析当代价值（家庭责任、诚信友善、责任担当，“己所不欲，勿施于人”已成为人类共同价值）；不作简单肯定或否定。预设与应对：若学生观点一边倒，可提供反方材料与具体情境（如“网络匿名发言是否应‘己所不欲勿施于人’”“学业竞争中‘义利’如何取舍”）引发再思考。</w:t>
      </w:r>
    </w:p>
    <w:p w14:paraId="186A135E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设计意图：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落实任务群“用历史和现代的观念进行审视，表达自己的看法”的要求，培养辩证思维与理性表达。</w:t>
      </w:r>
    </w:p>
    <w:p w14:paraId="3D9589F5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环节五 小结与作业（约2分钟）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小结：一部学规，三层结构——明人伦以立本，穷理笃行以成学，修身处世接物以成人。作业：①从“义利之辨”“反求诸己”“为学之序”中任选一个话题，写三百字研习札记；②为下课时“班级新学规”活动准备素材。</w:t>
      </w:r>
    </w:p>
    <w:tbl>
      <w:tblPr>
        <w:tblStyle w:val="32"/>
        <w:tblW w:w="0" w:type="auto"/>
        <w:tblInd w:w="0" w:type="dxa"/>
        <w:tblBorders>
          <w:top w:val="single" w:color="4A90D9" w:sz="4" w:space="0"/>
          <w:left w:val="single" w:color="4A90D9" w:sz="4" w:space="0"/>
          <w:bottom w:val="single" w:color="4A90D9" w:sz="4" w:space="0"/>
          <w:right w:val="single" w:color="4A90D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4C4B73F">
        <w:tblPrEx>
          <w:tblBorders>
            <w:top w:val="single" w:color="4A90D9" w:sz="4" w:space="0"/>
            <w:left w:val="single" w:color="4A90D9" w:sz="4" w:space="0"/>
            <w:bottom w:val="single" w:color="4A90D9" w:sz="4" w:space="0"/>
            <w:right w:val="single" w:color="4A90D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F0F5FA"/>
            <w:vAlign w:val="center"/>
          </w:tcPr>
          <w:p w14:paraId="00134B9A">
            <w:pPr>
              <w:spacing w:after="60" w:line="312" w:lineRule="auto"/>
              <w:ind w:firstLine="0"/>
            </w:pPr>
            <w:r>
              <w:rPr>
                <w:rFonts w:ascii="Times New Roman" w:hAnsi="Times New Roman" w:eastAsia="宋体"/>
                <w:b/>
                <w:i w:val="0"/>
                <w:color w:val="003366"/>
                <w:sz w:val="24"/>
              </w:rPr>
              <w:t>【板书设计】第二课时</w:t>
            </w:r>
          </w:p>
          <w:p w14:paraId="00A1338E">
            <w:pPr>
              <w:spacing w:after="40" w:line="31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五教之目 → 明人伦（本）</w:t>
            </w:r>
          </w:p>
          <w:p w14:paraId="40957FB9">
            <w:pPr>
              <w:spacing w:after="40" w:line="31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为学之序 → 学·问·思·辨·行（穷理—笃行）</w:t>
            </w:r>
          </w:p>
          <w:p w14:paraId="4680D08D">
            <w:pPr>
              <w:spacing w:after="40" w:line="31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修身之要 → 言忠信 行笃敬 惩忿窒欲 迁善改过</w:t>
            </w:r>
          </w:p>
          <w:p w14:paraId="109B3CEB">
            <w:pPr>
              <w:spacing w:after="40" w:line="31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处事之要 → 正其义不谋其利 明其道不计其功（义利之辨）</w:t>
            </w:r>
          </w:p>
          <w:p w14:paraId="65340C3B">
            <w:pPr>
              <w:spacing w:after="40" w:line="31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接物之要 → 己所不欲勿施于人 行有不得反求诸己（忠恕·自反）</w:t>
            </w:r>
          </w:p>
        </w:tc>
      </w:tr>
    </w:tbl>
    <w:p w14:paraId="2FE91A39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（三）第三课时：迁移拓展·读写转化——“让经典照亮今天”</w:t>
      </w:r>
    </w:p>
    <w:p w14:paraId="37520AD0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课时目标：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能借助互文比较把握儒家教育思想的发展脉络；能仿照学规框架拟写“班级新学规”；能围绕文本写出一篇观点明确、有文本依据与思辨色彩的评论性文字。</w:t>
      </w:r>
    </w:p>
    <w:p w14:paraId="6982ED7E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环节一 温故交流（约5分钟）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抽背；小组交流研习札记，推荐两至三篇全班分享，教师点评“义利之辨”写作中的亮点与不足。</w:t>
      </w:r>
    </w:p>
    <w:p w14:paraId="0E3808CF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环节二 互文研读：经典与经典的对话（约15分钟）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1. 与《大学》对读：《大学》“三纲领八条目”（明明德、亲民、止于至善；格物、致知、诚意、正心、修身、齐家、治国、平天下）。追问：《揭示》的“修身”如何承接“八条目”？朱熹为何说“自修身以至于处事、接物”？（修身为本，由内而外）2. 与王阳明《教条示龙场诸生》比较：两篇学规的异同——朱熹理学重“道问学”、由博返约，阳明心学重“尊德性”、简易直截；相同处在于都主张立志、改过、责善，体现了“教人成人”的共同宗旨。3. 与《论语》《孟子》原典互证：找出学规中直接化用的章句，体会“集经成规”的表达艺术。</w:t>
      </w:r>
    </w:p>
    <w:p w14:paraId="17BEFCCA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设计意图：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以群文互文拓展文化视野，把握儒家思想一脉相承又各有侧重的发展脉络，落实“认识作品对中国文化发展的贡献”。</w:t>
      </w:r>
    </w:p>
    <w:p w14:paraId="2977E201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环节三 当代转化：拟一份“班级新学规”（约12分钟）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情境任务：学校开展“经典研习·立规明行”活动，请以小组为单位，仿照《白鹿洞书院揭示》“立本—成学—修身—处事—接物”的框架，为班级拟一份“新学规”（四至六条，每条用一句话概括并说明理由）。小组讨论拟写→代表展示→师生评议（评议维度：结构完整、内涵有据、语言凝练、契合当下）。教师点拨：体会“创造性转化、创新性发展”——传统学规的框架与精神如何融入现代班级文化。</w:t>
      </w:r>
    </w:p>
    <w:p w14:paraId="2468289B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设计意图：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读写结合、学以致用，实现从文化理解到文化实践的迁移，同时为写作任务积累素材。</w:t>
      </w:r>
    </w:p>
    <w:p w14:paraId="6296FA50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环节四 写作指导与任务布置（约10分钟）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写作任务：以“《白鹿洞书院揭示》的当代启示”为题（可自拟副题），写一篇不少于五百字的评论性文字。写作支架：①观点明确——从“为学之序”“义利之辨”“反求诸己”等角度择一深挖；②文本依据——准确引用原文并阐释；③思辨展开——结合古今事例，联系现实生活；④结构语言——总分总结构，语言凝练有文采。布置：一周内完成，依据“短评写作量规”自评、互评。</w:t>
      </w:r>
    </w:p>
    <w:p w14:paraId="001A3BD0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设计意图：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落实任务群“撰写评论”的要求，以写作促进深度理解与价值建构。</w:t>
      </w:r>
    </w:p>
    <w:p w14:paraId="1A632975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环节五 总结提升（约3分钟）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回望三课时研习路径：知人论世→诵读明理→义理深析→思辨审视→互文拓展→读写转化。结课语：八百多年前，朱子在庐山之麓写下一张学规，告诉一代代读书人：为何而学、如何为学、如何成人。今天，我们把这篇经典读进心里——“博学之，审问之，慎思之，明辨之，笃行之”，愿诸位以此为序，学以成人。</w:t>
      </w:r>
    </w:p>
    <w:tbl>
      <w:tblPr>
        <w:tblStyle w:val="32"/>
        <w:tblW w:w="0" w:type="auto"/>
        <w:tblInd w:w="0" w:type="dxa"/>
        <w:tblBorders>
          <w:top w:val="single" w:color="4A90D9" w:sz="4" w:space="0"/>
          <w:left w:val="single" w:color="4A90D9" w:sz="4" w:space="0"/>
          <w:bottom w:val="single" w:color="4A90D9" w:sz="4" w:space="0"/>
          <w:right w:val="single" w:color="4A90D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481C5D4">
        <w:tblPrEx>
          <w:tblBorders>
            <w:top w:val="single" w:color="4A90D9" w:sz="4" w:space="0"/>
            <w:left w:val="single" w:color="4A90D9" w:sz="4" w:space="0"/>
            <w:bottom w:val="single" w:color="4A90D9" w:sz="4" w:space="0"/>
            <w:right w:val="single" w:color="4A90D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F0F5FA"/>
            <w:vAlign w:val="center"/>
          </w:tcPr>
          <w:p w14:paraId="4D07DEC4">
            <w:pPr>
              <w:spacing w:after="60" w:line="312" w:lineRule="auto"/>
              <w:ind w:firstLine="0"/>
            </w:pPr>
            <w:r>
              <w:rPr>
                <w:rFonts w:ascii="Times New Roman" w:hAnsi="Times New Roman" w:eastAsia="宋体"/>
                <w:b/>
                <w:i w:val="0"/>
                <w:color w:val="003366"/>
                <w:sz w:val="24"/>
              </w:rPr>
              <w:t>【板书设计】第三课时</w:t>
            </w:r>
          </w:p>
          <w:p w14:paraId="7955F619">
            <w:pPr>
              <w:spacing w:after="40" w:line="31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经典互文：《大学》三纲八目 ↔《中庸》为学五序 ↔《论语》《孟子》忠恕自反 ↔《教条示龙场诸生》</w:t>
            </w:r>
          </w:p>
          <w:p w14:paraId="234B8A60">
            <w:pPr>
              <w:spacing w:after="40" w:line="31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当代转化：立本—成学—修身—处事—接物 → 班级新学规</w:t>
            </w:r>
          </w:p>
          <w:p w14:paraId="6AA88CA8">
            <w:pPr>
              <w:spacing w:after="40" w:line="31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读写成果：研习札记 → 评论性文字（五百字）</w:t>
            </w:r>
          </w:p>
        </w:tc>
      </w:tr>
    </w:tbl>
    <w:p w14:paraId="4BCAE7DB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八、板书设计总览</w:t>
      </w:r>
    </w:p>
    <w:tbl>
      <w:tblPr>
        <w:tblStyle w:val="32"/>
        <w:tblW w:w="0" w:type="auto"/>
        <w:tblInd w:w="0" w:type="dxa"/>
        <w:tblBorders>
          <w:top w:val="single" w:color="4A90D9" w:sz="4" w:space="0"/>
          <w:left w:val="single" w:color="4A90D9" w:sz="4" w:space="0"/>
          <w:bottom w:val="single" w:color="4A90D9" w:sz="4" w:space="0"/>
          <w:right w:val="single" w:color="4A90D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23A00E0">
        <w:tblPrEx>
          <w:tblBorders>
            <w:top w:val="single" w:color="4A90D9" w:sz="4" w:space="0"/>
            <w:left w:val="single" w:color="4A90D9" w:sz="4" w:space="0"/>
            <w:bottom w:val="single" w:color="4A90D9" w:sz="4" w:space="0"/>
            <w:right w:val="single" w:color="4A90D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F0F5FA"/>
            <w:vAlign w:val="center"/>
          </w:tcPr>
          <w:p w14:paraId="4F32E02C">
            <w:pPr>
              <w:spacing w:after="60" w:line="312" w:lineRule="auto"/>
              <w:ind w:firstLine="0"/>
            </w:pPr>
            <w:r>
              <w:rPr>
                <w:rFonts w:ascii="Times New Roman" w:hAnsi="Times New Roman" w:eastAsia="宋体"/>
                <w:b/>
                <w:i w:val="0"/>
                <w:color w:val="003366"/>
                <w:sz w:val="24"/>
              </w:rPr>
              <w:t>【板书总览】</w:t>
            </w:r>
          </w:p>
          <w:p w14:paraId="3B6F90ED">
            <w:pPr>
              <w:spacing w:after="40" w:line="31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白鹿洞书院揭示·朱熹</w:t>
            </w:r>
          </w:p>
          <w:p w14:paraId="6EF31F88">
            <w:pPr>
              <w:spacing w:after="40" w:line="31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结构：五教之目（本）→ 为学之序（法）→ 修身·处事·接物（要）</w:t>
            </w:r>
          </w:p>
          <w:p w14:paraId="255AFE12">
            <w:pPr>
              <w:spacing w:after="40" w:line="31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逻辑：明人伦——穷理笃行——知行合一</w:t>
            </w:r>
          </w:p>
          <w:p w14:paraId="72CC1908">
            <w:pPr>
              <w:spacing w:after="40" w:line="31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方法：知人论世 · 诵读涵泳 · 互文研读 · 思辨审视 · 读写转化</w:t>
            </w:r>
          </w:p>
        </w:tc>
      </w:tr>
    </w:tbl>
    <w:p w14:paraId="2EDB5D30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九、评价方案</w:t>
      </w:r>
    </w:p>
    <w:p w14:paraId="3C2E3C60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（一）评价理念与依据</w:t>
      </w:r>
    </w:p>
    <w:p w14:paraId="4D50E8D3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依据课标“评价建议”与“学业质量”相关要求，坚持素养导向与“教—学—评”一致性：评价既考查文言积累与文本理解的达成，更关注学生在研习过程中的思维品质、文化理解与表达交流表现；注重过程性评价与终结性评价相结合，自评、互评、师评相结合，充分发挥评价的诊断、激励与导向功能。</w:t>
      </w:r>
    </w:p>
    <w:p w14:paraId="7264974C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（二）评价构成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19D94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74" w:type="dxa"/>
            <w:shd w:val="clear" w:color="auto" w:fill="D9D9D9"/>
            <w:vAlign w:val="center"/>
          </w:tcPr>
          <w:p w14:paraId="0A9CDC37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评价类型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6281DD66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评价项目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35DA6EEE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权重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6DFDB359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主要依据</w:t>
            </w:r>
          </w:p>
        </w:tc>
      </w:tr>
      <w:tr w14:paraId="494DA2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74" w:type="dxa"/>
            <w:vAlign w:val="center"/>
          </w:tcPr>
          <w:p w14:paraId="10DDC393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过程性评价</w:t>
            </w:r>
          </w:p>
        </w:tc>
        <w:tc>
          <w:tcPr>
            <w:tcW w:w="3628" w:type="dxa"/>
            <w:vAlign w:val="center"/>
          </w:tcPr>
          <w:p w14:paraId="5E8C4FB6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课前预习任务单（知人论世卡）</w:t>
            </w:r>
          </w:p>
        </w:tc>
        <w:tc>
          <w:tcPr>
            <w:tcW w:w="1020" w:type="dxa"/>
            <w:vAlign w:val="center"/>
          </w:tcPr>
          <w:p w14:paraId="268C8AC1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10%</w:t>
            </w:r>
          </w:p>
        </w:tc>
        <w:tc>
          <w:tcPr>
            <w:tcW w:w="2948" w:type="dxa"/>
            <w:vAlign w:val="center"/>
          </w:tcPr>
          <w:p w14:paraId="16BCA487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信息检索与整合</w:t>
            </w:r>
          </w:p>
        </w:tc>
      </w:tr>
      <w:tr w14:paraId="760C75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74" w:type="dxa"/>
            <w:vAlign w:val="center"/>
          </w:tcPr>
          <w:p w14:paraId="1EFB6AAE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过程性评价</w:t>
            </w:r>
          </w:p>
        </w:tc>
        <w:tc>
          <w:tcPr>
            <w:tcW w:w="3628" w:type="dxa"/>
            <w:vAlign w:val="center"/>
          </w:tcPr>
          <w:p w14:paraId="55292A70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课堂参与（诵读、研讨、思辨）</w:t>
            </w:r>
          </w:p>
        </w:tc>
        <w:tc>
          <w:tcPr>
            <w:tcW w:w="1020" w:type="dxa"/>
            <w:vAlign w:val="center"/>
          </w:tcPr>
          <w:p w14:paraId="27890706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20%</w:t>
            </w:r>
          </w:p>
        </w:tc>
        <w:tc>
          <w:tcPr>
            <w:tcW w:w="2948" w:type="dxa"/>
            <w:vAlign w:val="center"/>
          </w:tcPr>
          <w:p w14:paraId="401EA99F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课堂观察量表</w:t>
            </w:r>
          </w:p>
        </w:tc>
      </w:tr>
      <w:tr w14:paraId="667C6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74" w:type="dxa"/>
            <w:vAlign w:val="center"/>
          </w:tcPr>
          <w:p w14:paraId="3420B02E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过程性评价</w:t>
            </w:r>
          </w:p>
        </w:tc>
        <w:tc>
          <w:tcPr>
            <w:tcW w:w="3628" w:type="dxa"/>
            <w:vAlign w:val="center"/>
          </w:tcPr>
          <w:p w14:paraId="7095AC3E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文言积累卡与背诵检查</w:t>
            </w:r>
          </w:p>
        </w:tc>
        <w:tc>
          <w:tcPr>
            <w:tcW w:w="1020" w:type="dxa"/>
            <w:vAlign w:val="center"/>
          </w:tcPr>
          <w:p w14:paraId="4172D5F7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20%</w:t>
            </w:r>
          </w:p>
        </w:tc>
        <w:tc>
          <w:tcPr>
            <w:tcW w:w="2948" w:type="dxa"/>
            <w:vAlign w:val="center"/>
          </w:tcPr>
          <w:p w14:paraId="705021D9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积累卡质量、默写抽背</w:t>
            </w:r>
          </w:p>
        </w:tc>
      </w:tr>
      <w:tr w14:paraId="52D43E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74" w:type="dxa"/>
            <w:vAlign w:val="center"/>
          </w:tcPr>
          <w:p w14:paraId="4761BED0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过程性评价</w:t>
            </w:r>
          </w:p>
        </w:tc>
        <w:tc>
          <w:tcPr>
            <w:tcW w:w="3628" w:type="dxa"/>
            <w:vAlign w:val="center"/>
          </w:tcPr>
          <w:p w14:paraId="587DAC25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研习札记</w:t>
            </w:r>
          </w:p>
        </w:tc>
        <w:tc>
          <w:tcPr>
            <w:tcW w:w="1020" w:type="dxa"/>
            <w:vAlign w:val="center"/>
          </w:tcPr>
          <w:p w14:paraId="045CC123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10%</w:t>
            </w:r>
          </w:p>
        </w:tc>
        <w:tc>
          <w:tcPr>
            <w:tcW w:w="2948" w:type="dxa"/>
            <w:vAlign w:val="center"/>
          </w:tcPr>
          <w:p w14:paraId="40DF86EA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札记质量</w:t>
            </w:r>
          </w:p>
        </w:tc>
      </w:tr>
      <w:tr w14:paraId="3EF378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74" w:type="dxa"/>
            <w:vAlign w:val="center"/>
          </w:tcPr>
          <w:p w14:paraId="2ADA3426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终结性评价</w:t>
            </w:r>
          </w:p>
        </w:tc>
        <w:tc>
          <w:tcPr>
            <w:tcW w:w="3628" w:type="dxa"/>
            <w:vAlign w:val="center"/>
          </w:tcPr>
          <w:p w14:paraId="03B9628A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名句默写（五教之目、为学之序等）</w:t>
            </w:r>
          </w:p>
        </w:tc>
        <w:tc>
          <w:tcPr>
            <w:tcW w:w="1020" w:type="dxa"/>
            <w:vAlign w:val="center"/>
          </w:tcPr>
          <w:p w14:paraId="3B64AFB6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10%</w:t>
            </w:r>
          </w:p>
        </w:tc>
        <w:tc>
          <w:tcPr>
            <w:tcW w:w="2948" w:type="dxa"/>
            <w:vAlign w:val="center"/>
          </w:tcPr>
          <w:p w14:paraId="58B54E03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默写正确率</w:t>
            </w:r>
          </w:p>
        </w:tc>
      </w:tr>
      <w:tr w14:paraId="397897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74" w:type="dxa"/>
            <w:vAlign w:val="center"/>
          </w:tcPr>
          <w:p w14:paraId="45EC3EE9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终结性评价</w:t>
            </w:r>
          </w:p>
        </w:tc>
        <w:tc>
          <w:tcPr>
            <w:tcW w:w="3628" w:type="dxa"/>
            <w:vAlign w:val="center"/>
          </w:tcPr>
          <w:p w14:paraId="54DED928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评论性文字（五百字）</w:t>
            </w:r>
          </w:p>
        </w:tc>
        <w:tc>
          <w:tcPr>
            <w:tcW w:w="1020" w:type="dxa"/>
            <w:vAlign w:val="center"/>
          </w:tcPr>
          <w:p w14:paraId="41B4C43F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30%</w:t>
            </w:r>
          </w:p>
        </w:tc>
        <w:tc>
          <w:tcPr>
            <w:tcW w:w="2948" w:type="dxa"/>
            <w:vAlign w:val="center"/>
          </w:tcPr>
          <w:p w14:paraId="2CA0DD54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短评写作量规</w:t>
            </w:r>
          </w:p>
        </w:tc>
      </w:tr>
    </w:tbl>
    <w:p w14:paraId="614798B3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（三）评价工具</w:t>
      </w:r>
    </w:p>
    <w:p w14:paraId="3A167A52">
      <w:pPr>
        <w:spacing w:after="80" w:line="360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表1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课堂观察量表（示例）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7ADC5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14" w:type="dxa"/>
            <w:shd w:val="clear" w:color="auto" w:fill="D9D9D9"/>
            <w:vAlign w:val="center"/>
          </w:tcPr>
          <w:p w14:paraId="06CDF9B0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维度</w:t>
            </w:r>
          </w:p>
        </w:tc>
        <w:tc>
          <w:tcPr>
            <w:tcW w:w="7257" w:type="dxa"/>
            <w:shd w:val="clear" w:color="auto" w:fill="D9D9D9"/>
            <w:vAlign w:val="center"/>
          </w:tcPr>
          <w:p w14:paraId="76242FF6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观察点与等级描述（四分制：4优秀／3良好／2达标／1待提高）</w:t>
            </w:r>
          </w:p>
        </w:tc>
      </w:tr>
      <w:tr w14:paraId="7CD925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53DC20F6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倾听与回应</w:t>
            </w:r>
          </w:p>
        </w:tc>
        <w:tc>
          <w:tcPr>
            <w:tcW w:w="7257" w:type="dxa"/>
            <w:vAlign w:val="center"/>
          </w:tcPr>
          <w:p w14:paraId="73708DB5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专注倾听他人发言，能准确回应、补充或质疑</w:t>
            </w:r>
          </w:p>
        </w:tc>
      </w:tr>
      <w:tr w14:paraId="56E4D3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3838D954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表达与交流</w:t>
            </w:r>
          </w:p>
        </w:tc>
        <w:tc>
          <w:tcPr>
            <w:tcW w:w="7257" w:type="dxa"/>
            <w:vAlign w:val="center"/>
          </w:tcPr>
          <w:p w14:paraId="35268594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观点明确，语言流畅，能引用文本支撑自己的看法</w:t>
            </w:r>
          </w:p>
        </w:tc>
      </w:tr>
      <w:tr w14:paraId="717BD0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05F0A46A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思辨与质疑</w:t>
            </w:r>
          </w:p>
        </w:tc>
        <w:tc>
          <w:tcPr>
            <w:tcW w:w="7257" w:type="dxa"/>
            <w:vAlign w:val="center"/>
          </w:tcPr>
          <w:p w14:paraId="6F82A7E6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能提出有价值的问题，能从多角度分析问题</w:t>
            </w:r>
          </w:p>
        </w:tc>
      </w:tr>
      <w:tr w14:paraId="601EF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0A2BF8D2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协作与分享</w:t>
            </w:r>
          </w:p>
        </w:tc>
        <w:tc>
          <w:tcPr>
            <w:tcW w:w="7257" w:type="dxa"/>
            <w:vAlign w:val="center"/>
          </w:tcPr>
          <w:p w14:paraId="343D3C4E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积极参与小组活动，主动承担任务，乐于分享成果</w:t>
            </w:r>
          </w:p>
        </w:tc>
      </w:tr>
    </w:tbl>
    <w:p w14:paraId="6D46DD0D">
      <w:pPr>
        <w:spacing w:after="80" w:line="360" w:lineRule="auto"/>
        <w:ind w:firstLine="480"/>
      </w:pPr>
    </w:p>
    <w:p w14:paraId="10A55ED8">
      <w:pPr>
        <w:spacing w:after="80" w:line="360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表2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短评写作量规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4AB3B6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14" w:type="dxa"/>
            <w:shd w:val="clear" w:color="auto" w:fill="D9D9D9"/>
            <w:vAlign w:val="center"/>
          </w:tcPr>
          <w:p w14:paraId="0EE45AB7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维度（权重）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7BB3C03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4分·优秀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73217AE9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3分·良好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738F67A0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2分·达标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728CAF25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1分·待提高</w:t>
            </w:r>
          </w:p>
        </w:tc>
      </w:tr>
      <w:tr w14:paraId="5718A8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5DB5B2D5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观点鲜明（20%）</w:t>
            </w:r>
          </w:p>
        </w:tc>
        <w:tc>
          <w:tcPr>
            <w:tcW w:w="1814" w:type="dxa"/>
            <w:vAlign w:val="center"/>
          </w:tcPr>
          <w:p w14:paraId="4A180021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中心明确，立意有高度</w:t>
            </w:r>
          </w:p>
        </w:tc>
        <w:tc>
          <w:tcPr>
            <w:tcW w:w="1814" w:type="dxa"/>
            <w:vAlign w:val="center"/>
          </w:tcPr>
          <w:p w14:paraId="178C6FAB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中心较明确，立意正确</w:t>
            </w:r>
          </w:p>
        </w:tc>
        <w:tc>
          <w:tcPr>
            <w:tcW w:w="1814" w:type="dxa"/>
            <w:vAlign w:val="center"/>
          </w:tcPr>
          <w:p w14:paraId="04FFF69D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有中心，但不够集中</w:t>
            </w:r>
          </w:p>
        </w:tc>
        <w:tc>
          <w:tcPr>
            <w:tcW w:w="1814" w:type="dxa"/>
            <w:vAlign w:val="center"/>
          </w:tcPr>
          <w:p w14:paraId="3E413B7F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中心模糊</w:t>
            </w:r>
          </w:p>
        </w:tc>
      </w:tr>
      <w:tr w14:paraId="45A99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66AD72EE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文本依据（20%）</w:t>
            </w:r>
          </w:p>
        </w:tc>
        <w:tc>
          <w:tcPr>
            <w:tcW w:w="1814" w:type="dxa"/>
            <w:vAlign w:val="center"/>
          </w:tcPr>
          <w:p w14:paraId="2C72F39F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准确引用原文，阐释到位</w:t>
            </w:r>
          </w:p>
        </w:tc>
        <w:tc>
          <w:tcPr>
            <w:tcW w:w="1814" w:type="dxa"/>
            <w:vAlign w:val="center"/>
          </w:tcPr>
          <w:p w14:paraId="7EE9A640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引用较准确，阐释较充分</w:t>
            </w:r>
          </w:p>
        </w:tc>
        <w:tc>
          <w:tcPr>
            <w:tcW w:w="1814" w:type="dxa"/>
            <w:vAlign w:val="center"/>
          </w:tcPr>
          <w:p w14:paraId="73A8164B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有引用，阐释简单</w:t>
            </w:r>
          </w:p>
        </w:tc>
        <w:tc>
          <w:tcPr>
            <w:tcW w:w="1814" w:type="dxa"/>
            <w:vAlign w:val="center"/>
          </w:tcPr>
          <w:p w14:paraId="0E8E6BE8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缺少文本依据</w:t>
            </w:r>
          </w:p>
        </w:tc>
      </w:tr>
      <w:tr w14:paraId="1F98D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0C8A24B6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思辨深度（20%）</w:t>
            </w:r>
          </w:p>
        </w:tc>
        <w:tc>
          <w:tcPr>
            <w:tcW w:w="1814" w:type="dxa"/>
            <w:vAlign w:val="center"/>
          </w:tcPr>
          <w:p w14:paraId="6132FF07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多角度分析，有辩证思考</w:t>
            </w:r>
          </w:p>
        </w:tc>
        <w:tc>
          <w:tcPr>
            <w:tcW w:w="1814" w:type="dxa"/>
            <w:vAlign w:val="center"/>
          </w:tcPr>
          <w:p w14:paraId="67ACF50F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有分析，能正反兼顾</w:t>
            </w:r>
          </w:p>
        </w:tc>
        <w:tc>
          <w:tcPr>
            <w:tcW w:w="1814" w:type="dxa"/>
            <w:vAlign w:val="center"/>
          </w:tcPr>
          <w:p w14:paraId="0C3D7614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有分析，但较平面</w:t>
            </w:r>
          </w:p>
        </w:tc>
        <w:tc>
          <w:tcPr>
            <w:tcW w:w="1814" w:type="dxa"/>
            <w:vAlign w:val="center"/>
          </w:tcPr>
          <w:p w14:paraId="644A9B6F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观点罗列，缺少分析</w:t>
            </w:r>
          </w:p>
        </w:tc>
      </w:tr>
      <w:tr w14:paraId="07D5ED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0226B4AD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结构语言（20%）</w:t>
            </w:r>
          </w:p>
        </w:tc>
        <w:tc>
          <w:tcPr>
            <w:tcW w:w="1814" w:type="dxa"/>
            <w:vAlign w:val="center"/>
          </w:tcPr>
          <w:p w14:paraId="66920D28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层次清晰，语言凝练</w:t>
            </w:r>
          </w:p>
        </w:tc>
        <w:tc>
          <w:tcPr>
            <w:tcW w:w="1814" w:type="dxa"/>
            <w:vAlign w:val="center"/>
          </w:tcPr>
          <w:p w14:paraId="33C5025A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结构完整，语言通顺</w:t>
            </w:r>
          </w:p>
        </w:tc>
        <w:tc>
          <w:tcPr>
            <w:tcW w:w="1814" w:type="dxa"/>
            <w:vAlign w:val="center"/>
          </w:tcPr>
          <w:p w14:paraId="615CBA23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结构基本完整</w:t>
            </w:r>
          </w:p>
        </w:tc>
        <w:tc>
          <w:tcPr>
            <w:tcW w:w="1814" w:type="dxa"/>
            <w:vAlign w:val="center"/>
          </w:tcPr>
          <w:p w14:paraId="272AA6CC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结构松散，语言平淡</w:t>
            </w:r>
          </w:p>
        </w:tc>
      </w:tr>
      <w:tr w14:paraId="0CE8FA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6E50628E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文化视野（20%）</w:t>
            </w:r>
          </w:p>
        </w:tc>
        <w:tc>
          <w:tcPr>
            <w:tcW w:w="1814" w:type="dxa"/>
            <w:vAlign w:val="center"/>
          </w:tcPr>
          <w:p w14:paraId="0C74542E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古今勾连，有当代关照</w:t>
            </w:r>
          </w:p>
        </w:tc>
        <w:tc>
          <w:tcPr>
            <w:tcW w:w="1814" w:type="dxa"/>
            <w:vAlign w:val="center"/>
          </w:tcPr>
          <w:p w14:paraId="5C6DF819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能联系现实生活</w:t>
            </w:r>
          </w:p>
        </w:tc>
        <w:tc>
          <w:tcPr>
            <w:tcW w:w="1814" w:type="dxa"/>
            <w:vAlign w:val="center"/>
          </w:tcPr>
          <w:p w14:paraId="717142B1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略有联系</w:t>
            </w:r>
          </w:p>
        </w:tc>
        <w:tc>
          <w:tcPr>
            <w:tcW w:w="1814" w:type="dxa"/>
            <w:vAlign w:val="center"/>
          </w:tcPr>
          <w:p w14:paraId="1A42E154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局限于文本</w:t>
            </w:r>
          </w:p>
        </w:tc>
      </w:tr>
    </w:tbl>
    <w:p w14:paraId="347B7FF4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（四）评价实施</w:t>
      </w:r>
    </w:p>
    <w:p w14:paraId="387BACE3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第一课时侧重朗读、文言疏通与结构梳理，查“读通读懂”；第二课时侧重研习讨论与思辨表达，查“读深读透”；第三课时侧重互文比较、学规拟写与写作成果，查“读活会用”。未达标调整：对文言基础薄弱的学生提供注释支架与同伴互助；对思辨表达困难的学生提供议题切入点与范文支架，并安排二次修改。</w:t>
      </w:r>
    </w:p>
    <w:p w14:paraId="34605A6F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十、拓展阅读推荐</w:t>
      </w:r>
    </w:p>
    <w:p w14:paraId="534E5BA6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（一）必读（与课文互文精读）</w:t>
      </w:r>
    </w:p>
    <w:p w14:paraId="7E241318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《礼记·大学》（节选）“三纲领八条目”——理解“修身”在儒家思想体系中的枢纽地位；</w:t>
      </w:r>
    </w:p>
    <w:p w14:paraId="4B39C0B1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《礼记·中庸》（节选）“博学之”章——“为学之序”的原典出处；</w:t>
      </w:r>
    </w:p>
    <w:p w14:paraId="734D5CA0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朱熹《观书有感二首》——结合白鹿洞书院语境，理解“源头活水”的为学境界；</w:t>
      </w:r>
    </w:p>
    <w:p w14:paraId="2A57B5D1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王阳明《教条示龙场诸生》——与《揭示》比较阅读，认识理学与心学一脉相承又各有侧重。</w:t>
      </w:r>
    </w:p>
    <w:p w14:paraId="6C36C7D2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（二）选读（学术研读）</w:t>
      </w:r>
    </w:p>
    <w:p w14:paraId="029C4BEC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钱穆《朱子新学案》（选章）；</w:t>
      </w:r>
    </w:p>
    <w:p w14:paraId="2F52FAD5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6.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陈荣捷《朱子新探索》（选章）；</w:t>
      </w:r>
    </w:p>
    <w:p w14:paraId="2BBEED8F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7.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冯友兰《中国哲学简史》“朱熹”相关章节；</w:t>
      </w:r>
    </w:p>
    <w:p w14:paraId="642CFAC9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8.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余英时《朱熹的历史世界》（选读）；</w:t>
      </w:r>
    </w:p>
    <w:p w14:paraId="665E9275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9.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束景南《朱子大传》（选读）；</w:t>
      </w:r>
    </w:p>
    <w:p w14:paraId="291278D0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10.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陈弘谋编《五种遗规·养正遗规》（收录《白鹿洞书院揭示》）。</w:t>
      </w:r>
    </w:p>
    <w:p w14:paraId="1693EF78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（三）文化体验与阅读任务建议</w:t>
      </w:r>
    </w:p>
    <w:p w14:paraId="15201CD6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实地或线上参观白鹿洞书院（庐山五老峰南麓），观“朱子祠”《白鹿洞书院揭示》碑刻；关注书院文化主题纪录片与专题报道。建议完成：读书笔记一则、学规比较表一份、评论性文字一篇。</w:t>
      </w:r>
    </w:p>
    <w:p w14:paraId="3A1F2F72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附录A　《白鹿洞书院揭示》原文（据通行本）</w:t>
      </w:r>
    </w:p>
    <w:p w14:paraId="11D2DF4D">
      <w:pPr>
        <w:spacing w:after="8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父子有亲，君臣有义，夫妇有别，长幼有序，朋友有信。右五教之目。尧、舜使契为司徒，敬敷五教，即此是也。学者学此而已。而其所以学之之序，亦有五焉，其别如左：</w:t>
      </w:r>
    </w:p>
    <w:p w14:paraId="53EA1C42">
      <w:pPr>
        <w:spacing w:after="8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博学之，审问之，慎思之，明辨之，笃行之。右为学之序。学、问、思、辨四者，所以穷理也。若夫笃行之事，则自修身以至于处事、接物，亦各有要，其别如左：</w:t>
      </w:r>
    </w:p>
    <w:p w14:paraId="06304C35">
      <w:pPr>
        <w:spacing w:after="8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言忠信，行笃敬；惩忿窒欲，迁善改过。右修身之要。</w:t>
      </w:r>
    </w:p>
    <w:p w14:paraId="5B31B125">
      <w:pPr>
        <w:spacing w:after="8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正其义不谋其利，明其道不计其功。右处事之要。</w:t>
      </w:r>
    </w:p>
    <w:p w14:paraId="54CF37D9">
      <w:pPr>
        <w:spacing w:after="8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己所不欲，勿施于人。行有不得，反求诸己。右接物之要。</w:t>
      </w:r>
    </w:p>
    <w:p w14:paraId="57D86907">
      <w:pPr>
        <w:spacing w:after="8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熹窃观古昔圣贤所以教人为学之意，莫非使之讲明义理，以修其身，然后推以及人。非徒欲其务记览、为词章，以钓声名、取利禄而已也。今人之为学者，则既反是矣。然圣贤所以教人之法，具存于经，有志之士，固当熟读、深思而问、辨之。苟知其理之当然，而责其身以必然，则夫规矩禁防之具，岂待他人设之而后有所持循哉？近世于学有规，其待学者为已浅矣，而其为法，又未必古人之意也。故今不复以施于此堂，而特取凡圣贤所以教人为学之大端，条列如右，而揭之楣间。诸君其相与讲明遵守，而责之于身焉，则夫思虑云为之际，其所以戒谨而恐惧者，必有严于彼者矣。其有不然，而或出于此言之所弃，则彼所谓规者必将取之，固不得而略也。诸君其亦念之哉！</w:t>
      </w:r>
    </w:p>
    <w:p w14:paraId="773B94AB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注：本教案所据通行本“处事之要”作“正其义”，朱熹所本为《汉书·董仲舒传》“正其谊不谋其利，明其道不计其功”，“谊”通“义”；部分版本作“正其谊”。</w:t>
      </w:r>
    </w:p>
    <w:p w14:paraId="2F9DD2EC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附录B　文言知识梳理</w:t>
      </w:r>
    </w:p>
    <w:p w14:paraId="4ECC4A12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（一）重点实词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DA8B5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20" w:type="dxa"/>
            <w:shd w:val="clear" w:color="auto" w:fill="D9D9D9"/>
            <w:vAlign w:val="center"/>
          </w:tcPr>
          <w:p w14:paraId="289CAA00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词语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D9593AF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例句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3EC44C72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释义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2C4312CB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备注</w:t>
            </w:r>
          </w:p>
        </w:tc>
      </w:tr>
      <w:tr w14:paraId="4236A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68C0E545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亲</w:t>
            </w:r>
          </w:p>
        </w:tc>
        <w:tc>
          <w:tcPr>
            <w:tcW w:w="2494" w:type="dxa"/>
            <w:vAlign w:val="center"/>
          </w:tcPr>
          <w:p w14:paraId="6F3BD5E9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父子有亲</w:t>
            </w:r>
          </w:p>
        </w:tc>
        <w:tc>
          <w:tcPr>
            <w:tcW w:w="2381" w:type="dxa"/>
            <w:vAlign w:val="center"/>
          </w:tcPr>
          <w:p w14:paraId="09AFD2BA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亲爱，亲近之情</w:t>
            </w:r>
          </w:p>
        </w:tc>
        <w:tc>
          <w:tcPr>
            <w:tcW w:w="3175" w:type="dxa"/>
            <w:vAlign w:val="center"/>
          </w:tcPr>
          <w:p w14:paraId="5069C8A0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名词</w:t>
            </w:r>
          </w:p>
        </w:tc>
      </w:tr>
      <w:tr w14:paraId="5BBC9E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708A53A1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义</w:t>
            </w:r>
          </w:p>
        </w:tc>
        <w:tc>
          <w:tcPr>
            <w:tcW w:w="2494" w:type="dxa"/>
            <w:vAlign w:val="center"/>
          </w:tcPr>
          <w:p w14:paraId="399F9BF8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君臣有义</w:t>
            </w:r>
          </w:p>
        </w:tc>
        <w:tc>
          <w:tcPr>
            <w:tcW w:w="2381" w:type="dxa"/>
            <w:vAlign w:val="center"/>
          </w:tcPr>
          <w:p w14:paraId="73E2D7E6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道义</w:t>
            </w:r>
          </w:p>
        </w:tc>
        <w:tc>
          <w:tcPr>
            <w:tcW w:w="3175" w:type="dxa"/>
            <w:vAlign w:val="center"/>
          </w:tcPr>
          <w:p w14:paraId="3226D841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—</w:t>
            </w:r>
          </w:p>
        </w:tc>
      </w:tr>
      <w:tr w14:paraId="75C97F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3CA3CFEA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别</w:t>
            </w:r>
          </w:p>
        </w:tc>
        <w:tc>
          <w:tcPr>
            <w:tcW w:w="2494" w:type="dxa"/>
            <w:vAlign w:val="center"/>
          </w:tcPr>
          <w:p w14:paraId="05E3B7CA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夫妇有别</w:t>
            </w:r>
          </w:p>
        </w:tc>
        <w:tc>
          <w:tcPr>
            <w:tcW w:w="2381" w:type="dxa"/>
            <w:vAlign w:val="center"/>
          </w:tcPr>
          <w:p w14:paraId="24EB23AF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区别，内外有别</w:t>
            </w:r>
          </w:p>
        </w:tc>
        <w:tc>
          <w:tcPr>
            <w:tcW w:w="3175" w:type="dxa"/>
            <w:vAlign w:val="center"/>
          </w:tcPr>
          <w:p w14:paraId="5BA419D4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—</w:t>
            </w:r>
          </w:p>
        </w:tc>
      </w:tr>
      <w:tr w14:paraId="12D54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360A13A8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序</w:t>
            </w:r>
          </w:p>
        </w:tc>
        <w:tc>
          <w:tcPr>
            <w:tcW w:w="2494" w:type="dxa"/>
            <w:vAlign w:val="center"/>
          </w:tcPr>
          <w:p w14:paraId="48525F76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长幼有序</w:t>
            </w:r>
          </w:p>
        </w:tc>
        <w:tc>
          <w:tcPr>
            <w:tcW w:w="2381" w:type="dxa"/>
            <w:vAlign w:val="center"/>
          </w:tcPr>
          <w:p w14:paraId="62986988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次序</w:t>
            </w:r>
          </w:p>
        </w:tc>
        <w:tc>
          <w:tcPr>
            <w:tcW w:w="3175" w:type="dxa"/>
            <w:vAlign w:val="center"/>
          </w:tcPr>
          <w:p w14:paraId="55662CFD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—</w:t>
            </w:r>
          </w:p>
        </w:tc>
      </w:tr>
      <w:tr w14:paraId="496DD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7A928169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信</w:t>
            </w:r>
          </w:p>
        </w:tc>
        <w:tc>
          <w:tcPr>
            <w:tcW w:w="2494" w:type="dxa"/>
            <w:vAlign w:val="center"/>
          </w:tcPr>
          <w:p w14:paraId="648B6721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朋友有信</w:t>
            </w:r>
          </w:p>
        </w:tc>
        <w:tc>
          <w:tcPr>
            <w:tcW w:w="2381" w:type="dxa"/>
            <w:vAlign w:val="center"/>
          </w:tcPr>
          <w:p w14:paraId="34002534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诚信</w:t>
            </w:r>
          </w:p>
        </w:tc>
        <w:tc>
          <w:tcPr>
            <w:tcW w:w="3175" w:type="dxa"/>
            <w:vAlign w:val="center"/>
          </w:tcPr>
          <w:p w14:paraId="0DDFBBBA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—</w:t>
            </w:r>
          </w:p>
        </w:tc>
      </w:tr>
      <w:tr w14:paraId="692FC4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14171698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敷</w:t>
            </w:r>
          </w:p>
        </w:tc>
        <w:tc>
          <w:tcPr>
            <w:tcW w:w="2494" w:type="dxa"/>
            <w:vAlign w:val="center"/>
          </w:tcPr>
          <w:p w14:paraId="2F284624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敬敷五教</w:t>
            </w:r>
          </w:p>
        </w:tc>
        <w:tc>
          <w:tcPr>
            <w:tcW w:w="2381" w:type="dxa"/>
            <w:vAlign w:val="center"/>
          </w:tcPr>
          <w:p w14:paraId="56790FF1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施，施行</w:t>
            </w:r>
          </w:p>
        </w:tc>
        <w:tc>
          <w:tcPr>
            <w:tcW w:w="3175" w:type="dxa"/>
            <w:vAlign w:val="center"/>
          </w:tcPr>
          <w:p w14:paraId="1A11C087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《尚书》《孟子》用语</w:t>
            </w:r>
          </w:p>
        </w:tc>
      </w:tr>
      <w:tr w14:paraId="33DE87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49711480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笃</w:t>
            </w:r>
          </w:p>
        </w:tc>
        <w:tc>
          <w:tcPr>
            <w:tcW w:w="2494" w:type="dxa"/>
            <w:vAlign w:val="center"/>
          </w:tcPr>
          <w:p w14:paraId="3EDBE560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笃行之</w:t>
            </w:r>
          </w:p>
        </w:tc>
        <w:tc>
          <w:tcPr>
            <w:tcW w:w="2381" w:type="dxa"/>
            <w:vAlign w:val="center"/>
          </w:tcPr>
          <w:p w14:paraId="098A33F5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忠实，切实</w:t>
            </w:r>
          </w:p>
        </w:tc>
        <w:tc>
          <w:tcPr>
            <w:tcW w:w="3175" w:type="dxa"/>
            <w:vAlign w:val="center"/>
          </w:tcPr>
          <w:p w14:paraId="3890A04A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“笃行”即切实履行</w:t>
            </w:r>
          </w:p>
        </w:tc>
      </w:tr>
      <w:tr w14:paraId="02A14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22224875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惩</w:t>
            </w:r>
          </w:p>
        </w:tc>
        <w:tc>
          <w:tcPr>
            <w:tcW w:w="2494" w:type="dxa"/>
            <w:vAlign w:val="center"/>
          </w:tcPr>
          <w:p w14:paraId="7703F02C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惩忿窒欲</w:t>
            </w:r>
          </w:p>
        </w:tc>
        <w:tc>
          <w:tcPr>
            <w:tcW w:w="2381" w:type="dxa"/>
            <w:vAlign w:val="center"/>
          </w:tcPr>
          <w:p w14:paraId="58D945D5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戒止，遏制</w:t>
            </w:r>
          </w:p>
        </w:tc>
        <w:tc>
          <w:tcPr>
            <w:tcW w:w="3175" w:type="dxa"/>
            <w:vAlign w:val="center"/>
          </w:tcPr>
          <w:p w14:paraId="7669CE12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《周易·损》</w:t>
            </w:r>
          </w:p>
        </w:tc>
      </w:tr>
      <w:tr w14:paraId="52187D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0A9DF881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窒</w:t>
            </w:r>
          </w:p>
        </w:tc>
        <w:tc>
          <w:tcPr>
            <w:tcW w:w="2494" w:type="dxa"/>
            <w:vAlign w:val="center"/>
          </w:tcPr>
          <w:p w14:paraId="4EA0DDE3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惩忿窒欲</w:t>
            </w:r>
          </w:p>
        </w:tc>
        <w:tc>
          <w:tcPr>
            <w:tcW w:w="2381" w:type="dxa"/>
            <w:vAlign w:val="center"/>
          </w:tcPr>
          <w:p w14:paraId="247770F1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堵塞，抑制</w:t>
            </w:r>
          </w:p>
        </w:tc>
        <w:tc>
          <w:tcPr>
            <w:tcW w:w="3175" w:type="dxa"/>
            <w:vAlign w:val="center"/>
          </w:tcPr>
          <w:p w14:paraId="0E9CD5DA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—</w:t>
            </w:r>
          </w:p>
        </w:tc>
      </w:tr>
      <w:tr w14:paraId="31716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24100C8E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迁</w:t>
            </w:r>
          </w:p>
        </w:tc>
        <w:tc>
          <w:tcPr>
            <w:tcW w:w="2494" w:type="dxa"/>
            <w:vAlign w:val="center"/>
          </w:tcPr>
          <w:p w14:paraId="3161EC35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迁善改过</w:t>
            </w:r>
          </w:p>
        </w:tc>
        <w:tc>
          <w:tcPr>
            <w:tcW w:w="2381" w:type="dxa"/>
            <w:vAlign w:val="center"/>
          </w:tcPr>
          <w:p w14:paraId="7A7B4771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迁向，趋向</w:t>
            </w:r>
          </w:p>
        </w:tc>
        <w:tc>
          <w:tcPr>
            <w:tcW w:w="3175" w:type="dxa"/>
            <w:vAlign w:val="center"/>
          </w:tcPr>
          <w:p w14:paraId="441132DC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《周易·益》“见善则迁，有过则改”</w:t>
            </w:r>
          </w:p>
        </w:tc>
      </w:tr>
      <w:tr w14:paraId="3BAF94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0D2EB252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谋</w:t>
            </w:r>
          </w:p>
        </w:tc>
        <w:tc>
          <w:tcPr>
            <w:tcW w:w="2494" w:type="dxa"/>
            <w:vAlign w:val="center"/>
          </w:tcPr>
          <w:p w14:paraId="5FEBE4C9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不谋其利</w:t>
            </w:r>
          </w:p>
        </w:tc>
        <w:tc>
          <w:tcPr>
            <w:tcW w:w="2381" w:type="dxa"/>
            <w:vAlign w:val="center"/>
          </w:tcPr>
          <w:p w14:paraId="0688F064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图谋，追求</w:t>
            </w:r>
          </w:p>
        </w:tc>
        <w:tc>
          <w:tcPr>
            <w:tcW w:w="3175" w:type="dxa"/>
            <w:vAlign w:val="center"/>
          </w:tcPr>
          <w:p w14:paraId="72C23D92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—</w:t>
            </w:r>
          </w:p>
        </w:tc>
      </w:tr>
      <w:tr w14:paraId="405CF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3BED3283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计</w:t>
            </w:r>
          </w:p>
        </w:tc>
        <w:tc>
          <w:tcPr>
            <w:tcW w:w="2494" w:type="dxa"/>
            <w:vAlign w:val="center"/>
          </w:tcPr>
          <w:p w14:paraId="118615D4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不计其功</w:t>
            </w:r>
          </w:p>
        </w:tc>
        <w:tc>
          <w:tcPr>
            <w:tcW w:w="2381" w:type="dxa"/>
            <w:vAlign w:val="center"/>
          </w:tcPr>
          <w:p w14:paraId="5A3211FF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计较</w:t>
            </w:r>
          </w:p>
        </w:tc>
        <w:tc>
          <w:tcPr>
            <w:tcW w:w="3175" w:type="dxa"/>
            <w:vAlign w:val="center"/>
          </w:tcPr>
          <w:p w14:paraId="392BFE7D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—</w:t>
            </w:r>
          </w:p>
        </w:tc>
      </w:tr>
      <w:tr w14:paraId="6DC06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13143775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施</w:t>
            </w:r>
          </w:p>
        </w:tc>
        <w:tc>
          <w:tcPr>
            <w:tcW w:w="2494" w:type="dxa"/>
            <w:vAlign w:val="center"/>
          </w:tcPr>
          <w:p w14:paraId="2975CEE9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勿施于人</w:t>
            </w:r>
          </w:p>
        </w:tc>
        <w:tc>
          <w:tcPr>
            <w:tcW w:w="2381" w:type="dxa"/>
            <w:vAlign w:val="center"/>
          </w:tcPr>
          <w:p w14:paraId="55EF9C83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施加，强加</w:t>
            </w:r>
          </w:p>
        </w:tc>
        <w:tc>
          <w:tcPr>
            <w:tcW w:w="3175" w:type="dxa"/>
            <w:vAlign w:val="center"/>
          </w:tcPr>
          <w:p w14:paraId="4073D03A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—</w:t>
            </w:r>
          </w:p>
        </w:tc>
      </w:tr>
      <w:tr w14:paraId="3EFCA3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49641FF7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反</w:t>
            </w:r>
          </w:p>
        </w:tc>
        <w:tc>
          <w:tcPr>
            <w:tcW w:w="2494" w:type="dxa"/>
            <w:vAlign w:val="center"/>
          </w:tcPr>
          <w:p w14:paraId="2B83A419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反求诸己</w:t>
            </w:r>
          </w:p>
        </w:tc>
        <w:tc>
          <w:tcPr>
            <w:tcW w:w="2381" w:type="dxa"/>
            <w:vAlign w:val="center"/>
          </w:tcPr>
          <w:p w14:paraId="30A2CE20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反省，同“返”</w:t>
            </w:r>
          </w:p>
        </w:tc>
        <w:tc>
          <w:tcPr>
            <w:tcW w:w="3175" w:type="dxa"/>
            <w:vAlign w:val="center"/>
          </w:tcPr>
          <w:p w14:paraId="476D5A16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—</w:t>
            </w:r>
          </w:p>
        </w:tc>
      </w:tr>
      <w:tr w14:paraId="60FE9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6BBEB405">
            <w:pPr>
              <w:spacing w:before="40" w:after="4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诸</w:t>
            </w:r>
          </w:p>
        </w:tc>
        <w:tc>
          <w:tcPr>
            <w:tcW w:w="2494" w:type="dxa"/>
            <w:vAlign w:val="center"/>
          </w:tcPr>
          <w:p w14:paraId="5631E816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反求诸己</w:t>
            </w:r>
          </w:p>
        </w:tc>
        <w:tc>
          <w:tcPr>
            <w:tcW w:w="2381" w:type="dxa"/>
            <w:vAlign w:val="center"/>
          </w:tcPr>
          <w:p w14:paraId="1B1B1DB3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之于</w:t>
            </w:r>
          </w:p>
        </w:tc>
        <w:tc>
          <w:tcPr>
            <w:tcW w:w="3175" w:type="dxa"/>
            <w:vAlign w:val="center"/>
          </w:tcPr>
          <w:p w14:paraId="1BA0066F"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兼词</w:t>
            </w:r>
          </w:p>
        </w:tc>
      </w:tr>
    </w:tbl>
    <w:p w14:paraId="6D4B717D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（二）重点虚词与句式</w:t>
      </w:r>
    </w:p>
    <w:p w14:paraId="33DA896C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要点：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“之”：助词“的”（“五教之目”）；代词（“博学之”代所学之事）。“而”：表并列或承接（“惩忿窒欲，迁善改过”“博学之……笃行之”）。“于”：介词，向、对（“勿施于人”）。“所”：所字结构（“己所不欲”）。句式：①介词结构后置——“勿施于人”“反求诸己”；②省略句——“（学者）学此而已”“（行）有不得”；③“所”字结构作主语——“己所不欲，勿施于人”。</w:t>
      </w:r>
    </w:p>
    <w:p w14:paraId="61AA8267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（三）文化常识</w:t>
      </w:r>
    </w:p>
    <w:p w14:paraId="09B2886D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1. 书院：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中国古代聚徒讲学、学术研究的教育机构，宋代兴盛，白鹿洞、岳麓、嵩阳、应天并称“四大书院”；</w:t>
      </w:r>
    </w:p>
    <w:p w14:paraId="34DB5F5F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2. 五伦、五教：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儒家五种人伦关系及相应教化，见《孟子·滕文公上》“教以人伦”；</w:t>
      </w:r>
    </w:p>
    <w:p w14:paraId="54604FCF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3. 四书：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《大学》《中庸》《论语》《孟子》，朱熹编定《四书章句集注》；</w:t>
      </w:r>
    </w:p>
    <w:p w14:paraId="743211B7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4. 《周易》损益：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“惩忿窒欲”“迁善改过”出《周易·损》《益》二卦象传；</w:t>
      </w:r>
    </w:p>
    <w:p w14:paraId="72BCB505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5. 十六字心传：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“人心惟危，道心惟微”出《尚书·大禹谟》；</w:t>
      </w:r>
    </w:p>
    <w:p w14:paraId="3D030D06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6. 董仲舒：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西汉大儒，“正其谊不谋其利，明其道不计其功”见《汉书·董仲舒传》；</w:t>
      </w:r>
    </w:p>
    <w:p w14:paraId="2DB01265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7. 朱陆讲会：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淳熙八年（1181年）朱熹请陆九渊至白鹿洞书院讲“君子喻于义，小人喻于利”，为书院史上有名的“朱陆讲会”。</w:t>
      </w:r>
    </w:p>
    <w:p w14:paraId="6155E1BD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附录C　主要参考来源</w:t>
      </w:r>
    </w:p>
    <w:p w14:paraId="7F9B4AE3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教育部《普通高中语文课程标准（2017年版2025年修订）》，2025年10月印发；</w:t>
      </w:r>
    </w:p>
    <w:p w14:paraId="6BCB2055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《普通高中语文课程标准（2017年版2020年修订）》，教育部，课程教材研究所发布；</w:t>
      </w:r>
    </w:p>
    <w:p w14:paraId="5807236F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中国孔子网《白鹿洞书院学规》文本；</w:t>
      </w:r>
    </w:p>
    <w:p w14:paraId="14D7C1A3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新华网《800多年前“学规”何以成为东亚文明教育范本？》，2026年4月；</w:t>
      </w:r>
    </w:p>
    <w:p w14:paraId="3EAEF90F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《光明日报》《寻访白鹿洞书院》，2012年9月10日；</w:t>
      </w:r>
    </w:p>
    <w:p w14:paraId="02BD4E64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6.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庐山市人民政府“印象庐山·历史名人”之“朱熹”条；</w:t>
      </w:r>
    </w:p>
    <w:p w14:paraId="5DF46260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7.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中国作家网《白鹿洞之会上发生了什么？》，2021年4月6日；</w:t>
      </w:r>
    </w:p>
    <w:p w14:paraId="28094F2B">
      <w:pPr>
        <w:spacing w:after="80" w:line="360" w:lineRule="auto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 xml:space="preserve">8.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儒家网：朱杰人《传统书院的当代复兴》、韩星《朱熹〈白鹿洞书院揭示〉考论及其现实意义》。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A57D4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9C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240" w:line="240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9707</Words>
  <Characters>9954</Characters>
  <Lines>0</Lines>
  <Paragraphs>0</Paragraphs>
  <TotalTime>1</TotalTime>
  <ScaleCrop>false</ScaleCrop>
  <LinksUpToDate>false</LinksUpToDate>
  <CharactersWithSpaces>10077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Whaoe</cp:lastModifiedBy>
  <dcterms:modified xsi:type="dcterms:W3CDTF">2026-09-19T11:15:00Z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C3DA23203F6F4DA9B4487A15E980A6DB_13</vt:lpwstr>
  </property>
</Properties>
</file>