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E4729">
      <w:pPr>
        <w:rPr>
          <w:b/>
          <w:bCs/>
          <w:sz w:val="30"/>
          <w:szCs w:val="30"/>
        </w:rPr>
      </w:pPr>
      <w:r>
        <w:rPr>
          <w:rFonts w:hint="eastAsia"/>
          <w:b/>
          <w:bCs/>
          <w:sz w:val="30"/>
          <w:szCs w:val="30"/>
        </w:rPr>
        <w:t>1、“先忧后乐——范仲淹精神”跨学科项目式学习方案</w:t>
      </w:r>
    </w:p>
    <w:p w14:paraId="273E472A">
      <w:pPr>
        <w:rPr>
          <w:b/>
          <w:bCs/>
          <w:sz w:val="30"/>
          <w:szCs w:val="30"/>
        </w:rPr>
      </w:pPr>
      <w:r>
        <w:rPr>
          <w:rFonts w:hint="eastAsia"/>
          <w:b/>
          <w:bCs/>
          <w:sz w:val="30"/>
          <w:szCs w:val="30"/>
        </w:rPr>
        <w:t>学科：语文  学段：初中</w:t>
      </w:r>
    </w:p>
    <w:p w14:paraId="273E472B">
      <w:pPr>
        <w:jc w:val="center"/>
        <w:rPr>
          <w:rFonts w:ascii="楷体" w:hAnsi="楷体" w:eastAsia="楷体"/>
          <w:b/>
          <w:sz w:val="48"/>
          <w:szCs w:val="48"/>
        </w:rPr>
      </w:pPr>
      <w:r>
        <w:drawing>
          <wp:anchor distT="0" distB="0" distL="0" distR="0" simplePos="0" relativeHeight="251659264" behindDoc="0" locked="0" layoutInCell="0" allowOverlap="1">
            <wp:simplePos x="0" y="0"/>
            <wp:positionH relativeFrom="page">
              <wp:posOffset>11074400</wp:posOffset>
            </wp:positionH>
            <wp:positionV relativeFrom="topMargin">
              <wp:posOffset>11760200</wp:posOffset>
            </wp:positionV>
            <wp:extent cx="419100" cy="381000"/>
            <wp:effectExtent l="0" t="0" r="0" b="0"/>
            <wp:wrapNone/>
            <wp:docPr id="1"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16"/>
                    <pic:cNvPicPr>
                      <a:picLocks noChangeAspect="1" noChangeArrowheads="1"/>
                    </pic:cNvPicPr>
                  </pic:nvPicPr>
                  <pic:blipFill>
                    <a:blip r:embed="rId4"/>
                    <a:stretch>
                      <a:fillRect/>
                    </a:stretch>
                  </pic:blipFill>
                  <pic:spPr>
                    <a:xfrm>
                      <a:off x="0" y="0"/>
                      <a:ext cx="419100" cy="381000"/>
                    </a:xfrm>
                    <a:prstGeom prst="rect">
                      <a:avLst/>
                    </a:prstGeom>
                  </pic:spPr>
                </pic:pic>
              </a:graphicData>
            </a:graphic>
          </wp:anchor>
        </w:drawing>
      </w:r>
      <w:r>
        <w:rPr>
          <w:rFonts w:ascii="楷体" w:hAnsi="楷体" w:eastAsia="楷体"/>
          <w:b/>
          <w:sz w:val="32"/>
          <w:szCs w:val="32"/>
        </w:rPr>
        <w:t>2025-2026学年范仲淹的故事教案</w:t>
      </w:r>
    </w:p>
    <w:p w14:paraId="273E472C">
      <w:pPr>
        <w:ind w:firstLine="2560"/>
        <w:jc w:val="left"/>
        <w:rPr>
          <w:rFonts w:ascii="宋体" w:hAnsi="宋体"/>
          <w:sz w:val="24"/>
        </w:rPr>
      </w:pPr>
      <w:r>
        <w:rPr>
          <w:rFonts w:ascii="宋体" w:hAnsi="宋体"/>
          <w:sz w:val="32"/>
          <w:szCs w:val="32"/>
        </w:rPr>
        <w:t xml:space="preserve">              </w:t>
      </w:r>
    </w:p>
    <w:tbl>
      <w:tblPr>
        <w:tblStyle w:val="3"/>
        <w:tblW w:w="8119" w:type="dxa"/>
        <w:tblInd w:w="-80" w:type="dxa"/>
        <w:tblLayout w:type="fixed"/>
        <w:tblCellMar>
          <w:top w:w="0" w:type="dxa"/>
          <w:left w:w="28" w:type="dxa"/>
          <w:bottom w:w="0" w:type="dxa"/>
          <w:right w:w="28" w:type="dxa"/>
        </w:tblCellMar>
      </w:tblPr>
      <w:tblGrid>
        <w:gridCol w:w="453"/>
        <w:gridCol w:w="230"/>
        <w:gridCol w:w="1203"/>
        <w:gridCol w:w="1148"/>
        <w:gridCol w:w="2542"/>
        <w:gridCol w:w="758"/>
        <w:gridCol w:w="512"/>
        <w:gridCol w:w="1273"/>
      </w:tblGrid>
      <w:tr w14:paraId="273E472F">
        <w:tblPrEx>
          <w:tblCellMar>
            <w:top w:w="0" w:type="dxa"/>
            <w:left w:w="28" w:type="dxa"/>
            <w:bottom w:w="0" w:type="dxa"/>
            <w:right w:w="28" w:type="dxa"/>
          </w:tblCellMar>
        </w:tblPrEx>
        <w:trPr>
          <w:trHeight w:val="320" w:hRule="atLeast"/>
        </w:trPr>
        <w:tc>
          <w:tcPr>
            <w:tcW w:w="683" w:type="dxa"/>
            <w:gridSpan w:val="2"/>
            <w:tcBorders>
              <w:top w:val="single" w:color="000000" w:sz="4" w:space="0"/>
              <w:left w:val="single" w:color="000000" w:sz="4" w:space="0"/>
              <w:bottom w:val="single" w:color="000000" w:sz="4" w:space="0"/>
              <w:right w:val="single" w:color="000000" w:sz="4" w:space="0"/>
            </w:tcBorders>
            <w:vAlign w:val="center"/>
          </w:tcPr>
          <w:p w14:paraId="273E472D">
            <w:pPr>
              <w:jc w:val="left"/>
              <w:rPr>
                <w:rFonts w:ascii="楷体" w:hAnsi="楷体" w:eastAsia="楷体"/>
                <w:b/>
                <w:sz w:val="24"/>
              </w:rPr>
            </w:pPr>
            <w:r>
              <w:rPr>
                <w:rFonts w:ascii="楷体" w:hAnsi="楷体" w:eastAsia="楷体"/>
                <w:b/>
                <w:sz w:val="24"/>
              </w:rPr>
              <w:t>主备人</w:t>
            </w:r>
          </w:p>
        </w:tc>
        <w:tc>
          <w:tcPr>
            <w:tcW w:w="7436" w:type="dxa"/>
            <w:gridSpan w:val="6"/>
            <w:tcBorders>
              <w:top w:val="single" w:color="000000" w:sz="4" w:space="0"/>
              <w:left w:val="single" w:color="000000" w:sz="4" w:space="0"/>
              <w:bottom w:val="single" w:color="000000" w:sz="4" w:space="0"/>
              <w:right w:val="single" w:color="000000" w:sz="4" w:space="0"/>
            </w:tcBorders>
            <w:vAlign w:val="center"/>
          </w:tcPr>
          <w:p w14:paraId="273E472E">
            <w:pPr>
              <w:jc w:val="left"/>
              <w:rPr>
                <w:rFonts w:ascii="楷体" w:hAnsi="楷体" w:eastAsia="楷体"/>
                <w:b/>
                <w:sz w:val="24"/>
              </w:rPr>
            </w:pPr>
          </w:p>
        </w:tc>
      </w:tr>
      <w:tr w14:paraId="273E4732">
        <w:tblPrEx>
          <w:tblCellMar>
            <w:top w:w="0" w:type="dxa"/>
            <w:left w:w="28" w:type="dxa"/>
            <w:bottom w:w="0" w:type="dxa"/>
            <w:right w:w="28" w:type="dxa"/>
          </w:tblCellMar>
        </w:tblPrEx>
        <w:trPr>
          <w:trHeight w:val="629" w:hRule="atLeast"/>
        </w:trPr>
        <w:tc>
          <w:tcPr>
            <w:tcW w:w="453" w:type="dxa"/>
            <w:tcBorders>
              <w:top w:val="single" w:color="000000" w:sz="4" w:space="0"/>
              <w:left w:val="single" w:color="000000" w:sz="4" w:space="0"/>
              <w:bottom w:val="single" w:color="000000" w:sz="4" w:space="0"/>
              <w:right w:val="single" w:color="000000" w:sz="4" w:space="0"/>
            </w:tcBorders>
            <w:vAlign w:val="center"/>
          </w:tcPr>
          <w:p w14:paraId="273E4730">
            <w:pPr>
              <w:jc w:val="left"/>
              <w:rPr>
                <w:rFonts w:ascii="楷体" w:hAnsi="楷体" w:eastAsia="楷体"/>
                <w:b/>
                <w:sz w:val="24"/>
              </w:rPr>
            </w:pPr>
            <w:r>
              <w:rPr>
                <w:rFonts w:ascii="楷体" w:hAnsi="楷体" w:eastAsia="楷体"/>
                <w:b/>
                <w:sz w:val="24"/>
              </w:rPr>
              <w:t>备课成员</w:t>
            </w:r>
          </w:p>
        </w:tc>
        <w:tc>
          <w:tcPr>
            <w:tcW w:w="7666" w:type="dxa"/>
            <w:gridSpan w:val="7"/>
            <w:tcBorders>
              <w:top w:val="single" w:color="000000" w:sz="4" w:space="0"/>
              <w:left w:val="single" w:color="000000" w:sz="4" w:space="0"/>
              <w:bottom w:val="single" w:color="000000" w:sz="4" w:space="0"/>
              <w:right w:val="single" w:color="000000" w:sz="4" w:space="0"/>
            </w:tcBorders>
            <w:vAlign w:val="center"/>
          </w:tcPr>
          <w:p w14:paraId="273E4731">
            <w:pPr>
              <w:jc w:val="left"/>
              <w:rPr>
                <w:rFonts w:ascii="楷体" w:hAnsi="楷体" w:eastAsia="楷体"/>
                <w:b/>
                <w:sz w:val="24"/>
              </w:rPr>
            </w:pPr>
          </w:p>
        </w:tc>
      </w:tr>
      <w:tr w14:paraId="273E4735">
        <w:tblPrEx>
          <w:tblCellMar>
            <w:top w:w="0" w:type="dxa"/>
            <w:left w:w="28" w:type="dxa"/>
            <w:bottom w:w="0" w:type="dxa"/>
            <w:right w:w="28" w:type="dxa"/>
          </w:tblCellMar>
        </w:tblPrEx>
        <w:trPr>
          <w:trHeight w:val="1865" w:hRule="atLeast"/>
        </w:trPr>
        <w:tc>
          <w:tcPr>
            <w:tcW w:w="453" w:type="dxa"/>
            <w:tcBorders>
              <w:top w:val="single" w:color="000000" w:sz="4" w:space="0"/>
              <w:left w:val="single" w:color="000000" w:sz="4" w:space="0"/>
              <w:bottom w:val="single" w:color="000000" w:sz="4" w:space="0"/>
              <w:right w:val="single" w:color="000000" w:sz="4" w:space="0"/>
            </w:tcBorders>
            <w:vAlign w:val="center"/>
          </w:tcPr>
          <w:p w14:paraId="273E4733">
            <w:pPr>
              <w:jc w:val="left"/>
              <w:rPr>
                <w:rFonts w:ascii="楷体" w:hAnsi="楷体" w:eastAsia="楷体"/>
                <w:b/>
                <w:sz w:val="24"/>
              </w:rPr>
            </w:pPr>
            <w:r>
              <w:rPr>
                <w:rFonts w:ascii="楷体" w:hAnsi="楷体" w:eastAsia="楷体"/>
                <w:b/>
                <w:sz w:val="24"/>
              </w:rPr>
              <w:t>教学内容分析</w:t>
            </w:r>
          </w:p>
        </w:tc>
        <w:tc>
          <w:tcPr>
            <w:tcW w:w="7666" w:type="dxa"/>
            <w:gridSpan w:val="7"/>
            <w:tcBorders>
              <w:top w:val="single" w:color="000000" w:sz="4" w:space="0"/>
              <w:left w:val="single" w:color="000000" w:sz="4" w:space="0"/>
              <w:bottom w:val="single" w:color="000000" w:sz="4" w:space="0"/>
              <w:right w:val="single" w:color="000000" w:sz="4" w:space="0"/>
            </w:tcBorders>
            <w:vAlign w:val="center"/>
          </w:tcPr>
          <w:p w14:paraId="273E4734">
            <w:pPr>
              <w:jc w:val="left"/>
              <w:rPr>
                <w:rFonts w:ascii="楷体" w:hAnsi="楷体" w:eastAsia="楷体"/>
                <w:bCs/>
                <w:sz w:val="24"/>
              </w:rPr>
            </w:pPr>
            <w:r>
              <w:rPr>
                <w:rFonts w:ascii="楷体" w:hAnsi="楷体" w:eastAsia="楷体"/>
                <w:bCs/>
                <w:sz w:val="24"/>
              </w:rPr>
              <w:t>本节课主要围绕范仲淹“先天下之忧而忧，后天下之乐而乐”的千古名句展开，结合《岳阳楼记》全文及《范仲淹传》相关史料，分析其忧国忧民的政治抱负与人格魅力。教学内容涵盖范仲淹的生平事迹、《岳阳楼记》的创作背景及核心思想解读。该内容紧密关联八年级下册教材，旨在引导学生深入理解儒家“修身齐家治国平天下”的核心价值观，探讨古代士大夫的责任担当，为后续学习文言文及理解古代文化精神奠定坚实基础，符合初中历史与语文融合教学的实际要求。</w:t>
            </w:r>
          </w:p>
        </w:tc>
      </w:tr>
      <w:tr w14:paraId="273E4738">
        <w:tblPrEx>
          <w:tblCellMar>
            <w:top w:w="0" w:type="dxa"/>
            <w:left w:w="28" w:type="dxa"/>
            <w:bottom w:w="0" w:type="dxa"/>
            <w:right w:w="28" w:type="dxa"/>
          </w:tblCellMar>
        </w:tblPrEx>
        <w:trPr>
          <w:trHeight w:val="1865" w:hRule="atLeast"/>
        </w:trPr>
        <w:tc>
          <w:tcPr>
            <w:tcW w:w="453" w:type="dxa"/>
            <w:tcBorders>
              <w:top w:val="single" w:color="000000" w:sz="4" w:space="0"/>
              <w:left w:val="single" w:color="000000" w:sz="4" w:space="0"/>
              <w:bottom w:val="single" w:color="000000" w:sz="4" w:space="0"/>
              <w:right w:val="single" w:color="000000" w:sz="4" w:space="0"/>
            </w:tcBorders>
            <w:vAlign w:val="center"/>
          </w:tcPr>
          <w:p w14:paraId="273E4736">
            <w:pPr>
              <w:jc w:val="left"/>
              <w:rPr>
                <w:rFonts w:ascii="楷体" w:hAnsi="楷体" w:eastAsia="楷体"/>
                <w:b/>
                <w:sz w:val="24"/>
              </w:rPr>
            </w:pPr>
            <w:r>
              <w:rPr>
                <w:rFonts w:ascii="楷体" w:hAnsi="楷体" w:eastAsia="楷体"/>
                <w:b/>
                <w:sz w:val="24"/>
              </w:rPr>
              <w:t>核心素养目标分析</w:t>
            </w:r>
          </w:p>
        </w:tc>
        <w:tc>
          <w:tcPr>
            <w:tcW w:w="7666" w:type="dxa"/>
            <w:gridSpan w:val="7"/>
            <w:tcBorders>
              <w:top w:val="single" w:color="000000" w:sz="4" w:space="0"/>
              <w:left w:val="single" w:color="000000" w:sz="4" w:space="0"/>
              <w:bottom w:val="single" w:color="000000" w:sz="4" w:space="0"/>
              <w:right w:val="single" w:color="000000" w:sz="4" w:space="0"/>
            </w:tcBorders>
            <w:vAlign w:val="center"/>
          </w:tcPr>
          <w:p w14:paraId="273E4737">
            <w:pPr>
              <w:jc w:val="left"/>
              <w:rPr>
                <w:rFonts w:ascii="楷体" w:hAnsi="楷体" w:eastAsia="楷体"/>
                <w:b/>
                <w:sz w:val="24"/>
              </w:rPr>
            </w:pPr>
            <w:r>
              <w:rPr>
                <w:rFonts w:ascii="楷体" w:hAnsi="楷体" w:eastAsia="楷体"/>
                <w:bCs/>
                <w:sz w:val="24"/>
              </w:rPr>
              <w:t>本课聚焦于“家国情怀”与“文化传承”两大核心素养。通过研读《岳阳楼记》，学生将内化范仲淹“先忧后乐”的宏大格局，培养以天下为己任的责任感与家国情怀。在历史维度，引导学生辩证看待个人命运与国家兴亡的关系，理解古代士大夫“修身齐家治国平天下”的担当精神，从而树立正确的人生观与价值观。同时，结合现代语境，探讨传统文化精神对当代青少年的意义，旨在落实立德树人根本任务，使学生在理解经典的同时，汲取古今智慧，增强文化自信。</w:t>
            </w:r>
          </w:p>
        </w:tc>
      </w:tr>
      <w:tr w14:paraId="273E473B">
        <w:tblPrEx>
          <w:tblCellMar>
            <w:top w:w="0" w:type="dxa"/>
            <w:left w:w="28" w:type="dxa"/>
            <w:bottom w:w="0" w:type="dxa"/>
            <w:right w:w="28" w:type="dxa"/>
          </w:tblCellMar>
        </w:tblPrEx>
        <w:trPr>
          <w:trHeight w:val="1865" w:hRule="atLeast"/>
        </w:trPr>
        <w:tc>
          <w:tcPr>
            <w:tcW w:w="453" w:type="dxa"/>
            <w:tcBorders>
              <w:top w:val="single" w:color="000000" w:sz="4" w:space="0"/>
              <w:left w:val="single" w:color="000000" w:sz="4" w:space="0"/>
              <w:bottom w:val="single" w:color="000000" w:sz="4" w:space="0"/>
              <w:right w:val="single" w:color="000000" w:sz="4" w:space="0"/>
            </w:tcBorders>
            <w:vAlign w:val="center"/>
          </w:tcPr>
          <w:p w14:paraId="273E4739">
            <w:pPr>
              <w:jc w:val="left"/>
              <w:rPr>
                <w:rFonts w:ascii="楷体" w:hAnsi="楷体" w:eastAsia="楷体"/>
                <w:b/>
                <w:sz w:val="24"/>
              </w:rPr>
            </w:pPr>
            <w:r>
              <w:rPr>
                <w:rFonts w:ascii="楷体" w:hAnsi="楷体" w:eastAsia="楷体"/>
                <w:b/>
                <w:sz w:val="24"/>
              </w:rPr>
              <w:t>重点难点及解决办法</w:t>
            </w:r>
          </w:p>
        </w:tc>
        <w:tc>
          <w:tcPr>
            <w:tcW w:w="7666" w:type="dxa"/>
            <w:gridSpan w:val="7"/>
            <w:tcBorders>
              <w:top w:val="single" w:color="000000" w:sz="4" w:space="0"/>
              <w:left w:val="single" w:color="000000" w:sz="4" w:space="0"/>
              <w:bottom w:val="single" w:color="000000" w:sz="4" w:space="0"/>
              <w:right w:val="single" w:color="000000" w:sz="4" w:space="0"/>
            </w:tcBorders>
            <w:vAlign w:val="center"/>
          </w:tcPr>
          <w:p w14:paraId="273E473A">
            <w:pPr>
              <w:jc w:val="left"/>
              <w:rPr>
                <w:rFonts w:ascii="楷体" w:hAnsi="楷体" w:eastAsia="楷体"/>
                <w:bCs/>
                <w:sz w:val="24"/>
              </w:rPr>
            </w:pPr>
            <w:r>
              <w:rPr>
                <w:rFonts w:ascii="楷体" w:hAnsi="楷体" w:eastAsia="楷体"/>
                <w:bCs/>
                <w:sz w:val="24"/>
              </w:rPr>
              <w:t>本课重点在于理解范仲淹“先天下之忧而忧，后天下之乐而乐”的崇高境界及其与《岳阳楼记》的内在逻辑，难点在于引导学生从个人情感升华为家国担当。针对难点，教师将采用“情境创设法”，通过模拟古代士人困境，让学生代入历史语境，体会“不以物喜，不以己悲”的豁达胸襟。同时，结合八年级学生心理特点，采用小组合作探究，对比古今“忧国忧民”精神的异同，在深度解读文本中突破思想障碍，将抽象的爱国情怀具象化，落实立德树人根本任务。</w:t>
            </w:r>
          </w:p>
        </w:tc>
      </w:tr>
      <w:tr w14:paraId="273E473E">
        <w:tblPrEx>
          <w:tblCellMar>
            <w:top w:w="0" w:type="dxa"/>
            <w:left w:w="28" w:type="dxa"/>
            <w:bottom w:w="0" w:type="dxa"/>
            <w:right w:w="28" w:type="dxa"/>
          </w:tblCellMar>
        </w:tblPrEx>
        <w:trPr>
          <w:trHeight w:val="668" w:hRule="atLeast"/>
        </w:trPr>
        <w:tc>
          <w:tcPr>
            <w:tcW w:w="453" w:type="dxa"/>
            <w:tcBorders>
              <w:top w:val="single" w:color="000000" w:sz="4" w:space="0"/>
              <w:left w:val="single" w:color="000000" w:sz="4" w:space="0"/>
              <w:bottom w:val="single" w:color="000000" w:sz="4" w:space="0"/>
              <w:right w:val="single" w:color="000000" w:sz="4" w:space="0"/>
            </w:tcBorders>
            <w:vAlign w:val="center"/>
          </w:tcPr>
          <w:p w14:paraId="273E473C">
            <w:pPr>
              <w:jc w:val="left"/>
              <w:rPr>
                <w:rFonts w:ascii="楷体" w:hAnsi="楷体" w:eastAsia="楷体"/>
                <w:b/>
                <w:sz w:val="22"/>
                <w:szCs w:val="22"/>
              </w:rPr>
            </w:pPr>
            <w:r>
              <w:rPr>
                <w:rFonts w:ascii="楷体" w:hAnsi="楷体" w:eastAsia="楷体"/>
                <w:b/>
                <w:sz w:val="24"/>
              </w:rPr>
              <w:t>学具准备</w:t>
            </w:r>
          </w:p>
        </w:tc>
        <w:tc>
          <w:tcPr>
            <w:tcW w:w="7666" w:type="dxa"/>
            <w:gridSpan w:val="7"/>
            <w:tcBorders>
              <w:top w:val="single" w:color="000000" w:sz="4" w:space="0"/>
              <w:left w:val="single" w:color="000000" w:sz="4" w:space="0"/>
              <w:bottom w:val="single" w:color="000000" w:sz="4" w:space="0"/>
              <w:right w:val="single" w:color="000000" w:sz="4" w:space="0"/>
            </w:tcBorders>
            <w:vAlign w:val="center"/>
          </w:tcPr>
          <w:p w14:paraId="273E473D">
            <w:pPr>
              <w:ind w:firstLine="221"/>
              <w:jc w:val="left"/>
              <w:rPr>
                <w:b/>
                <w:color w:val="FF0000"/>
                <w:sz w:val="22"/>
                <w:szCs w:val="22"/>
              </w:rPr>
            </w:pPr>
            <w:r>
              <w:rPr>
                <w:rFonts w:ascii="楷体" w:hAnsi="楷体" w:eastAsia="楷体" w:cs="楷体"/>
                <w:b/>
                <w:sz w:val="22"/>
                <w:szCs w:val="22"/>
              </w:rPr>
              <w:t>多媒体</w:t>
            </w:r>
          </w:p>
        </w:tc>
      </w:tr>
      <w:tr w14:paraId="273E4745">
        <w:tblPrEx>
          <w:tblCellMar>
            <w:top w:w="0" w:type="dxa"/>
            <w:left w:w="28" w:type="dxa"/>
            <w:bottom w:w="0" w:type="dxa"/>
            <w:right w:w="28" w:type="dxa"/>
          </w:tblCellMar>
        </w:tblPrEx>
        <w:trPr>
          <w:trHeight w:val="320" w:hRule="atLeast"/>
        </w:trPr>
        <w:tc>
          <w:tcPr>
            <w:tcW w:w="453" w:type="dxa"/>
            <w:tcBorders>
              <w:top w:val="single" w:color="000000" w:sz="4" w:space="0"/>
              <w:left w:val="single" w:color="000000" w:sz="4" w:space="0"/>
              <w:bottom w:val="single" w:color="000000" w:sz="4" w:space="0"/>
              <w:right w:val="single" w:color="000000" w:sz="4" w:space="0"/>
            </w:tcBorders>
            <w:vAlign w:val="center"/>
          </w:tcPr>
          <w:p w14:paraId="273E473F">
            <w:pPr>
              <w:jc w:val="left"/>
              <w:rPr>
                <w:rFonts w:ascii="楷体" w:hAnsi="楷体" w:eastAsia="楷体"/>
                <w:b/>
                <w:sz w:val="24"/>
              </w:rPr>
            </w:pPr>
            <w:r>
              <w:rPr>
                <w:rFonts w:ascii="楷体" w:hAnsi="楷体" w:eastAsia="楷体"/>
                <w:b/>
                <w:sz w:val="24"/>
              </w:rPr>
              <w:t>课型</w:t>
            </w:r>
          </w:p>
        </w:tc>
        <w:tc>
          <w:tcPr>
            <w:tcW w:w="1433" w:type="dxa"/>
            <w:gridSpan w:val="2"/>
            <w:tcBorders>
              <w:top w:val="single" w:color="000000" w:sz="4" w:space="0"/>
              <w:left w:val="single" w:color="000000" w:sz="4" w:space="0"/>
              <w:bottom w:val="single" w:color="000000" w:sz="4" w:space="0"/>
              <w:right w:val="single" w:color="000000" w:sz="4" w:space="0"/>
            </w:tcBorders>
            <w:vAlign w:val="center"/>
          </w:tcPr>
          <w:p w14:paraId="273E4740">
            <w:pPr>
              <w:jc w:val="left"/>
              <w:rPr>
                <w:rFonts w:ascii="楷体" w:hAnsi="楷体" w:eastAsia="楷体"/>
                <w:b/>
                <w:sz w:val="24"/>
              </w:rPr>
            </w:pPr>
            <w:r>
              <w:rPr>
                <w:rFonts w:ascii="楷体" w:hAnsi="楷体" w:eastAsia="楷体"/>
                <w:b/>
                <w:sz w:val="24"/>
              </w:rPr>
              <w:t>新授课</w:t>
            </w:r>
          </w:p>
        </w:tc>
        <w:tc>
          <w:tcPr>
            <w:tcW w:w="1148" w:type="dxa"/>
            <w:tcBorders>
              <w:top w:val="single" w:color="000000" w:sz="4" w:space="0"/>
              <w:left w:val="single" w:color="000000" w:sz="4" w:space="0"/>
              <w:bottom w:val="single" w:color="000000" w:sz="4" w:space="0"/>
              <w:right w:val="single" w:color="000000" w:sz="4" w:space="0"/>
            </w:tcBorders>
            <w:vAlign w:val="center"/>
          </w:tcPr>
          <w:p w14:paraId="273E4741">
            <w:pPr>
              <w:jc w:val="left"/>
              <w:rPr>
                <w:rFonts w:ascii="楷体" w:hAnsi="楷体" w:eastAsia="楷体"/>
                <w:b/>
                <w:sz w:val="24"/>
              </w:rPr>
            </w:pPr>
            <w:r>
              <w:rPr>
                <w:rFonts w:ascii="楷体" w:hAnsi="楷体" w:eastAsia="楷体"/>
                <w:b/>
                <w:sz w:val="24"/>
              </w:rPr>
              <w:t>教法学法</w:t>
            </w:r>
          </w:p>
        </w:tc>
        <w:tc>
          <w:tcPr>
            <w:tcW w:w="2542" w:type="dxa"/>
            <w:tcBorders>
              <w:top w:val="single" w:color="000000" w:sz="4" w:space="0"/>
              <w:left w:val="single" w:color="000000" w:sz="4" w:space="0"/>
              <w:bottom w:val="single" w:color="000000" w:sz="4" w:space="0"/>
              <w:right w:val="single" w:color="000000" w:sz="4" w:space="0"/>
            </w:tcBorders>
            <w:vAlign w:val="center"/>
          </w:tcPr>
          <w:p w14:paraId="273E4742">
            <w:pPr>
              <w:jc w:val="left"/>
              <w:rPr>
                <w:rFonts w:ascii="楷体" w:hAnsi="楷体" w:eastAsia="楷体"/>
                <w:b/>
                <w:sz w:val="24"/>
              </w:rPr>
            </w:pPr>
            <w:r>
              <w:rPr>
                <w:rFonts w:ascii="楷体" w:hAnsi="楷体" w:eastAsia="楷体"/>
                <w:b/>
                <w:sz w:val="24"/>
              </w:rPr>
              <w:t>讲授法</w:t>
            </w:r>
          </w:p>
        </w:tc>
        <w:tc>
          <w:tcPr>
            <w:tcW w:w="1270" w:type="dxa"/>
            <w:gridSpan w:val="2"/>
            <w:tcBorders>
              <w:top w:val="single" w:color="000000" w:sz="4" w:space="0"/>
              <w:left w:val="single" w:color="000000" w:sz="4" w:space="0"/>
              <w:bottom w:val="single" w:color="000000" w:sz="4" w:space="0"/>
              <w:right w:val="single" w:color="000000" w:sz="4" w:space="0"/>
            </w:tcBorders>
            <w:vAlign w:val="center"/>
          </w:tcPr>
          <w:p w14:paraId="273E4743">
            <w:pPr>
              <w:jc w:val="left"/>
              <w:rPr>
                <w:rFonts w:ascii="楷体" w:hAnsi="楷体" w:eastAsia="楷体"/>
                <w:b/>
                <w:sz w:val="24"/>
              </w:rPr>
            </w:pPr>
            <w:r>
              <w:rPr>
                <w:rFonts w:ascii="楷体" w:hAnsi="楷体" w:eastAsia="楷体"/>
                <w:b/>
                <w:sz w:val="24"/>
              </w:rPr>
              <w:t>课时</w:t>
            </w:r>
          </w:p>
        </w:tc>
        <w:tc>
          <w:tcPr>
            <w:tcW w:w="1273" w:type="dxa"/>
            <w:tcBorders>
              <w:top w:val="single" w:color="000000" w:sz="4" w:space="0"/>
              <w:left w:val="single" w:color="000000" w:sz="4" w:space="0"/>
              <w:bottom w:val="single" w:color="000000" w:sz="4" w:space="0"/>
              <w:right w:val="single" w:color="000000" w:sz="4" w:space="0"/>
            </w:tcBorders>
            <w:vAlign w:val="center"/>
          </w:tcPr>
          <w:p w14:paraId="273E4744">
            <w:pPr>
              <w:jc w:val="left"/>
              <w:rPr>
                <w:rFonts w:ascii="楷体" w:hAnsi="楷体" w:eastAsia="楷体"/>
                <w:b/>
                <w:sz w:val="24"/>
              </w:rPr>
            </w:pPr>
            <w:r>
              <w:rPr>
                <w:rFonts w:ascii="楷体" w:hAnsi="楷体" w:eastAsia="楷体"/>
                <w:b/>
                <w:sz w:val="24"/>
              </w:rPr>
              <w:t>第一课时</w:t>
            </w:r>
          </w:p>
        </w:tc>
      </w:tr>
      <w:tr w14:paraId="273E4749">
        <w:tblPrEx>
          <w:tblCellMar>
            <w:top w:w="0" w:type="dxa"/>
            <w:left w:w="28" w:type="dxa"/>
            <w:bottom w:w="0" w:type="dxa"/>
            <w:right w:w="28" w:type="dxa"/>
          </w:tblCellMar>
        </w:tblPrEx>
        <w:trPr>
          <w:trHeight w:val="629" w:hRule="atLeast"/>
        </w:trPr>
        <w:tc>
          <w:tcPr>
            <w:tcW w:w="453" w:type="dxa"/>
            <w:tcBorders>
              <w:top w:val="single" w:color="000000" w:sz="4" w:space="0"/>
              <w:left w:val="single" w:color="000000" w:sz="4" w:space="0"/>
              <w:bottom w:val="single" w:color="000000" w:sz="4" w:space="0"/>
              <w:right w:val="single" w:color="000000" w:sz="4" w:space="0"/>
            </w:tcBorders>
            <w:tcMar>
              <w:left w:w="0" w:type="dxa"/>
              <w:right w:w="0" w:type="dxa"/>
            </w:tcMar>
          </w:tcPr>
          <w:p w14:paraId="273E4746">
            <w:pPr>
              <w:jc w:val="left"/>
              <w:rPr>
                <w:rFonts w:hint="eastAsia" w:ascii="楷体" w:hAnsi="楷体" w:eastAsia="楷体" w:cs="楷体"/>
                <w:spacing w:val="-10"/>
                <w:sz w:val="24"/>
                <w:szCs w:val="24"/>
              </w:rPr>
            </w:pPr>
            <w:r>
              <w:rPr>
                <w:rFonts w:hint="eastAsia" w:ascii="楷体" w:hAnsi="楷体" w:eastAsia="楷体" w:cs="楷体"/>
                <w:b/>
                <w:bCs/>
                <w:spacing w:val="-10"/>
                <w:sz w:val="24"/>
                <w:szCs w:val="24"/>
              </w:rPr>
              <w:t>步骤</w:t>
            </w:r>
          </w:p>
        </w:tc>
        <w:tc>
          <w:tcPr>
            <w:tcW w:w="5881" w:type="dxa"/>
            <w:gridSpan w:val="5"/>
            <w:tcBorders>
              <w:top w:val="single" w:color="000000" w:sz="4" w:space="0"/>
              <w:left w:val="single" w:color="000000" w:sz="4" w:space="0"/>
              <w:bottom w:val="single" w:color="000000" w:sz="4" w:space="0"/>
              <w:right w:val="single" w:color="000000" w:sz="4" w:space="0"/>
            </w:tcBorders>
            <w:tcMar>
              <w:left w:w="0" w:type="dxa"/>
              <w:right w:w="0" w:type="dxa"/>
            </w:tcMar>
          </w:tcPr>
          <w:p w14:paraId="273E4747">
            <w:pPr>
              <w:jc w:val="left"/>
              <w:rPr>
                <w:rFonts w:hint="eastAsia" w:ascii="楷体" w:hAnsi="楷体" w:eastAsia="楷体" w:cs="楷体"/>
                <w:sz w:val="24"/>
                <w:szCs w:val="24"/>
              </w:rPr>
            </w:pPr>
            <w:r>
              <w:rPr>
                <w:rFonts w:hint="eastAsia" w:ascii="楷体" w:hAnsi="楷体" w:eastAsia="楷体" w:cs="楷体"/>
                <w:sz w:val="24"/>
                <w:szCs w:val="24"/>
              </w:rPr>
              <w:t>师生互动设计</w:t>
            </w:r>
          </w:p>
        </w:tc>
        <w:tc>
          <w:tcPr>
            <w:tcW w:w="1785" w:type="dxa"/>
            <w:gridSpan w:val="2"/>
            <w:tcBorders>
              <w:top w:val="single" w:color="000000" w:sz="4" w:space="0"/>
              <w:left w:val="single" w:color="000000" w:sz="4" w:space="0"/>
              <w:bottom w:val="single" w:color="000000" w:sz="4" w:space="0"/>
              <w:right w:val="single" w:color="000000" w:sz="4" w:space="0"/>
            </w:tcBorders>
            <w:tcMar>
              <w:left w:w="0" w:type="dxa"/>
              <w:right w:w="0" w:type="dxa"/>
            </w:tcMar>
          </w:tcPr>
          <w:p w14:paraId="273E4748">
            <w:pPr>
              <w:jc w:val="left"/>
              <w:rPr>
                <w:rFonts w:hint="eastAsia" w:ascii="楷体" w:hAnsi="楷体" w:eastAsia="楷体" w:cs="楷体"/>
                <w:sz w:val="24"/>
                <w:szCs w:val="24"/>
              </w:rPr>
            </w:pPr>
            <w:r>
              <w:rPr>
                <w:rFonts w:hint="eastAsia" w:ascii="楷体" w:hAnsi="楷体" w:eastAsia="楷体" w:cs="楷体"/>
                <w:sz w:val="24"/>
                <w:szCs w:val="24"/>
              </w:rPr>
              <w:t>二次备课</w:t>
            </w:r>
          </w:p>
        </w:tc>
      </w:tr>
      <w:tr w14:paraId="273E474D">
        <w:tblPrEx>
          <w:tblCellMar>
            <w:top w:w="0" w:type="dxa"/>
            <w:left w:w="28" w:type="dxa"/>
            <w:bottom w:w="0" w:type="dxa"/>
            <w:right w:w="28" w:type="dxa"/>
          </w:tblCellMar>
        </w:tblPrEx>
        <w:trPr>
          <w:trHeight w:val="2483" w:hRule="atLeast"/>
        </w:trPr>
        <w:tc>
          <w:tcPr>
            <w:tcW w:w="453" w:type="dxa"/>
            <w:tcBorders>
              <w:top w:val="single" w:color="000000" w:sz="4" w:space="0"/>
              <w:left w:val="single" w:color="000000" w:sz="4" w:space="0"/>
              <w:bottom w:val="single" w:color="000000" w:sz="4" w:space="0"/>
              <w:right w:val="single" w:color="000000" w:sz="4" w:space="0"/>
            </w:tcBorders>
          </w:tcPr>
          <w:p w14:paraId="273E474A">
            <w:pPr>
              <w:jc w:val="left"/>
              <w:rPr>
                <w:rFonts w:hint="eastAsia" w:ascii="楷体" w:hAnsi="楷体" w:eastAsia="楷体" w:cs="楷体"/>
                <w:b/>
                <w:bCs/>
                <w:sz w:val="24"/>
                <w:szCs w:val="24"/>
              </w:rPr>
            </w:pPr>
            <w:r>
              <w:rPr>
                <w:rFonts w:hint="eastAsia" w:ascii="楷体" w:hAnsi="楷体" w:eastAsia="楷体" w:cs="楷体"/>
                <w:b/>
                <w:bCs/>
                <w:sz w:val="24"/>
                <w:szCs w:val="24"/>
              </w:rPr>
              <w:t>教学资源</w:t>
            </w:r>
          </w:p>
        </w:tc>
        <w:tc>
          <w:tcPr>
            <w:tcW w:w="5881" w:type="dxa"/>
            <w:gridSpan w:val="5"/>
            <w:tcBorders>
              <w:top w:val="single" w:color="000000" w:sz="4" w:space="0"/>
              <w:left w:val="single" w:color="000000" w:sz="4" w:space="0"/>
              <w:bottom w:val="single" w:color="000000" w:sz="4" w:space="0"/>
              <w:right w:val="single" w:color="000000" w:sz="4" w:space="0"/>
            </w:tcBorders>
          </w:tcPr>
          <w:p w14:paraId="273E474B">
            <w:pPr>
              <w:widowControl/>
              <w:snapToGrid w:val="0"/>
              <w:jc w:val="left"/>
              <w:rPr>
                <w:rFonts w:hint="eastAsia" w:ascii="楷体" w:hAnsi="楷体" w:eastAsia="楷体" w:cs="楷体"/>
                <w:kern w:val="0"/>
                <w:sz w:val="24"/>
                <w:szCs w:val="24"/>
              </w:rPr>
            </w:pPr>
            <w:r>
              <w:rPr>
                <w:rFonts w:hint="eastAsia" w:ascii="楷体" w:hAnsi="楷体" w:eastAsia="楷体" w:cs="楷体"/>
                <w:kern w:val="0"/>
                <w:sz w:val="24"/>
                <w:szCs w:val="24"/>
              </w:rPr>
              <w:t>1. 课本教材：八年级下册《岳阳楼记》及《范仲淹传》。</w:t>
            </w:r>
            <w:r>
              <w:rPr>
                <w:rFonts w:hint="eastAsia" w:ascii="楷体" w:hAnsi="楷体" w:eastAsia="楷体" w:cs="楷体"/>
                <w:kern w:val="0"/>
                <w:sz w:val="24"/>
                <w:szCs w:val="24"/>
              </w:rPr>
              <w:br w:type="textWrapping"/>
            </w:r>
            <w:r>
              <w:rPr>
                <w:rFonts w:hint="eastAsia" w:ascii="楷体" w:hAnsi="楷体" w:eastAsia="楷体" w:cs="楷体"/>
                <w:kern w:val="0"/>
                <w:sz w:val="24"/>
                <w:szCs w:val="24"/>
              </w:rPr>
              <w:t>2. 多媒体课件：包含范仲淹生平动画、《岳阳楼记》全文朗读音频、古今对比视频素材。</w:t>
            </w:r>
            <w:r>
              <w:rPr>
                <w:rFonts w:hint="eastAsia" w:ascii="楷体" w:hAnsi="楷体" w:eastAsia="楷体" w:cs="楷体"/>
                <w:kern w:val="0"/>
                <w:sz w:val="24"/>
                <w:szCs w:val="24"/>
              </w:rPr>
              <w:br w:type="textWrapping"/>
            </w:r>
            <w:r>
              <w:rPr>
                <w:rFonts w:hint="eastAsia" w:ascii="楷体" w:hAnsi="楷体" w:eastAsia="楷体" w:cs="楷体"/>
                <w:kern w:val="0"/>
                <w:sz w:val="24"/>
                <w:szCs w:val="24"/>
              </w:rPr>
              <w:t>3. 教学平台：学校智慧教育云平台，用于发布预习任务与同步练习。</w:t>
            </w:r>
            <w:r>
              <w:rPr>
                <w:rFonts w:hint="eastAsia" w:ascii="楷体" w:hAnsi="楷体" w:eastAsia="楷体" w:cs="楷体"/>
                <w:kern w:val="0"/>
                <w:sz w:val="24"/>
                <w:szCs w:val="24"/>
              </w:rPr>
              <w:br w:type="textWrapping"/>
            </w:r>
            <w:r>
              <w:rPr>
                <w:rFonts w:hint="eastAsia" w:ascii="楷体" w:hAnsi="楷体" w:eastAsia="楷体" w:cs="楷体"/>
                <w:kern w:val="0"/>
                <w:sz w:val="24"/>
                <w:szCs w:val="24"/>
              </w:rPr>
              <w:t>4. 教学手段：投影仪、电子白板、分组讨论支架、角色扮演卡片。</w:t>
            </w:r>
            <w:r>
              <w:rPr>
                <w:rFonts w:hint="eastAsia" w:ascii="楷体" w:hAnsi="楷体" w:eastAsia="楷体" w:cs="楷体"/>
                <w:kern w:val="0"/>
                <w:sz w:val="24"/>
                <w:szCs w:val="24"/>
              </w:rPr>
              <w:br w:type="textWrapping"/>
            </w:r>
            <w:r>
              <w:rPr>
                <w:rFonts w:hint="eastAsia" w:ascii="楷体" w:hAnsi="楷体" w:eastAsia="楷体" w:cs="楷体"/>
                <w:kern w:val="0"/>
                <w:sz w:val="24"/>
                <w:szCs w:val="24"/>
              </w:rPr>
              <w:t>5. 历史地图：展示北宋都城开封与岳阳地理位置的示意图。</w:t>
            </w:r>
            <w:r>
              <w:rPr>
                <w:rFonts w:hint="eastAsia" w:ascii="楷体" w:hAnsi="楷体" w:eastAsia="楷体" w:cs="楷体"/>
                <w:kern w:val="0"/>
                <w:sz w:val="24"/>
                <w:szCs w:val="24"/>
              </w:rPr>
              <w:br w:type="textWrapping"/>
            </w:r>
            <w:r>
              <w:rPr>
                <w:rFonts w:hint="eastAsia" w:ascii="楷体" w:hAnsi="楷体" w:eastAsia="楷体" w:cs="楷体"/>
                <w:kern w:val="0"/>
                <w:sz w:val="24"/>
                <w:szCs w:val="24"/>
              </w:rPr>
              <w:t>6. 名言卡片：关于“先忧后乐”的典故及历代咏范诗句。</w:t>
            </w:r>
          </w:p>
        </w:tc>
        <w:tc>
          <w:tcPr>
            <w:tcW w:w="1785" w:type="dxa"/>
            <w:gridSpan w:val="2"/>
            <w:tcBorders>
              <w:top w:val="single" w:color="000000" w:sz="4" w:space="0"/>
              <w:left w:val="single" w:color="000000" w:sz="4" w:space="0"/>
              <w:bottom w:val="single" w:color="000000" w:sz="4" w:space="0"/>
              <w:right w:val="single" w:color="000000" w:sz="4" w:space="0"/>
            </w:tcBorders>
          </w:tcPr>
          <w:p w14:paraId="273E474C">
            <w:pPr>
              <w:jc w:val="left"/>
              <w:rPr>
                <w:rFonts w:hint="eastAsia" w:ascii="楷体" w:hAnsi="楷体" w:eastAsia="楷体" w:cs="楷体"/>
                <w:sz w:val="24"/>
                <w:szCs w:val="24"/>
              </w:rPr>
            </w:pPr>
          </w:p>
        </w:tc>
      </w:tr>
      <w:tr w14:paraId="273E4751">
        <w:tblPrEx>
          <w:tblCellMar>
            <w:top w:w="0" w:type="dxa"/>
            <w:left w:w="28" w:type="dxa"/>
            <w:bottom w:w="0" w:type="dxa"/>
            <w:right w:w="28" w:type="dxa"/>
          </w:tblCellMar>
        </w:tblPrEx>
        <w:trPr>
          <w:trHeight w:val="938" w:hRule="atLeast"/>
        </w:trPr>
        <w:tc>
          <w:tcPr>
            <w:tcW w:w="453" w:type="dxa"/>
            <w:tcBorders>
              <w:top w:val="single" w:color="000000" w:sz="4" w:space="0"/>
              <w:left w:val="single" w:color="000000" w:sz="4" w:space="0"/>
              <w:bottom w:val="single" w:color="000000" w:sz="4" w:space="0"/>
              <w:right w:val="single" w:color="000000" w:sz="4" w:space="0"/>
            </w:tcBorders>
          </w:tcPr>
          <w:p w14:paraId="273E474E">
            <w:pPr>
              <w:jc w:val="left"/>
              <w:rPr>
                <w:rFonts w:hint="eastAsia" w:ascii="楷体" w:hAnsi="楷体" w:eastAsia="楷体" w:cs="楷体"/>
                <w:sz w:val="24"/>
                <w:szCs w:val="24"/>
              </w:rPr>
            </w:pPr>
            <w:r>
              <w:rPr>
                <w:rFonts w:hint="eastAsia" w:ascii="楷体" w:hAnsi="楷体" w:eastAsia="楷体" w:cs="楷体"/>
                <w:b/>
                <w:bCs/>
                <w:sz w:val="24"/>
                <w:szCs w:val="24"/>
              </w:rPr>
              <w:t>教学过程设计</w:t>
            </w:r>
          </w:p>
        </w:tc>
        <w:tc>
          <w:tcPr>
            <w:tcW w:w="5881" w:type="dxa"/>
            <w:gridSpan w:val="5"/>
            <w:tcBorders>
              <w:top w:val="single" w:color="000000" w:sz="4" w:space="0"/>
              <w:left w:val="single" w:color="000000" w:sz="4" w:space="0"/>
              <w:bottom w:val="single" w:color="000000" w:sz="4" w:space="0"/>
              <w:right w:val="single" w:color="000000" w:sz="4" w:space="0"/>
            </w:tcBorders>
          </w:tcPr>
          <w:p w14:paraId="273E474F">
            <w:pPr>
              <w:pStyle w:val="2"/>
              <w:spacing w:beforeAutospacing="0" w:afterAutospacing="0"/>
              <w:rPr>
                <w:rFonts w:hint="eastAsia" w:ascii="楷体" w:hAnsi="楷体" w:eastAsia="楷体" w:cs="楷体"/>
                <w:bCs/>
                <w:sz w:val="24"/>
                <w:szCs w:val="24"/>
              </w:rPr>
            </w:pPr>
            <w:r>
              <w:rPr>
                <w:rFonts w:hint="eastAsia" w:ascii="楷体" w:hAnsi="楷体" w:eastAsia="楷体" w:cs="楷体"/>
                <w:bCs/>
                <w:sz w:val="24"/>
                <w:szCs w:val="24"/>
              </w:rPr>
              <w:t>一、导入新课（5 分钟）</w:t>
            </w:r>
            <w:r>
              <w:rPr>
                <w:rFonts w:hint="eastAsia" w:ascii="楷体" w:hAnsi="楷体" w:eastAsia="楷体" w:cs="楷体"/>
                <w:bCs/>
                <w:sz w:val="24"/>
                <w:szCs w:val="24"/>
              </w:rPr>
              <w:br w:type="textWrapping"/>
            </w:r>
            <w:r>
              <w:rPr>
                <w:rFonts w:hint="eastAsia" w:ascii="楷体" w:hAnsi="楷体" w:eastAsia="楷体" w:cs="楷体"/>
                <w:bCs/>
                <w:sz w:val="24"/>
                <w:szCs w:val="24"/>
              </w:rPr>
              <w:t>目标：引起学生对范仲淹“先忧后乐”精神的兴趣，激发其探索欲望。</w:t>
            </w:r>
            <w:r>
              <w:rPr>
                <w:rFonts w:hint="eastAsia" w:ascii="楷体" w:hAnsi="楷体" w:eastAsia="楷体" w:cs="楷体"/>
                <w:bCs/>
                <w:sz w:val="24"/>
                <w:szCs w:val="24"/>
              </w:rPr>
              <w:br w:type="textWrapping"/>
            </w:r>
            <w:r>
              <w:rPr>
                <w:rFonts w:hint="eastAsia" w:ascii="楷体" w:hAnsi="楷体" w:eastAsia="楷体" w:cs="楷体"/>
                <w:bCs/>
                <w:sz w:val="24"/>
                <w:szCs w:val="24"/>
              </w:rPr>
              <w:t>过程：开场提问：“同学们，如果天下大乱，国家危在旦夕，你们希望自己身处何地？你们愿意为了国家和百姓牺牲个人的一切吗？”展示《岳阳楼记》中“先天下之忧而忧，后天下之乐而乐”的书法大字视频片段，让学生初步感受范仲淹作为古代士大夫的博大胸怀与崇高气节。简要介绍范仲淹作为北宋名臣的历史地位，以及“先忧后乐”思想在中国传统文化中的核心地位，为接下来的深入研读奠定情感基调。</w:t>
            </w:r>
            <w:r>
              <w:rPr>
                <w:rFonts w:hint="eastAsia" w:ascii="楷体" w:hAnsi="楷体" w:eastAsia="楷体" w:cs="楷体"/>
                <w:bCs/>
                <w:sz w:val="24"/>
                <w:szCs w:val="24"/>
              </w:rPr>
              <w:br w:type="textWrapping"/>
            </w:r>
            <w:r>
              <w:rPr>
                <w:rFonts w:hint="eastAsia" w:ascii="楷体" w:hAnsi="楷体" w:eastAsia="楷体" w:cs="楷体"/>
                <w:bCs/>
                <w:sz w:val="24"/>
                <w:szCs w:val="24"/>
              </w:rPr>
              <w:t>二、范仲淹基础知识讲解（10 分钟）</w:t>
            </w:r>
            <w:r>
              <w:rPr>
                <w:rFonts w:hint="eastAsia" w:ascii="楷体" w:hAnsi="楷体" w:eastAsia="楷体" w:cs="楷体"/>
                <w:bCs/>
                <w:sz w:val="24"/>
                <w:szCs w:val="24"/>
              </w:rPr>
              <w:br w:type="textWrapping"/>
            </w:r>
            <w:r>
              <w:rPr>
                <w:rFonts w:hint="eastAsia" w:ascii="楷体" w:hAnsi="楷体" w:eastAsia="楷体" w:cs="楷体"/>
                <w:bCs/>
                <w:sz w:val="24"/>
                <w:szCs w:val="24"/>
              </w:rPr>
              <w:t>目标：让学生了解范仲淹的生平概况、《岳阳楼记》的创作背景及核心思想。</w:t>
            </w:r>
            <w:r>
              <w:rPr>
                <w:rFonts w:hint="eastAsia" w:ascii="楷体" w:hAnsi="楷体" w:eastAsia="楷体" w:cs="楷体"/>
                <w:bCs/>
                <w:sz w:val="24"/>
                <w:szCs w:val="24"/>
              </w:rPr>
              <w:br w:type="textWrapping"/>
            </w:r>
            <w:r>
              <w:rPr>
                <w:rFonts w:hint="eastAsia" w:ascii="楷体" w:hAnsi="楷体" w:eastAsia="楷体" w:cs="楷体"/>
                <w:bCs/>
                <w:sz w:val="24"/>
                <w:szCs w:val="24"/>
              </w:rPr>
              <w:t>过程：首先讲解范仲淹的生平事迹，重点介绍其“先天下之忧而忧，后天下之乐而乐”的名言出处及出处背景。结合八年级下册教材内容，详细分析《岳阳楼记》的写作缘起：范仲淹因好友滕子京被贬巴陵郡而作此文，旨在借楼记之事表达政治抱负。接着，运用图表展示《岳阳楼记》的结构层次，从写景（“至若春和景明”）到叙事（“迁客骚人”）再到议论（“不以物喜，不以己悲”），最后升华到议论（“先天下之忧而忧”），帮助学生理清文章脉络。通过实例分析，让学生理解文章如何通过情景交融的手法，将个人情感上升到家国情怀的高度。</w:t>
            </w:r>
            <w:r>
              <w:rPr>
                <w:rFonts w:hint="eastAsia" w:ascii="楷体" w:hAnsi="楷体" w:eastAsia="楷体" w:cs="楷体"/>
                <w:bCs/>
                <w:sz w:val="24"/>
                <w:szCs w:val="24"/>
              </w:rPr>
              <w:br w:type="textWrapping"/>
            </w:r>
            <w:r>
              <w:rPr>
                <w:rFonts w:hint="eastAsia" w:ascii="楷体" w:hAnsi="楷体" w:eastAsia="楷体" w:cs="楷体"/>
                <w:bCs/>
                <w:sz w:val="24"/>
                <w:szCs w:val="24"/>
              </w:rPr>
              <w:t>三、范仲淹案例分析（20 分钟）</w:t>
            </w:r>
            <w:r>
              <w:rPr>
                <w:rFonts w:hint="eastAsia" w:ascii="楷体" w:hAnsi="楷体" w:eastAsia="楷体" w:cs="楷体"/>
                <w:bCs/>
                <w:sz w:val="24"/>
                <w:szCs w:val="24"/>
              </w:rPr>
              <w:br w:type="textWrapping"/>
            </w:r>
            <w:r>
              <w:rPr>
                <w:rFonts w:hint="eastAsia" w:ascii="楷体" w:hAnsi="楷体" w:eastAsia="楷体" w:cs="楷体"/>
                <w:bCs/>
                <w:sz w:val="24"/>
                <w:szCs w:val="24"/>
              </w:rPr>
              <w:t>目标：通过具体案例，让学生深入了解范仲淹“不以物喜，不以己悲”的豁达胸襟及其对个人的影响。</w:t>
            </w:r>
            <w:r>
              <w:rPr>
                <w:rFonts w:hint="eastAsia" w:ascii="楷体" w:hAnsi="楷体" w:eastAsia="楷体" w:cs="楷体"/>
                <w:bCs/>
                <w:sz w:val="24"/>
                <w:szCs w:val="24"/>
              </w:rPr>
              <w:br w:type="textWrapping"/>
            </w:r>
            <w:r>
              <w:rPr>
                <w:rFonts w:hint="eastAsia" w:ascii="楷体" w:hAnsi="楷体" w:eastAsia="楷体" w:cs="楷体"/>
                <w:bCs/>
                <w:sz w:val="24"/>
                <w:szCs w:val="24"/>
              </w:rPr>
              <w:t>过程：选择“迁客骚人”在岳阳楼上的不同心境作为案例进行分析。一组学生扮演“迁客骚人”，模拟在“春和景明”时因美景而“感极而悲”；另一组学生扮演“古仁人”，模拟在“阴阴雨寒”时却能“不以物喜，不以己悲”保持心境平和。引导学生对比分析这两种态度的差异，探讨范仲淹为何能超越个人得失，将目光投向天下苍生。小组讨论：结合八年级学生心理特点，讨论在面临个人挫折或集体利益冲突时，如何像范仲淹一样保持定力。引导学生思考这种精神对当代青少年的激励作用，即如何在复杂环境中坚守初心。</w:t>
            </w:r>
            <w:r>
              <w:rPr>
                <w:rFonts w:hint="eastAsia" w:ascii="楷体" w:hAnsi="楷体" w:eastAsia="楷体" w:cs="楷体"/>
                <w:bCs/>
                <w:sz w:val="24"/>
                <w:szCs w:val="24"/>
              </w:rPr>
              <w:br w:type="textWrapping"/>
            </w:r>
            <w:r>
              <w:rPr>
                <w:rFonts w:hint="eastAsia" w:ascii="楷体" w:hAnsi="楷体" w:eastAsia="楷体" w:cs="楷体"/>
                <w:bCs/>
                <w:sz w:val="24"/>
                <w:szCs w:val="24"/>
              </w:rPr>
              <w:t>四、学生小组讨论（10 分钟）</w:t>
            </w:r>
            <w:r>
              <w:rPr>
                <w:rFonts w:hint="eastAsia" w:ascii="楷体" w:hAnsi="楷体" w:eastAsia="楷体" w:cs="楷体"/>
                <w:bCs/>
                <w:sz w:val="24"/>
                <w:szCs w:val="24"/>
              </w:rPr>
              <w:br w:type="textWrapping"/>
            </w:r>
            <w:r>
              <w:rPr>
                <w:rFonts w:hint="eastAsia" w:ascii="楷体" w:hAnsi="楷体" w:eastAsia="楷体" w:cs="楷体"/>
                <w:bCs/>
                <w:sz w:val="24"/>
                <w:szCs w:val="24"/>
              </w:rPr>
              <w:t>目标：培养学生的合作能力和解决问题的能力。</w:t>
            </w:r>
            <w:r>
              <w:rPr>
                <w:rFonts w:hint="eastAsia" w:ascii="楷体" w:hAnsi="楷体" w:eastAsia="楷体" w:cs="楷体"/>
                <w:bCs/>
                <w:sz w:val="24"/>
                <w:szCs w:val="24"/>
              </w:rPr>
              <w:br w:type="textWrapping"/>
            </w:r>
            <w:r>
              <w:rPr>
                <w:rFonts w:hint="eastAsia" w:ascii="楷体" w:hAnsi="楷体" w:eastAsia="楷体" w:cs="楷体"/>
                <w:bCs/>
                <w:sz w:val="24"/>
                <w:szCs w:val="24"/>
              </w:rPr>
              <w:t>过程：将学生分成若干小组，每组选择一个主题进行深入讨论。主题一：探讨“先天下之忧而忧”在现代社会的具体体现，如志愿服务、环境保护等；主题二：分析“不以物喜，不以己悲”对现代职场心态的启示。各组选出一名代表，准备向全班展示讨论成果，包括现状、挑战及解决方案。其他学生和教师对展示内容进行提问和点评，促进互动交流。教师总结各组的亮点和不足，并提出进一步的建议和改进方向。</w:t>
            </w:r>
            <w:r>
              <w:rPr>
                <w:rFonts w:hint="eastAsia" w:ascii="楷体" w:hAnsi="楷体" w:eastAsia="楷体" w:cs="楷体"/>
                <w:bCs/>
                <w:sz w:val="24"/>
                <w:szCs w:val="24"/>
              </w:rPr>
              <w:br w:type="textWrapping"/>
            </w:r>
            <w:r>
              <w:rPr>
                <w:rFonts w:hint="eastAsia" w:ascii="楷体" w:hAnsi="楷体" w:eastAsia="楷体" w:cs="楷体"/>
                <w:bCs/>
                <w:sz w:val="24"/>
                <w:szCs w:val="24"/>
              </w:rPr>
              <w:t>五、课堂展示与点评（15 分钟）</w:t>
            </w:r>
            <w:r>
              <w:rPr>
                <w:rFonts w:hint="eastAsia" w:ascii="楷体" w:hAnsi="楷体" w:eastAsia="楷体" w:cs="楷体"/>
                <w:bCs/>
                <w:sz w:val="24"/>
                <w:szCs w:val="24"/>
              </w:rPr>
              <w:br w:type="textWrapping"/>
            </w:r>
            <w:r>
              <w:rPr>
                <w:rFonts w:hint="eastAsia" w:ascii="楷体" w:hAnsi="楷体" w:eastAsia="楷体" w:cs="楷体"/>
                <w:bCs/>
                <w:sz w:val="24"/>
                <w:szCs w:val="24"/>
              </w:rPr>
              <w:t>目标：锻炼学生的表达能力，同时加深全班对范仲淹精神的理解。</w:t>
            </w:r>
            <w:r>
              <w:rPr>
                <w:rFonts w:hint="eastAsia" w:ascii="楷体" w:hAnsi="楷体" w:eastAsia="楷体" w:cs="楷体"/>
                <w:bCs/>
                <w:sz w:val="24"/>
                <w:szCs w:val="24"/>
              </w:rPr>
              <w:br w:type="textWrapping"/>
            </w:r>
            <w:r>
              <w:rPr>
                <w:rFonts w:hint="eastAsia" w:ascii="楷体" w:hAnsi="楷体" w:eastAsia="楷体" w:cs="楷体"/>
                <w:bCs/>
                <w:sz w:val="24"/>
                <w:szCs w:val="24"/>
              </w:rPr>
              <w:t>过程：各组代表依次上台展示讨论成果，包括主题的现状、挑战及解决方案。其他学生和教师对展示内容进行提问和点评，例如：“如果你们是迁客，面对坏天气会怎么做？”“如果你们是古仁人，面对国家困难会怎么做？”教师总结各组的亮点和不足，指出部分小组在联系现代社会方面略显空泛，鼓励其他小组进一步挖掘历史与现实的联系。教师强调范仲淹精神的核心在于“担当”与“格局”，要求学生在未来的学习中不仅要关注知识，更要关注社会责任。</w:t>
            </w:r>
            <w:r>
              <w:rPr>
                <w:rFonts w:hint="eastAsia" w:ascii="楷体" w:hAnsi="楷体" w:eastAsia="楷体" w:cs="楷体"/>
                <w:bCs/>
                <w:sz w:val="24"/>
                <w:szCs w:val="24"/>
              </w:rPr>
              <w:br w:type="textWrapping"/>
            </w:r>
            <w:r>
              <w:rPr>
                <w:rFonts w:hint="eastAsia" w:ascii="楷体" w:hAnsi="楷体" w:eastAsia="楷体" w:cs="楷体"/>
                <w:bCs/>
                <w:sz w:val="24"/>
                <w:szCs w:val="24"/>
              </w:rPr>
              <w:t>六、课堂小结（5 分钟）</w:t>
            </w:r>
            <w:r>
              <w:rPr>
                <w:rFonts w:hint="eastAsia" w:ascii="楷体" w:hAnsi="楷体" w:eastAsia="楷体" w:cs="楷体"/>
                <w:bCs/>
                <w:sz w:val="24"/>
                <w:szCs w:val="24"/>
              </w:rPr>
              <w:br w:type="textWrapping"/>
            </w:r>
            <w:r>
              <w:rPr>
                <w:rFonts w:hint="eastAsia" w:ascii="楷体" w:hAnsi="楷体" w:eastAsia="楷体" w:cs="楷体"/>
                <w:bCs/>
                <w:sz w:val="24"/>
                <w:szCs w:val="24"/>
              </w:rPr>
              <w:t>目标：回顾本节课的主要内容，强调范仲淹“先忧后乐”思想的重要性和意义。</w:t>
            </w:r>
            <w:r>
              <w:rPr>
                <w:rFonts w:hint="eastAsia" w:ascii="楷体" w:hAnsi="楷体" w:eastAsia="楷体" w:cs="楷体"/>
                <w:bCs/>
                <w:sz w:val="24"/>
                <w:szCs w:val="24"/>
              </w:rPr>
              <w:br w:type="textWrapping"/>
            </w:r>
            <w:r>
              <w:rPr>
                <w:rFonts w:hint="eastAsia" w:ascii="楷体" w:hAnsi="楷体" w:eastAsia="楷体" w:cs="楷体"/>
                <w:bCs/>
                <w:sz w:val="24"/>
                <w:szCs w:val="24"/>
              </w:rPr>
              <w:t>过程：简要回顾本节课的学习内容，包括范仲淹的生平、《岳阳楼记》的创作背景、文章结构分析以及“不以物喜，不以己悲”与“先天下之忧而忧”的辩证关系。强调“先忧后乐”思想在儒家文化中的核心地位，以及其对当代青少年的激励价值。鼓励学生进一步探索，将这种精神融入日常学习与生活，做一个有理想、有担当的人。布置课后作业：让学生撰写一篇关于“如何在当代社会践行‘先忧后乐’精神”的短文或报告，以巩固学习效果。</w:t>
            </w:r>
          </w:p>
        </w:tc>
        <w:tc>
          <w:tcPr>
            <w:tcW w:w="1785" w:type="dxa"/>
            <w:gridSpan w:val="2"/>
            <w:tcBorders>
              <w:top w:val="single" w:color="000000" w:sz="4" w:space="0"/>
              <w:left w:val="single" w:color="000000" w:sz="4" w:space="0"/>
              <w:bottom w:val="single" w:color="000000" w:sz="4" w:space="0"/>
              <w:right w:val="single" w:color="000000" w:sz="4" w:space="0"/>
            </w:tcBorders>
          </w:tcPr>
          <w:p w14:paraId="273E4750">
            <w:pPr>
              <w:jc w:val="left"/>
              <w:rPr>
                <w:rFonts w:hint="eastAsia" w:ascii="楷体" w:hAnsi="楷体" w:eastAsia="楷体" w:cs="楷体"/>
                <w:sz w:val="24"/>
                <w:szCs w:val="24"/>
              </w:rPr>
            </w:pPr>
          </w:p>
        </w:tc>
      </w:tr>
      <w:tr w14:paraId="273E4755">
        <w:tblPrEx>
          <w:tblCellMar>
            <w:top w:w="0" w:type="dxa"/>
            <w:left w:w="28" w:type="dxa"/>
            <w:bottom w:w="0" w:type="dxa"/>
            <w:right w:w="28" w:type="dxa"/>
          </w:tblCellMar>
        </w:tblPrEx>
        <w:trPr>
          <w:trHeight w:val="10520" w:hRule="atLeast"/>
        </w:trPr>
        <w:tc>
          <w:tcPr>
            <w:tcW w:w="453" w:type="dxa"/>
            <w:tcBorders>
              <w:top w:val="single" w:color="000000" w:sz="4" w:space="0"/>
              <w:left w:val="single" w:color="000000" w:sz="4" w:space="0"/>
              <w:bottom w:val="single" w:color="000000" w:sz="4" w:space="0"/>
              <w:right w:val="single" w:color="000000" w:sz="4" w:space="0"/>
            </w:tcBorders>
          </w:tcPr>
          <w:p w14:paraId="273E4752">
            <w:pPr>
              <w:jc w:val="left"/>
              <w:rPr>
                <w:rFonts w:hint="eastAsia" w:ascii="楷体" w:hAnsi="楷体" w:eastAsia="楷体" w:cs="楷体"/>
                <w:sz w:val="24"/>
                <w:szCs w:val="24"/>
              </w:rPr>
            </w:pPr>
            <w:r>
              <w:rPr>
                <w:rFonts w:hint="eastAsia" w:ascii="楷体" w:hAnsi="楷体" w:eastAsia="楷体" w:cs="楷体"/>
                <w:b/>
                <w:bCs/>
                <w:sz w:val="24"/>
                <w:szCs w:val="24"/>
              </w:rPr>
              <w:t>教学资源拓展</w:t>
            </w:r>
          </w:p>
        </w:tc>
        <w:tc>
          <w:tcPr>
            <w:tcW w:w="5881" w:type="dxa"/>
            <w:gridSpan w:val="5"/>
            <w:tcBorders>
              <w:top w:val="single" w:color="000000" w:sz="4" w:space="0"/>
              <w:left w:val="single" w:color="000000" w:sz="4" w:space="0"/>
              <w:bottom w:val="single" w:color="000000" w:sz="4" w:space="0"/>
              <w:right w:val="single" w:color="000000" w:sz="4" w:space="0"/>
            </w:tcBorders>
          </w:tcPr>
          <w:p w14:paraId="273E4753">
            <w:pPr>
              <w:pStyle w:val="2"/>
              <w:spacing w:beforeAutospacing="0" w:afterAutospacing="0"/>
              <w:rPr>
                <w:rFonts w:hint="eastAsia" w:ascii="楷体" w:hAnsi="楷体" w:eastAsia="楷体" w:cs="楷体"/>
                <w:bCs/>
                <w:sz w:val="24"/>
                <w:szCs w:val="24"/>
              </w:rPr>
            </w:pPr>
            <w:r>
              <w:rPr>
                <w:rFonts w:hint="eastAsia" w:ascii="楷体" w:hAnsi="楷体" w:eastAsia="楷体" w:cs="楷体"/>
                <w:bCs/>
                <w:sz w:val="24"/>
                <w:szCs w:val="24"/>
              </w:rPr>
              <w:t>1. 拓展资源：</w:t>
            </w:r>
            <w:r>
              <w:rPr>
                <w:rFonts w:hint="eastAsia" w:ascii="楷体" w:hAnsi="楷体" w:eastAsia="楷体" w:cs="楷体"/>
                <w:bCs/>
                <w:sz w:val="24"/>
                <w:szCs w:val="24"/>
              </w:rPr>
              <w:br w:type="textWrapping"/>
            </w:r>
            <w:r>
              <w:rPr>
                <w:rFonts w:hint="eastAsia" w:ascii="楷体" w:hAnsi="楷体" w:eastAsia="楷体" w:cs="楷体"/>
                <w:bCs/>
                <w:sz w:val="24"/>
                <w:szCs w:val="24"/>
              </w:rPr>
              <w:t>（1）《范仲淹传》（节选）：选取《宋史·范仲淹传》中关于其早年家境贫寒、赴京应试及在地方任职期间“三起三落”的记载，重点展示其“不戚戚于贫贱，不汲汲于富贵”的处世哲学，以及任延州知州时整顿吏治、治理黄河的史实，为理解其“先忧后乐”的政治抱负提供一手史料支撑。</w:t>
            </w:r>
            <w:r>
              <w:rPr>
                <w:rFonts w:hint="eastAsia" w:ascii="楷体" w:hAnsi="楷体" w:eastAsia="楷体" w:cs="楷体"/>
                <w:bCs/>
                <w:sz w:val="24"/>
                <w:szCs w:val="24"/>
              </w:rPr>
              <w:br w:type="textWrapping"/>
            </w:r>
            <w:r>
              <w:rPr>
                <w:rFonts w:hint="eastAsia" w:ascii="楷体" w:hAnsi="楷体" w:eastAsia="楷体" w:cs="楷体"/>
                <w:bCs/>
                <w:sz w:val="24"/>
                <w:szCs w:val="24"/>
              </w:rPr>
              <w:t>（2）《岳阳楼记》全文及名家批注：提供完整文言文原文，并附带历代著名学者（如苏轼、刘禹锡等）的批注解读，引导学生从不同视角赏析文中“先天下之忧而忧，后天下之乐而乐”的深刻内涵及其在唐宋古文中的传承影响。</w:t>
            </w:r>
            <w:r>
              <w:rPr>
                <w:rFonts w:hint="eastAsia" w:ascii="楷体" w:hAnsi="楷体" w:eastAsia="楷体" w:cs="楷体"/>
                <w:bCs/>
                <w:sz w:val="24"/>
                <w:szCs w:val="24"/>
              </w:rPr>
              <w:br w:type="textWrapping"/>
            </w:r>
            <w:r>
              <w:rPr>
                <w:rFonts w:hint="eastAsia" w:ascii="楷体" w:hAnsi="楷体" w:eastAsia="楷体" w:cs="楷体"/>
                <w:bCs/>
                <w:sz w:val="24"/>
                <w:szCs w:val="24"/>
              </w:rPr>
              <w:t>（3）“先忧后乐”思想专题纪录片：选取央视或国家图书馆出品的关于中国古代士大夫精神或范仲淹生平的人物纪录片片段，通过影像资料展现古代知识分子在动荡时代中坚守信念、心系天下的生动画面，增强学生的历史感知力。</w:t>
            </w:r>
            <w:r>
              <w:rPr>
                <w:rFonts w:hint="eastAsia" w:ascii="楷体" w:hAnsi="楷体" w:eastAsia="楷体" w:cs="楷体"/>
                <w:bCs/>
                <w:sz w:val="24"/>
                <w:szCs w:val="24"/>
              </w:rPr>
              <w:br w:type="textWrapping"/>
            </w:r>
            <w:r>
              <w:rPr>
                <w:rFonts w:hint="eastAsia" w:ascii="楷体" w:hAnsi="楷体" w:eastAsia="楷体" w:cs="楷体"/>
                <w:bCs/>
                <w:sz w:val="24"/>
                <w:szCs w:val="24"/>
              </w:rPr>
              <w:t>（4）《岳阳楼记》教学视频资源：制作成高清晰度教学视频，包含范仲淹在岳阳楼上的实景复原动画、经典诵读音频、课堂互动演示及教师导学视频，方便学生反复观看与模仿。</w:t>
            </w:r>
            <w:r>
              <w:rPr>
                <w:rFonts w:hint="eastAsia" w:ascii="楷体" w:hAnsi="楷体" w:eastAsia="楷体" w:cs="楷体"/>
                <w:bCs/>
                <w:sz w:val="24"/>
                <w:szCs w:val="24"/>
              </w:rPr>
              <w:br w:type="textWrapping"/>
            </w:r>
            <w:r>
              <w:rPr>
                <w:rFonts w:hint="eastAsia" w:ascii="楷体" w:hAnsi="楷体" w:eastAsia="楷体" w:cs="楷体"/>
                <w:bCs/>
                <w:sz w:val="24"/>
                <w:szCs w:val="24"/>
              </w:rPr>
              <w:t>2. 拓展建议：</w:t>
            </w:r>
            <w:r>
              <w:rPr>
                <w:rFonts w:hint="eastAsia" w:ascii="楷体" w:hAnsi="楷体" w:eastAsia="楷体" w:cs="楷体"/>
                <w:bCs/>
                <w:sz w:val="24"/>
                <w:szCs w:val="24"/>
              </w:rPr>
              <w:br w:type="textWrapping"/>
            </w:r>
            <w:r>
              <w:rPr>
                <w:rFonts w:hint="eastAsia" w:ascii="楷体" w:hAnsi="楷体" w:eastAsia="楷体" w:cs="楷体"/>
                <w:bCs/>
                <w:sz w:val="24"/>
                <w:szCs w:val="24"/>
              </w:rPr>
              <w:t>（1）阅读拓展：建议学生课后阅读《范仲淹传》全文，重点研读其“三起三落”的经历，思考个人命运与国家兴亡的辩证关系。同时，推荐阅读《滕王阁序》等同期文学作品，对比赏析王勃与李白的不同风格，体会“先天下之忧而忧”在文学史上的独特地位。</w:t>
            </w:r>
            <w:r>
              <w:rPr>
                <w:rFonts w:hint="eastAsia" w:ascii="楷体" w:hAnsi="楷体" w:eastAsia="楷体" w:cs="楷体"/>
                <w:bCs/>
                <w:sz w:val="24"/>
                <w:szCs w:val="24"/>
              </w:rPr>
              <w:br w:type="textWrapping"/>
            </w:r>
            <w:r>
              <w:rPr>
                <w:rFonts w:hint="eastAsia" w:ascii="楷体" w:hAnsi="楷体" w:eastAsia="楷体" w:cs="楷体"/>
                <w:bCs/>
                <w:sz w:val="24"/>
                <w:szCs w:val="24"/>
              </w:rPr>
              <w:t>（2）实践探究：组织学生开展“寻找身边的仁人志士”主题实践活动。要求学生采访社区中的老人、志愿者或企业家，了解他们是如何在困难时期坚持原则、服务社会的，并将采访记录整理成小报或演讲稿，以此深化对“先忧后乐”精神当代价值的理解。</w:t>
            </w:r>
            <w:r>
              <w:rPr>
                <w:rFonts w:hint="eastAsia" w:ascii="楷体" w:hAnsi="楷体" w:eastAsia="楷体" w:cs="楷体"/>
                <w:bCs/>
                <w:sz w:val="24"/>
                <w:szCs w:val="24"/>
              </w:rPr>
              <w:br w:type="textWrapping"/>
            </w:r>
            <w:r>
              <w:rPr>
                <w:rFonts w:hint="eastAsia" w:ascii="楷体" w:hAnsi="楷体" w:eastAsia="楷体" w:cs="楷体"/>
                <w:bCs/>
                <w:sz w:val="24"/>
                <w:szCs w:val="24"/>
              </w:rPr>
              <w:t>（3）跨学科融合：结合道德与法治课程，将《岳阳楼记》与社会主义核心价值观中的“爱国、敬业、诚信、友善”相联系，探讨古代士大夫精神与当代公民道德建设的关系，设计相应的主题班会或校本课程。</w:t>
            </w:r>
            <w:r>
              <w:rPr>
                <w:rFonts w:hint="eastAsia" w:ascii="楷体" w:hAnsi="楷体" w:eastAsia="楷体" w:cs="楷体"/>
                <w:bCs/>
                <w:sz w:val="24"/>
                <w:szCs w:val="24"/>
              </w:rPr>
              <w:br w:type="textWrapping"/>
            </w:r>
            <w:r>
              <w:rPr>
                <w:rFonts w:hint="eastAsia" w:ascii="楷体" w:hAnsi="楷体" w:eastAsia="楷体" w:cs="楷体"/>
                <w:bCs/>
                <w:sz w:val="24"/>
                <w:szCs w:val="24"/>
              </w:rPr>
              <w:t>（4）写作与表达：布置“假如你是范仲淹”的假设性写作任务，要求学生结合自己的生活经历，分析在面临个人利益与国家利益冲突时，自己会如何抉择，并撰写一篇不少于 600 字的议论文或记叙文，要求言之有物、逻辑清晰。</w:t>
            </w:r>
            <w:r>
              <w:rPr>
                <w:rFonts w:hint="eastAsia" w:ascii="楷体" w:hAnsi="楷体" w:eastAsia="楷体" w:cs="楷体"/>
                <w:bCs/>
                <w:sz w:val="24"/>
                <w:szCs w:val="24"/>
              </w:rPr>
              <w:br w:type="textWrapping"/>
            </w:r>
            <w:r>
              <w:rPr>
                <w:rFonts w:hint="eastAsia" w:ascii="楷体" w:hAnsi="楷体" w:eastAsia="楷体" w:cs="楷体"/>
                <w:bCs/>
                <w:sz w:val="24"/>
                <w:szCs w:val="24"/>
              </w:rPr>
              <w:t>（5）历史情境模拟：在课堂教学中，引入“北宋开封城防危机”的情境，让学生分组扮演朝廷官员、地方守将及百姓，模拟决策过程，讨论在“春和景明”与“阴阴雨寒”等不同情境下，范仲淹应如何决策，从而直观感受“不以物喜，不以己悲”的决策智慧。</w:t>
            </w:r>
            <w:r>
              <w:rPr>
                <w:rFonts w:hint="eastAsia" w:ascii="楷体" w:hAnsi="楷体" w:eastAsia="楷体" w:cs="楷体"/>
                <w:bCs/>
                <w:sz w:val="24"/>
                <w:szCs w:val="24"/>
              </w:rPr>
              <w:br w:type="textWrapping"/>
            </w:r>
            <w:r>
              <w:rPr>
                <w:rFonts w:hint="eastAsia" w:ascii="楷体" w:hAnsi="楷体" w:eastAsia="楷体" w:cs="楷体"/>
                <w:bCs/>
                <w:sz w:val="24"/>
                <w:szCs w:val="24"/>
              </w:rPr>
              <w:t>（6）文化传承：举办“范仲淹精神”主题手抄报或绘画展，鼓励学生用绘画、书法等形式展现对“先忧后乐”的理解，营造浓厚的校园文化氛围，使中华优秀传统文化代代相传。</w:t>
            </w:r>
            <w:r>
              <w:rPr>
                <w:rFonts w:hint="eastAsia" w:ascii="楷体" w:hAnsi="楷体" w:eastAsia="楷体" w:cs="楷体"/>
                <w:bCs/>
                <w:sz w:val="24"/>
                <w:szCs w:val="24"/>
              </w:rPr>
              <w:br w:type="textWrapping"/>
            </w:r>
            <w:r>
              <w:rPr>
                <w:rFonts w:hint="eastAsia" w:ascii="楷体" w:hAnsi="楷体" w:eastAsia="楷体" w:cs="楷体"/>
                <w:bCs/>
                <w:sz w:val="24"/>
                <w:szCs w:val="24"/>
              </w:rPr>
              <w:t>（7）数字化学习：利用学校智慧教育平台，推送“范仲淹生平时间轴”、“《岳阳楼记》字词注音”、“古今对比阅读”等微课视频，支持学生利用碎片化时间自主学习，实现个性化学习路径。</w:t>
            </w:r>
            <w:r>
              <w:rPr>
                <w:rFonts w:hint="eastAsia" w:ascii="楷体" w:hAnsi="楷体" w:eastAsia="楷体" w:cs="楷体"/>
                <w:bCs/>
                <w:sz w:val="24"/>
                <w:szCs w:val="24"/>
              </w:rPr>
              <w:br w:type="textWrapping"/>
            </w:r>
            <w:r>
              <w:rPr>
                <w:rFonts w:hint="eastAsia" w:ascii="楷体" w:hAnsi="楷体" w:eastAsia="楷体" w:cs="楷体"/>
                <w:bCs/>
                <w:sz w:val="24"/>
                <w:szCs w:val="24"/>
              </w:rPr>
              <w:t>（8）辩论赛准备：开展“先天下之忧而忧，后天下之乐而乐”的辩论赛，邀请学生扮演不同立场的辩手，通过辩论形式探讨该命题的合理性，锻炼学生的逻辑思维和表达能力，促进对核心观点的深入思考。</w:t>
            </w:r>
            <w:r>
              <w:rPr>
                <w:rFonts w:hint="eastAsia" w:ascii="楷体" w:hAnsi="楷体" w:eastAsia="楷体" w:cs="楷体"/>
                <w:bCs/>
                <w:sz w:val="24"/>
                <w:szCs w:val="24"/>
              </w:rPr>
              <w:br w:type="textWrapping"/>
            </w:r>
            <w:r>
              <w:rPr>
                <w:rFonts w:hint="eastAsia" w:ascii="楷体" w:hAnsi="楷体" w:eastAsia="楷体" w:cs="楷体"/>
                <w:bCs/>
                <w:sz w:val="24"/>
                <w:szCs w:val="24"/>
              </w:rPr>
              <w:t>（9）家校共育：建议家长与孩子共同阅读相关书籍，利用周末时间进行亲子共读，通过家庭对话交流对范仲淹精神的感悟，形成家校合力，共同培育青少年的家国情怀。</w:t>
            </w:r>
            <w:r>
              <w:rPr>
                <w:rFonts w:hint="eastAsia" w:ascii="楷体" w:hAnsi="楷体" w:eastAsia="楷体" w:cs="楷体"/>
                <w:bCs/>
                <w:sz w:val="24"/>
                <w:szCs w:val="24"/>
              </w:rPr>
              <w:br w:type="textWrapping"/>
            </w:r>
            <w:r>
              <w:rPr>
                <w:rFonts w:hint="eastAsia" w:ascii="楷体" w:hAnsi="楷体" w:eastAsia="楷体" w:cs="楷体"/>
                <w:bCs/>
                <w:sz w:val="24"/>
                <w:szCs w:val="24"/>
              </w:rPr>
              <w:t>（10）成果展示：鼓励学生在班级或学校举办“范仲淹故事分享会”或“经典诵读大赛”，让学生上台展示学习成果，通过公开演讲和表演形式，进一步巩固知识，提升自信心，激发学习兴趣。</w:t>
            </w:r>
          </w:p>
        </w:tc>
        <w:tc>
          <w:tcPr>
            <w:tcW w:w="1785" w:type="dxa"/>
            <w:gridSpan w:val="2"/>
            <w:tcBorders>
              <w:top w:val="single" w:color="000000" w:sz="4" w:space="0"/>
              <w:left w:val="single" w:color="000000" w:sz="4" w:space="0"/>
              <w:bottom w:val="single" w:color="000000" w:sz="4" w:space="0"/>
              <w:right w:val="single" w:color="000000" w:sz="4" w:space="0"/>
            </w:tcBorders>
          </w:tcPr>
          <w:p w14:paraId="273E4754">
            <w:pPr>
              <w:jc w:val="left"/>
              <w:rPr>
                <w:rFonts w:hint="eastAsia" w:ascii="楷体" w:hAnsi="楷体" w:eastAsia="楷体" w:cs="楷体"/>
                <w:sz w:val="24"/>
                <w:szCs w:val="24"/>
              </w:rPr>
            </w:pPr>
          </w:p>
        </w:tc>
      </w:tr>
      <w:tr w14:paraId="273E4759">
        <w:tblPrEx>
          <w:tblCellMar>
            <w:top w:w="0" w:type="dxa"/>
            <w:left w:w="28" w:type="dxa"/>
            <w:bottom w:w="0" w:type="dxa"/>
            <w:right w:w="28" w:type="dxa"/>
          </w:tblCellMar>
        </w:tblPrEx>
        <w:trPr>
          <w:trHeight w:val="7429" w:hRule="atLeast"/>
        </w:trPr>
        <w:tc>
          <w:tcPr>
            <w:tcW w:w="453" w:type="dxa"/>
            <w:tcBorders>
              <w:top w:val="single" w:color="000000" w:sz="4" w:space="0"/>
              <w:left w:val="single" w:color="000000" w:sz="4" w:space="0"/>
              <w:bottom w:val="single" w:color="000000" w:sz="4" w:space="0"/>
              <w:right w:val="single" w:color="000000" w:sz="4" w:space="0"/>
            </w:tcBorders>
          </w:tcPr>
          <w:p w14:paraId="273E4756">
            <w:pPr>
              <w:jc w:val="left"/>
              <w:rPr>
                <w:rFonts w:hint="eastAsia" w:ascii="楷体" w:hAnsi="楷体" w:eastAsia="楷体" w:cs="楷体"/>
                <w:sz w:val="24"/>
                <w:szCs w:val="24"/>
              </w:rPr>
            </w:pPr>
            <w:r>
              <w:rPr>
                <w:rFonts w:hint="eastAsia" w:ascii="楷体" w:hAnsi="楷体" w:eastAsia="楷体" w:cs="楷体"/>
                <w:b/>
                <w:bCs/>
                <w:sz w:val="24"/>
                <w:szCs w:val="24"/>
              </w:rPr>
              <w:t>教学评价与反馈</w:t>
            </w:r>
          </w:p>
        </w:tc>
        <w:tc>
          <w:tcPr>
            <w:tcW w:w="5881" w:type="dxa"/>
            <w:gridSpan w:val="5"/>
            <w:tcBorders>
              <w:top w:val="single" w:color="000000" w:sz="4" w:space="0"/>
              <w:left w:val="single" w:color="000000" w:sz="4" w:space="0"/>
              <w:bottom w:val="single" w:color="000000" w:sz="4" w:space="0"/>
              <w:right w:val="single" w:color="000000" w:sz="4" w:space="0"/>
            </w:tcBorders>
          </w:tcPr>
          <w:p w14:paraId="273E4757">
            <w:pPr>
              <w:pStyle w:val="2"/>
              <w:spacing w:beforeAutospacing="0" w:afterAutospacing="0"/>
              <w:rPr>
                <w:rFonts w:hint="eastAsia" w:ascii="楷体" w:hAnsi="楷体" w:eastAsia="楷体" w:cs="楷体"/>
                <w:bCs/>
                <w:sz w:val="24"/>
                <w:szCs w:val="24"/>
              </w:rPr>
            </w:pPr>
            <w:r>
              <w:rPr>
                <w:rFonts w:hint="eastAsia" w:ascii="楷体" w:hAnsi="楷体" w:eastAsia="楷体" w:cs="楷体"/>
                <w:bCs/>
                <w:sz w:val="24"/>
                <w:szCs w:val="24"/>
              </w:rPr>
              <w:t>1. 课堂表现：通过观察学生在导入环节的提问反应、小组讨论中的参与度及课堂展示时的语言表达，评价学生是否建立了对范仲淹精神的情感认同。重点关注学生能否从“迁客骚人”与“古仁人”的对比中区分出情感基调的差异，以及是否能在模拟情境中展现出不以物喜、不以己悲的理性态度。</w:t>
            </w:r>
            <w:r>
              <w:rPr>
                <w:rFonts w:hint="eastAsia" w:ascii="楷体" w:hAnsi="楷体" w:eastAsia="楷体" w:cs="楷体"/>
                <w:bCs/>
                <w:sz w:val="24"/>
                <w:szCs w:val="24"/>
              </w:rPr>
              <w:br w:type="textWrapping"/>
            </w:r>
            <w:r>
              <w:rPr>
                <w:rFonts w:hint="eastAsia" w:ascii="楷体" w:hAnsi="楷体" w:eastAsia="楷体" w:cs="楷体"/>
                <w:bCs/>
                <w:sz w:val="24"/>
                <w:szCs w:val="24"/>
              </w:rPr>
              <w:t>2. 小组讨论成果展示：评价各小组在“寻找身边的仁人志士”及“假设性写作”环节的表现。重点考察小组合作是否有效，能否将古代士大夫精神与现代社会志愿服务、环境保护等实际议题结合，提出的解决方案是否具有可行性与创新性，以及展示过程中逻辑是否清晰、论证是否充分。</w:t>
            </w:r>
            <w:r>
              <w:rPr>
                <w:rFonts w:hint="eastAsia" w:ascii="楷体" w:hAnsi="楷体" w:eastAsia="楷体" w:cs="楷体"/>
                <w:bCs/>
                <w:sz w:val="24"/>
                <w:szCs w:val="24"/>
              </w:rPr>
              <w:br w:type="textWrapping"/>
            </w:r>
            <w:r>
              <w:rPr>
                <w:rFonts w:hint="eastAsia" w:ascii="楷体" w:hAnsi="楷体" w:eastAsia="楷体" w:cs="楷体"/>
                <w:bCs/>
                <w:sz w:val="24"/>
                <w:szCs w:val="24"/>
              </w:rPr>
              <w:t>3. 随堂测试：设计包含《岳阳楼记》核心名句理解、文言文实词解释及“先忧后乐”思想内涵辨析的选择题与简答题。重点检测学生是否准确掌握了文章结构层次，能否准确理解“不以物喜，不以己悲”与“先天下之忧而忧”的辩证关系，以及能否将这种思想转化为个人行动。</w:t>
            </w:r>
            <w:r>
              <w:rPr>
                <w:rFonts w:hint="eastAsia" w:ascii="楷体" w:hAnsi="楷体" w:eastAsia="楷体" w:cs="楷体"/>
                <w:bCs/>
                <w:sz w:val="24"/>
                <w:szCs w:val="24"/>
              </w:rPr>
              <w:br w:type="textWrapping"/>
            </w:r>
            <w:r>
              <w:rPr>
                <w:rFonts w:hint="eastAsia" w:ascii="楷体" w:hAnsi="楷体" w:eastAsia="楷体" w:cs="楷体"/>
                <w:bCs/>
                <w:sz w:val="24"/>
                <w:szCs w:val="24"/>
              </w:rPr>
              <w:t>4. 课后作业评价：针对学生撰写的《如何在当代社会践行“先忧后乐”精神》短文进行评分。评价标准不仅包括内容的完整性与逻辑性，更侧重其能否结合具体生活实例，体现家国情怀与责任担当，以及语言表达的规范性。</w:t>
            </w:r>
            <w:r>
              <w:rPr>
                <w:rFonts w:hint="eastAsia" w:ascii="楷体" w:hAnsi="楷体" w:eastAsia="楷体" w:cs="楷体"/>
                <w:bCs/>
                <w:sz w:val="24"/>
                <w:szCs w:val="24"/>
              </w:rPr>
              <w:br w:type="textWrapping"/>
            </w:r>
            <w:r>
              <w:rPr>
                <w:rFonts w:hint="eastAsia" w:ascii="楷体" w:hAnsi="楷体" w:eastAsia="楷体" w:cs="楷体"/>
                <w:bCs/>
                <w:sz w:val="24"/>
                <w:szCs w:val="24"/>
              </w:rPr>
              <w:t>5. 教师评价与反馈：教师将依据课堂表现、测试成绩及作业质量，进行分层评价。对理解深刻、表现突出的学生给予肯定，鼓励其继续深入探究；对部分学生存在的知识盲区或表达不清之处，及时在课堂点评中予以纠正，并记录在案以便下次辅导。同时，通过家校沟通，反馈学生在家校共育中的表现，共同关注学生的思想成长，确保教学评价既全面又具有针对性。</w:t>
            </w:r>
          </w:p>
        </w:tc>
        <w:tc>
          <w:tcPr>
            <w:tcW w:w="1785" w:type="dxa"/>
            <w:gridSpan w:val="2"/>
            <w:tcBorders>
              <w:top w:val="single" w:color="000000" w:sz="4" w:space="0"/>
              <w:left w:val="single" w:color="000000" w:sz="4" w:space="0"/>
              <w:bottom w:val="single" w:color="000000" w:sz="4" w:space="0"/>
              <w:right w:val="single" w:color="000000" w:sz="4" w:space="0"/>
            </w:tcBorders>
          </w:tcPr>
          <w:p w14:paraId="273E4758">
            <w:pPr>
              <w:jc w:val="left"/>
              <w:rPr>
                <w:rFonts w:hint="eastAsia" w:ascii="楷体" w:hAnsi="楷体" w:eastAsia="楷体" w:cs="楷体"/>
                <w:sz w:val="24"/>
                <w:szCs w:val="24"/>
              </w:rPr>
            </w:pPr>
          </w:p>
        </w:tc>
      </w:tr>
      <w:tr w14:paraId="273E475D">
        <w:tblPrEx>
          <w:tblCellMar>
            <w:top w:w="0" w:type="dxa"/>
            <w:left w:w="28" w:type="dxa"/>
            <w:bottom w:w="0" w:type="dxa"/>
            <w:right w:w="28" w:type="dxa"/>
          </w:tblCellMar>
        </w:tblPrEx>
        <w:trPr>
          <w:trHeight w:val="639" w:hRule="atLeast"/>
        </w:trPr>
        <w:tc>
          <w:tcPr>
            <w:tcW w:w="453" w:type="dxa"/>
            <w:tcBorders>
              <w:top w:val="single" w:color="000000" w:sz="4" w:space="0"/>
              <w:left w:val="single" w:color="000000" w:sz="4" w:space="0"/>
              <w:bottom w:val="single" w:color="000000" w:sz="4" w:space="0"/>
              <w:right w:val="single" w:color="000000" w:sz="4" w:space="0"/>
            </w:tcBorders>
          </w:tcPr>
          <w:p w14:paraId="273E475A">
            <w:pPr>
              <w:jc w:val="left"/>
              <w:rPr>
                <w:rFonts w:hint="eastAsia" w:ascii="楷体" w:hAnsi="楷体" w:eastAsia="楷体" w:cs="楷体"/>
                <w:sz w:val="24"/>
                <w:szCs w:val="24"/>
              </w:rPr>
            </w:pPr>
            <w:r>
              <w:rPr>
                <w:rFonts w:hint="eastAsia" w:ascii="楷体" w:hAnsi="楷体" w:eastAsia="楷体" w:cs="楷体"/>
                <w:b/>
                <w:bCs/>
                <w:sz w:val="24"/>
                <w:szCs w:val="24"/>
              </w:rPr>
              <w:t>内容逻辑关系</w:t>
            </w:r>
          </w:p>
        </w:tc>
        <w:tc>
          <w:tcPr>
            <w:tcW w:w="5881" w:type="dxa"/>
            <w:gridSpan w:val="5"/>
            <w:tcBorders>
              <w:top w:val="single" w:color="000000" w:sz="4" w:space="0"/>
              <w:left w:val="single" w:color="000000" w:sz="4" w:space="0"/>
              <w:bottom w:val="single" w:color="000000" w:sz="4" w:space="0"/>
              <w:right w:val="single" w:color="000000" w:sz="4" w:space="0"/>
            </w:tcBorders>
          </w:tcPr>
          <w:p w14:paraId="273E475B">
            <w:pPr>
              <w:pStyle w:val="2"/>
              <w:spacing w:beforeAutospacing="0" w:afterAutospacing="0"/>
              <w:rPr>
                <w:rFonts w:hint="eastAsia" w:ascii="楷体" w:hAnsi="楷体" w:eastAsia="楷体" w:cs="楷体"/>
                <w:bCs/>
                <w:sz w:val="24"/>
                <w:szCs w:val="24"/>
              </w:rPr>
            </w:pPr>
            <w:r>
              <w:rPr>
                <w:rFonts w:hint="eastAsia" w:ascii="楷体" w:hAnsi="楷体" w:eastAsia="楷体" w:cs="楷体"/>
                <w:bCs/>
                <w:sz w:val="24"/>
                <w:szCs w:val="24"/>
              </w:rPr>
              <w:t>① 文脉脉络与结构层次：本文逻辑以写景起笔，由景入情，由情入理，层层递进。重点知识点包括：首段“至若春和景明，波澜不惊”描绘的春景，为后文铺垫“迁客骚人”的悲喜心理；第二段“至若阴阴雨寒，万物萧条”渲染的秋景，引发迁客“感极而悲”的愁绪；第三段“不以物喜，不以己悲”提出核心观点，即无论境遇如何，内心保持豁达；第四段“先天下之忧而忧，后天下之乐而乐”升华主旨，确立士大夫的宏大格局。教学时应引导学生梳理“景—情—理—道”的推进逻辑，理解文章从个人情感波动到家国责任担当的跨越。</w:t>
            </w:r>
            <w:r>
              <w:rPr>
                <w:rFonts w:hint="eastAsia" w:ascii="楷体" w:hAnsi="楷体" w:eastAsia="楷体" w:cs="楷体"/>
                <w:bCs/>
                <w:sz w:val="24"/>
                <w:szCs w:val="24"/>
              </w:rPr>
              <w:br w:type="textWrapping"/>
            </w:r>
            <w:r>
              <w:rPr>
                <w:rFonts w:hint="eastAsia" w:ascii="楷体" w:hAnsi="楷体" w:eastAsia="楷体" w:cs="楷体"/>
                <w:bCs/>
                <w:sz w:val="24"/>
                <w:szCs w:val="24"/>
              </w:rPr>
              <w:t>② 核心意象与情感转化：本文通过“楼”、“春”、“秋”、“景明”、“阴雨”等意象构建空间与情境。重点词句分析：“不以物喜，不以己悲”是情感转折的关键句，标</w:t>
            </w:r>
            <w:bookmarkStart w:id="0" w:name="_GoBack"/>
            <w:bookmarkEnd w:id="0"/>
            <w:r>
              <w:rPr>
                <w:rFonts w:hint="eastAsia" w:ascii="楷体" w:hAnsi="楷体" w:eastAsia="楷体" w:cs="楷体"/>
                <w:bCs/>
                <w:sz w:val="24"/>
                <w:szCs w:val="24"/>
              </w:rPr>
              <w:t>志着从被动反应到主动超越的心理跃迁；“先天下之忧而忧，后天下之乐而乐”是全篇精神的灵魂，体现了儒家“内圣外王”的极致追求。教学需深入剖析这些意象如何承载情感，以及情感如何转化为理性的政治主张，揭示文章由浅入深、由小见大的逻辑链条。</w:t>
            </w:r>
            <w:r>
              <w:rPr>
                <w:rFonts w:hint="eastAsia" w:ascii="楷体" w:hAnsi="楷体" w:eastAsia="楷体" w:cs="楷体"/>
                <w:bCs/>
                <w:sz w:val="24"/>
                <w:szCs w:val="24"/>
              </w:rPr>
              <w:br w:type="textWrapping"/>
            </w:r>
            <w:r>
              <w:rPr>
                <w:rFonts w:hint="eastAsia" w:ascii="楷体" w:hAnsi="楷体" w:eastAsia="楷体" w:cs="楷体"/>
                <w:bCs/>
                <w:sz w:val="24"/>
                <w:szCs w:val="24"/>
              </w:rPr>
              <w:t>③ 古今精神与价值导向：本文逻辑最终指向对当代青年的价值引导。重点在于将范仲淹的“忧国忧民”精神与新时代“中国梦”、“社会主义核心价值观”相连接。逻辑上，文章展示了古代士大夫在逆境中坚守信念、在顺境中不忘本心的精神特质。教学应阐明这种精神逻辑对于解决当代社会矛盾、培养担当精神的意义，使学生明确学习本文不仅是掌握文言知识，更是为了汲取精神力量，确立正确的人生观与价值观，实现传统文化与现代社会的有机融合。</w:t>
            </w:r>
          </w:p>
        </w:tc>
        <w:tc>
          <w:tcPr>
            <w:tcW w:w="1785" w:type="dxa"/>
            <w:gridSpan w:val="2"/>
            <w:tcBorders>
              <w:top w:val="single" w:color="000000" w:sz="4" w:space="0"/>
              <w:left w:val="single" w:color="000000" w:sz="4" w:space="0"/>
              <w:bottom w:val="single" w:color="000000" w:sz="4" w:space="0"/>
              <w:right w:val="single" w:color="000000" w:sz="4" w:space="0"/>
            </w:tcBorders>
          </w:tcPr>
          <w:p w14:paraId="273E475C">
            <w:pPr>
              <w:jc w:val="left"/>
              <w:rPr>
                <w:rFonts w:hint="eastAsia" w:ascii="楷体" w:hAnsi="楷体" w:eastAsia="楷体" w:cs="楷体"/>
                <w:sz w:val="24"/>
                <w:szCs w:val="24"/>
              </w:rPr>
            </w:pPr>
          </w:p>
        </w:tc>
      </w:tr>
    </w:tbl>
    <w:p w14:paraId="273E475E">
      <w:pPr>
        <w:jc w:val="left"/>
        <w:rPr>
          <w:rFonts w:hint="eastAsia" w:ascii="楷体" w:hAnsi="楷体" w:eastAsia="楷体" w:cs="楷体"/>
          <w:sz w:val="24"/>
          <w:szCs w:val="24"/>
        </w:rPr>
      </w:pPr>
    </w:p>
    <w:p w14:paraId="273E476B">
      <w:pPr>
        <w:jc w:val="left"/>
        <w:rPr>
          <w:rFonts w:hint="eastAsia" w:ascii="楷体" w:hAnsi="楷体" w:eastAsia="楷体" w:cs="楷体"/>
          <w:b/>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11206496"/>
    <w:rsid w:val="004B1670"/>
    <w:rsid w:val="005D4B7E"/>
    <w:rsid w:val="009665E0"/>
    <w:rsid w:val="00A77CEB"/>
    <w:rsid w:val="11206496"/>
    <w:rsid w:val="1B7E5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pPr>
      <w:widowControl/>
      <w:spacing w:beforeAutospacing="1" w:afterAutospacing="1"/>
      <w:jc w:val="left"/>
    </w:pPr>
    <w:rPr>
      <w:rFonts w:ascii="宋体" w:hAnsi="宋体" w:cs="宋体"/>
      <w:kern w:val="0"/>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5096</Words>
  <Characters>5124</Characters>
  <Lines>139</Lines>
  <Paragraphs>45</Paragraphs>
  <TotalTime>37</TotalTime>
  <ScaleCrop>false</ScaleCrop>
  <LinksUpToDate>false</LinksUpToDate>
  <CharactersWithSpaces>5164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2026-09-19T06:35:00Z</dcterms:created>
  <dc:creator>刘筱瑜</dc:creator>
  <cp:lastModifiedBy>刘筱瑜</cp:lastModifiedBy>
  <dcterms:modified xsi:type="dcterms:W3CDTF">2026-09-20T14:00:17Z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2303B7CEE85E43B3B680BFF4B8076467_13</vt:lpwstr>
  </property>
</Properties>
</file>