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BF4B8" w14:textId="77777777" w:rsidR="00384005" w:rsidRDefault="00384005" w:rsidP="00DA02A6">
      <w:pPr>
        <w:spacing w:line="360" w:lineRule="auto"/>
        <w:rPr>
          <w:b/>
          <w:bCs/>
          <w:color w:val="C00000"/>
        </w:rPr>
      </w:pPr>
      <w:r>
        <w:rPr>
          <w:b/>
          <w:bCs/>
          <w:color w:val="C00000"/>
        </w:rPr>
        <w:t>Introduction</w:t>
      </w:r>
    </w:p>
    <w:p w14:paraId="5C798746" w14:textId="77777777" w:rsidR="00384005" w:rsidRDefault="00384005" w:rsidP="00DA02A6">
      <w:pPr>
        <w:spacing w:line="360" w:lineRule="auto"/>
        <w:rPr>
          <w:b/>
          <w:bCs/>
          <w:color w:val="C00000"/>
        </w:rPr>
      </w:pPr>
    </w:p>
    <w:p w14:paraId="06DB30C4" w14:textId="0095A008" w:rsidR="00210C70" w:rsidRPr="003F49E8" w:rsidRDefault="00CE406E" w:rsidP="00DA02A6">
      <w:pPr>
        <w:spacing w:line="360" w:lineRule="auto"/>
        <w:rPr>
          <w:b/>
          <w:bCs/>
          <w:color w:val="C00000"/>
        </w:rPr>
      </w:pPr>
      <w:r w:rsidRPr="003F49E8">
        <w:rPr>
          <w:b/>
          <w:bCs/>
          <w:color w:val="C00000"/>
        </w:rPr>
        <w:t xml:space="preserve">Sub-chapter 2 - </w:t>
      </w:r>
      <w:r w:rsidR="00384005">
        <w:rPr>
          <w:b/>
          <w:bCs/>
          <w:color w:val="C00000"/>
        </w:rPr>
        <w:t>T</w:t>
      </w:r>
      <w:r w:rsidR="00210C70" w:rsidRPr="003F49E8">
        <w:rPr>
          <w:b/>
          <w:bCs/>
          <w:color w:val="C00000"/>
        </w:rPr>
        <w:t xml:space="preserve">ranscriptomic </w:t>
      </w:r>
      <w:r w:rsidR="00384005">
        <w:rPr>
          <w:b/>
          <w:bCs/>
          <w:color w:val="C00000"/>
        </w:rPr>
        <w:t xml:space="preserve">potential </w:t>
      </w:r>
      <w:r w:rsidRPr="003F49E8">
        <w:rPr>
          <w:b/>
          <w:bCs/>
          <w:color w:val="C00000"/>
        </w:rPr>
        <w:t>biomarker</w:t>
      </w:r>
      <w:r w:rsidR="00384005">
        <w:rPr>
          <w:b/>
          <w:bCs/>
          <w:color w:val="C00000"/>
        </w:rPr>
        <w:t>s</w:t>
      </w:r>
      <w:r w:rsidR="00210C70" w:rsidRPr="003F49E8">
        <w:rPr>
          <w:b/>
          <w:bCs/>
          <w:color w:val="C00000"/>
        </w:rPr>
        <w:t xml:space="preserve"> for R</w:t>
      </w:r>
      <w:r w:rsidR="00384005">
        <w:rPr>
          <w:b/>
          <w:bCs/>
          <w:color w:val="C00000"/>
        </w:rPr>
        <w:t>heumatoid Arthritis</w:t>
      </w:r>
    </w:p>
    <w:p w14:paraId="7D26AB5B" w14:textId="591C37D9" w:rsidR="00210C70" w:rsidRPr="003F49E8" w:rsidRDefault="00210C70" w:rsidP="00DA02A6">
      <w:pPr>
        <w:spacing w:line="360" w:lineRule="auto"/>
        <w:rPr>
          <w:b/>
          <w:bCs/>
          <w:lang w:val="en-US"/>
        </w:rPr>
      </w:pPr>
      <w:r w:rsidRPr="003F49E8">
        <w:rPr>
          <w:b/>
          <w:bCs/>
          <w:lang w:val="en-US"/>
        </w:rPr>
        <w:t>Chapter aim and objectives</w:t>
      </w:r>
    </w:p>
    <w:p w14:paraId="6BB8C9C0" w14:textId="77777777" w:rsidR="007D48EC" w:rsidRPr="003F49E8" w:rsidRDefault="007D48EC" w:rsidP="00DA02A6">
      <w:pPr>
        <w:spacing w:line="360" w:lineRule="auto"/>
        <w:rPr>
          <w:b/>
          <w:bCs/>
          <w:lang w:val="en-US"/>
        </w:rPr>
      </w:pPr>
      <w:r w:rsidRPr="003F49E8">
        <w:rPr>
          <w:b/>
          <w:bCs/>
          <w:lang w:val="en-US"/>
        </w:rPr>
        <w:t xml:space="preserve">Research question: </w:t>
      </w:r>
    </w:p>
    <w:p w14:paraId="2B20BC91" w14:textId="77777777" w:rsidR="007D48EC" w:rsidRPr="003F49E8" w:rsidRDefault="007D48EC" w:rsidP="00DA02A6">
      <w:pPr>
        <w:spacing w:line="360" w:lineRule="auto"/>
        <w:rPr>
          <w:color w:val="000000"/>
        </w:rPr>
      </w:pPr>
      <w:r w:rsidRPr="003F49E8">
        <w:rPr>
          <w:color w:val="000000"/>
        </w:rPr>
        <w:t>Does biological sex define distinct whole-blood transcriptomic diagnostic signatures in rheumatoid arthritis, and do these sex-specific signatures replicate in an independent blood cohort and in synovial tissue</w:t>
      </w:r>
    </w:p>
    <w:p w14:paraId="21EEDD38" w14:textId="77777777" w:rsidR="007D48EC" w:rsidRPr="003F49E8" w:rsidRDefault="007D48EC" w:rsidP="00DA02A6">
      <w:pPr>
        <w:spacing w:line="360" w:lineRule="auto"/>
        <w:rPr>
          <w:b/>
          <w:bCs/>
          <w:lang w:val="en-US"/>
        </w:rPr>
      </w:pPr>
      <w:r w:rsidRPr="003F49E8">
        <w:rPr>
          <w:b/>
          <w:bCs/>
          <w:lang w:val="en-US"/>
        </w:rPr>
        <w:t>Sub-question:</w:t>
      </w:r>
    </w:p>
    <w:p w14:paraId="63A97F50" w14:textId="3ADA23FA" w:rsidR="007D48EC" w:rsidRPr="003F49E8" w:rsidRDefault="007D48EC" w:rsidP="00DA02A6">
      <w:pPr>
        <w:pStyle w:val="ListParagraph"/>
        <w:numPr>
          <w:ilvl w:val="0"/>
          <w:numId w:val="1"/>
        </w:numPr>
        <w:spacing w:after="160" w:line="360" w:lineRule="auto"/>
        <w:rPr>
          <w:lang w:val="en-US"/>
        </w:rPr>
      </w:pPr>
      <w:r w:rsidRPr="003F49E8">
        <w:rPr>
          <w:rStyle w:val="apple-converted-space"/>
          <w:rFonts w:ascii="-apple-system-font" w:hAnsi="-apple-system-font"/>
          <w:color w:val="000000"/>
        </w:rPr>
        <w:t> </w:t>
      </w:r>
      <w:r w:rsidRPr="003F49E8">
        <w:rPr>
          <w:rFonts w:ascii="-apple-system-font" w:hAnsi="-apple-system-font"/>
          <w:color w:val="000000"/>
        </w:rPr>
        <w:t xml:space="preserve">Do sex-stratified signatures discriminate RA from healthy controls within each sex, and how does female vs male performance </w:t>
      </w:r>
      <w:r w:rsidR="00384005">
        <w:rPr>
          <w:rFonts w:ascii="-apple-system-font" w:hAnsi="-apple-system-font"/>
          <w:color w:val="000000"/>
        </w:rPr>
        <w:t>differ</w:t>
      </w:r>
      <w:r w:rsidRPr="003F49E8">
        <w:rPr>
          <w:rFonts w:ascii="-apple-system-font" w:hAnsi="-apple-system-font"/>
          <w:color w:val="000000"/>
        </w:rPr>
        <w:t>, given the male sample-size limit</w:t>
      </w:r>
      <w:r w:rsidR="00384005">
        <w:rPr>
          <w:rFonts w:ascii="-apple-system-font" w:hAnsi="-apple-system-font"/>
          <w:color w:val="000000"/>
        </w:rPr>
        <w:t>?</w:t>
      </w:r>
    </w:p>
    <w:p w14:paraId="78861552" w14:textId="2BB87C69" w:rsidR="007D48EC" w:rsidRPr="003F49E8" w:rsidRDefault="007D48EC" w:rsidP="00DA02A6">
      <w:pPr>
        <w:pStyle w:val="ListParagraph"/>
        <w:numPr>
          <w:ilvl w:val="0"/>
          <w:numId w:val="1"/>
        </w:numPr>
        <w:spacing w:after="160" w:line="360" w:lineRule="auto"/>
        <w:rPr>
          <w:lang w:val="en-US"/>
        </w:rPr>
      </w:pPr>
      <w:r w:rsidRPr="003F49E8">
        <w:rPr>
          <w:rFonts w:ascii="-apple-system-font" w:hAnsi="-apple-system-font"/>
          <w:color w:val="000000"/>
        </w:rPr>
        <w:t>Do the blood biomarkers generalise to an independent PBMC cohort (GSE15573) and to synovium (GSE89408), and which genes are concordant across both</w:t>
      </w:r>
      <w:r w:rsidR="00384005">
        <w:rPr>
          <w:rFonts w:ascii="-apple-system-font" w:hAnsi="-apple-system-font"/>
          <w:color w:val="000000"/>
        </w:rPr>
        <w:t xml:space="preserve"> sexes?</w:t>
      </w:r>
    </w:p>
    <w:p w14:paraId="4AECF542" w14:textId="455946F8" w:rsidR="007D48EC" w:rsidRPr="003F49E8" w:rsidRDefault="007D48EC" w:rsidP="00DA02A6">
      <w:pPr>
        <w:pStyle w:val="ListParagraph"/>
        <w:numPr>
          <w:ilvl w:val="0"/>
          <w:numId w:val="1"/>
        </w:numPr>
        <w:spacing w:after="160" w:line="360" w:lineRule="auto"/>
        <w:rPr>
          <w:rStyle w:val="apple-converted-space"/>
          <w:lang w:val="en-US"/>
        </w:rPr>
      </w:pPr>
      <w:r w:rsidRPr="003F49E8">
        <w:rPr>
          <w:rFonts w:ascii="-apple-system-font" w:hAnsi="-apple-system-font"/>
          <w:color w:val="000000"/>
        </w:rPr>
        <w:t>Which pathways and immune-cell composition differences underlie the signatures</w:t>
      </w:r>
      <w:r w:rsidR="00384005">
        <w:rPr>
          <w:rFonts w:ascii="-apple-system-font" w:hAnsi="-apple-system-font"/>
          <w:color w:val="000000"/>
        </w:rPr>
        <w:t xml:space="preserve"> in both sexes</w:t>
      </w:r>
      <w:r w:rsidR="00384005">
        <w:rPr>
          <w:rStyle w:val="apple-converted-space"/>
          <w:rFonts w:ascii="-apple-system-font" w:hAnsi="-apple-system-font"/>
          <w:color w:val="000000"/>
        </w:rPr>
        <w:t>?</w:t>
      </w:r>
    </w:p>
    <w:p w14:paraId="7F89B239" w14:textId="77777777" w:rsidR="007D48EC" w:rsidRPr="003F49E8" w:rsidRDefault="007D48EC" w:rsidP="00DA02A6">
      <w:pPr>
        <w:spacing w:line="360" w:lineRule="auto"/>
        <w:rPr>
          <w:lang w:val="en-US"/>
        </w:rPr>
      </w:pPr>
      <w:r w:rsidRPr="003F49E8">
        <w:rPr>
          <w:b/>
          <w:bCs/>
          <w:lang w:val="en-US"/>
        </w:rPr>
        <w:t>Objectives:</w:t>
      </w:r>
    </w:p>
    <w:p w14:paraId="60873F53" w14:textId="77777777" w:rsidR="007D48EC" w:rsidRPr="003F49E8" w:rsidRDefault="007D48EC" w:rsidP="00DA02A6">
      <w:pPr>
        <w:pStyle w:val="ListParagraph"/>
        <w:numPr>
          <w:ilvl w:val="0"/>
          <w:numId w:val="2"/>
        </w:numPr>
        <w:spacing w:after="160" w:line="360" w:lineRule="auto"/>
        <w:rPr>
          <w:lang w:val="en-US"/>
        </w:rPr>
      </w:pPr>
      <w:r w:rsidRPr="003F49E8">
        <w:rPr>
          <w:rFonts w:ascii="-apple-system-font" w:hAnsi="-apple-system-font"/>
          <w:color w:val="000000"/>
        </w:rPr>
        <w:t>To discover RA diagnostic transcriptomic signatures separately in females and males from whole blood</w:t>
      </w:r>
    </w:p>
    <w:p w14:paraId="3F952E57" w14:textId="77777777" w:rsidR="007D48EC" w:rsidRPr="003F49E8" w:rsidRDefault="007D48EC" w:rsidP="00DA02A6">
      <w:pPr>
        <w:pStyle w:val="ListParagraph"/>
        <w:numPr>
          <w:ilvl w:val="0"/>
          <w:numId w:val="2"/>
        </w:numPr>
        <w:spacing w:after="160" w:line="360" w:lineRule="auto"/>
        <w:rPr>
          <w:lang w:val="en-US"/>
        </w:rPr>
      </w:pPr>
      <w:r w:rsidRPr="003F49E8">
        <w:rPr>
          <w:rStyle w:val="apple-converted-space"/>
          <w:rFonts w:ascii="-apple-system-font" w:hAnsi="-apple-system-font"/>
          <w:color w:val="000000"/>
        </w:rPr>
        <w:t> </w:t>
      </w:r>
      <w:r w:rsidRPr="003F49E8">
        <w:rPr>
          <w:rFonts w:ascii="-apple-system-font" w:hAnsi="-apple-system-font"/>
          <w:color w:val="000000"/>
        </w:rPr>
        <w:t>To test whether the resulting sex-distinct signatures replicate in independent blood and in synovial tissue.</w:t>
      </w:r>
    </w:p>
    <w:p w14:paraId="591F9B9E" w14:textId="7F90A41D" w:rsidR="007D48EC" w:rsidRPr="003F49E8" w:rsidRDefault="007D48EC" w:rsidP="00DA02A6">
      <w:pPr>
        <w:pStyle w:val="ListParagraph"/>
        <w:numPr>
          <w:ilvl w:val="0"/>
          <w:numId w:val="2"/>
        </w:numPr>
        <w:spacing w:after="160" w:line="360" w:lineRule="auto"/>
        <w:rPr>
          <w:lang w:val="en-US"/>
        </w:rPr>
      </w:pPr>
      <w:r w:rsidRPr="003F49E8">
        <w:rPr>
          <w:rFonts w:ascii="-apple-system-font" w:hAnsi="-apple-system-font"/>
          <w:color w:val="000000"/>
        </w:rPr>
        <w:t>To identify the tissue-specific biomarker</w:t>
      </w:r>
      <w:r w:rsidR="00384005">
        <w:rPr>
          <w:rFonts w:ascii="-apple-system-font" w:hAnsi="-apple-system-font"/>
          <w:color w:val="000000"/>
        </w:rPr>
        <w:t>s</w:t>
      </w:r>
      <w:r w:rsidRPr="003F49E8">
        <w:rPr>
          <w:rFonts w:ascii="-apple-system-font" w:hAnsi="-apple-system-font"/>
          <w:color w:val="000000"/>
        </w:rPr>
        <w:t xml:space="preserve"> and cross-tissue biomarker</w:t>
      </w:r>
      <w:r w:rsidR="00384005">
        <w:rPr>
          <w:rFonts w:ascii="-apple-system-font" w:hAnsi="-apple-system-font"/>
          <w:color w:val="000000"/>
        </w:rPr>
        <w:t>s</w:t>
      </w:r>
      <w:r w:rsidRPr="003F49E8">
        <w:rPr>
          <w:rFonts w:ascii="-apple-system-font" w:hAnsi="-apple-system-font"/>
          <w:color w:val="000000"/>
        </w:rPr>
        <w:t xml:space="preserve"> in RA female and RA male samples.</w:t>
      </w:r>
    </w:p>
    <w:p w14:paraId="2CA1D856" w14:textId="77777777" w:rsidR="007D48EC" w:rsidRPr="003F49E8" w:rsidRDefault="007D48EC" w:rsidP="00DA02A6">
      <w:pPr>
        <w:pStyle w:val="ListParagraph"/>
        <w:numPr>
          <w:ilvl w:val="0"/>
          <w:numId w:val="2"/>
        </w:numPr>
        <w:spacing w:after="160" w:line="360" w:lineRule="auto"/>
        <w:rPr>
          <w:lang w:val="en-US"/>
        </w:rPr>
      </w:pPr>
      <w:r w:rsidRPr="003F49E8">
        <w:rPr>
          <w:lang w:val="en-US"/>
        </w:rPr>
        <w:t>To validate the gene panel against the baseline models.</w:t>
      </w:r>
    </w:p>
    <w:p w14:paraId="03D2BF8F" w14:textId="13E6713C" w:rsidR="00E1462C" w:rsidRDefault="007D48EC" w:rsidP="00DA02A6">
      <w:pPr>
        <w:pStyle w:val="ListParagraph"/>
        <w:numPr>
          <w:ilvl w:val="0"/>
          <w:numId w:val="2"/>
        </w:numPr>
        <w:spacing w:after="160" w:line="360" w:lineRule="auto"/>
        <w:rPr>
          <w:lang w:val="en-US"/>
        </w:rPr>
      </w:pPr>
      <w:r w:rsidRPr="003F49E8">
        <w:rPr>
          <w:lang w:val="en-US"/>
        </w:rPr>
        <w:t>To identify the diagnostic performance of the gene panels in males and females.</w:t>
      </w:r>
    </w:p>
    <w:p w14:paraId="27E89BD9" w14:textId="521D6134" w:rsidR="00D434C7" w:rsidRDefault="00D434C7" w:rsidP="00DA02A6">
      <w:pPr>
        <w:pStyle w:val="ListParagraph"/>
        <w:numPr>
          <w:ilvl w:val="0"/>
          <w:numId w:val="2"/>
        </w:numPr>
        <w:spacing w:after="160" w:line="360" w:lineRule="auto"/>
        <w:rPr>
          <w:lang w:val="en-US"/>
        </w:rPr>
      </w:pPr>
      <w:r>
        <w:rPr>
          <w:lang w:val="en-US"/>
        </w:rPr>
        <w:t>To identify cross-ancestral biomarkers in RA</w:t>
      </w:r>
    </w:p>
    <w:p w14:paraId="51426243" w14:textId="7ABC7795" w:rsidR="00D434C7" w:rsidRDefault="00D434C7" w:rsidP="00DA02A6">
      <w:pPr>
        <w:pStyle w:val="ListParagraph"/>
        <w:numPr>
          <w:ilvl w:val="0"/>
          <w:numId w:val="2"/>
        </w:numPr>
        <w:spacing w:after="160" w:line="360" w:lineRule="auto"/>
        <w:rPr>
          <w:lang w:val="en-US"/>
        </w:rPr>
      </w:pPr>
      <w:r>
        <w:rPr>
          <w:lang w:val="en-US"/>
        </w:rPr>
        <w:t xml:space="preserve">To validate the biomarkers through </w:t>
      </w:r>
      <w:r w:rsidRPr="00D434C7">
        <w:rPr>
          <w:color w:val="000000" w:themeColor="text1"/>
          <w:lang w:val="en-US"/>
        </w:rPr>
        <w:t>Mendelian Randomisation</w:t>
      </w:r>
    </w:p>
    <w:p w14:paraId="537E2B45" w14:textId="77777777" w:rsidR="00384005" w:rsidRDefault="00384005" w:rsidP="00DA02A6">
      <w:pPr>
        <w:spacing w:line="360" w:lineRule="auto"/>
        <w:rPr>
          <w:b/>
          <w:bCs/>
          <w:color w:val="C00000"/>
          <w:lang w:val="en-US"/>
        </w:rPr>
      </w:pPr>
    </w:p>
    <w:p w14:paraId="30399E89" w14:textId="77777777" w:rsidR="00384005" w:rsidRDefault="00384005" w:rsidP="00DA02A6">
      <w:pPr>
        <w:spacing w:line="360" w:lineRule="auto"/>
        <w:rPr>
          <w:b/>
          <w:bCs/>
          <w:color w:val="C00000"/>
          <w:lang w:val="en-US"/>
        </w:rPr>
      </w:pPr>
    </w:p>
    <w:p w14:paraId="32234DA4" w14:textId="77777777" w:rsidR="00384005" w:rsidRDefault="00384005" w:rsidP="00DA02A6">
      <w:pPr>
        <w:spacing w:line="360" w:lineRule="auto"/>
        <w:rPr>
          <w:b/>
          <w:bCs/>
          <w:color w:val="C00000"/>
          <w:lang w:val="en-US"/>
        </w:rPr>
      </w:pPr>
    </w:p>
    <w:p w14:paraId="63B68819" w14:textId="77777777" w:rsidR="00384005" w:rsidRDefault="00384005" w:rsidP="00DA02A6">
      <w:pPr>
        <w:spacing w:line="360" w:lineRule="auto"/>
        <w:rPr>
          <w:b/>
          <w:bCs/>
          <w:color w:val="C00000"/>
          <w:lang w:val="en-US"/>
        </w:rPr>
      </w:pPr>
    </w:p>
    <w:p w14:paraId="7FB05AD2" w14:textId="77777777" w:rsidR="000B6E5F" w:rsidRDefault="000B6E5F" w:rsidP="00DA02A6">
      <w:pPr>
        <w:spacing w:line="360" w:lineRule="auto"/>
        <w:rPr>
          <w:b/>
          <w:bCs/>
          <w:color w:val="C00000"/>
          <w:lang w:val="en-US"/>
        </w:rPr>
      </w:pPr>
    </w:p>
    <w:p w14:paraId="3CD63AB5" w14:textId="7B798355" w:rsidR="007F22AD" w:rsidRPr="003F49E8" w:rsidRDefault="007F22AD" w:rsidP="00DA02A6">
      <w:pPr>
        <w:spacing w:line="360" w:lineRule="auto"/>
        <w:rPr>
          <w:b/>
          <w:bCs/>
          <w:color w:val="C00000"/>
          <w:lang w:val="en-US"/>
        </w:rPr>
      </w:pPr>
      <w:r w:rsidRPr="003F49E8">
        <w:rPr>
          <w:b/>
          <w:bCs/>
          <w:color w:val="C00000"/>
          <w:lang w:val="en-US"/>
        </w:rPr>
        <w:lastRenderedPageBreak/>
        <w:t>2. Methodology</w:t>
      </w:r>
    </w:p>
    <w:p w14:paraId="2166E8CA" w14:textId="08FD6CFE" w:rsidR="00E1462C" w:rsidRPr="003F49E8" w:rsidRDefault="00E1462C" w:rsidP="00DA02A6">
      <w:pPr>
        <w:spacing w:line="360" w:lineRule="auto"/>
        <w:rPr>
          <w:b/>
          <w:bCs/>
          <w:color w:val="000000" w:themeColor="text1"/>
          <w:lang w:val="en-US"/>
        </w:rPr>
      </w:pPr>
      <w:r w:rsidRPr="003F49E8">
        <w:rPr>
          <w:b/>
          <w:bCs/>
          <w:color w:val="000000" w:themeColor="text1"/>
          <w:lang w:val="en-US"/>
        </w:rPr>
        <w:t>2.1 Dataset</w:t>
      </w:r>
    </w:p>
    <w:p w14:paraId="2FF84EB4" w14:textId="77777777" w:rsidR="003103F1" w:rsidRDefault="00E1462C" w:rsidP="00DA02A6">
      <w:pPr>
        <w:spacing w:line="360" w:lineRule="auto"/>
        <w:rPr>
          <w:color w:val="000000" w:themeColor="text1"/>
          <w:lang w:val="en-US"/>
        </w:rPr>
      </w:pPr>
      <w:r w:rsidRPr="003F49E8">
        <w:rPr>
          <w:color w:val="000000" w:themeColor="text1"/>
          <w:lang w:val="en-US"/>
        </w:rPr>
        <w:t>The datasets used for this study are GSE93272 and GSE110169, which are blood samples and</w:t>
      </w:r>
      <w:r w:rsidR="00384005">
        <w:rPr>
          <w:color w:val="000000" w:themeColor="text1"/>
          <w:lang w:val="en-US"/>
        </w:rPr>
        <w:t>,</w:t>
      </w:r>
      <w:r w:rsidRPr="003F49E8">
        <w:rPr>
          <w:color w:val="000000" w:themeColor="text1"/>
          <w:lang w:val="en-US"/>
        </w:rPr>
        <w:t xml:space="preserve"> </w:t>
      </w:r>
      <w:r w:rsidR="00384005">
        <w:rPr>
          <w:color w:val="000000" w:themeColor="text1"/>
          <w:lang w:val="en-US"/>
        </w:rPr>
        <w:t xml:space="preserve">in this study, are </w:t>
      </w:r>
      <w:r w:rsidRPr="003F49E8">
        <w:rPr>
          <w:color w:val="000000" w:themeColor="text1"/>
          <w:lang w:val="en-US"/>
        </w:rPr>
        <w:t>considered training data, while the datasets GSE15573(blood) and GSE89408 (synovium) are the external validation data.</w:t>
      </w:r>
      <w:r w:rsidR="00384005">
        <w:rPr>
          <w:color w:val="000000" w:themeColor="text1"/>
          <w:lang w:val="en-US"/>
        </w:rPr>
        <w:t xml:space="preserve"> </w:t>
      </w:r>
    </w:p>
    <w:p w14:paraId="3AF3638A" w14:textId="43698CDC" w:rsidR="003103F1" w:rsidRPr="006C3BD5" w:rsidRDefault="003103F1" w:rsidP="00DA02A6">
      <w:pPr>
        <w:spacing w:line="360" w:lineRule="auto"/>
        <w:rPr>
          <w:b/>
          <w:bCs/>
          <w:color w:val="000000" w:themeColor="text1"/>
          <w:lang w:val="en-US"/>
        </w:rPr>
      </w:pPr>
      <w:r w:rsidRPr="006C3BD5">
        <w:rPr>
          <w:b/>
          <w:bCs/>
          <w:color w:val="000000" w:themeColor="text1"/>
          <w:lang w:val="en-US"/>
        </w:rPr>
        <w:t>GSE93272</w:t>
      </w:r>
    </w:p>
    <w:p w14:paraId="474CFA35" w14:textId="5314D068" w:rsidR="00AB43A5" w:rsidRDefault="00C277FE" w:rsidP="00DA02A6">
      <w:pPr>
        <w:spacing w:line="360" w:lineRule="auto"/>
        <w:rPr>
          <w:color w:val="000000" w:themeColor="text1"/>
        </w:rPr>
      </w:pPr>
      <w:r w:rsidRPr="00C277FE">
        <w:rPr>
          <w:color w:val="000000" w:themeColor="text1"/>
          <w:lang w:val="en-US"/>
        </w:rPr>
        <w:t xml:space="preserve">Whole-blood gene expression profiles were derived from GSE93272 (Tasaki et al., 2018), which is a subset of GSE93777. </w:t>
      </w:r>
      <w:r w:rsidR="00384005" w:rsidRPr="00C277FE">
        <w:rPr>
          <w:color w:val="000000" w:themeColor="text1"/>
          <w:lang w:val="en-US"/>
        </w:rPr>
        <w:t xml:space="preserve">The Dataset GSE93272 uses </w:t>
      </w:r>
      <w:r w:rsidR="00384005" w:rsidRPr="00C277FE">
        <w:rPr>
          <w:color w:val="000000" w:themeColor="text1"/>
          <w:shd w:val="clear" w:color="auto" w:fill="FFFFFF"/>
        </w:rPr>
        <w:t>Affymetrix GeneChips™</w:t>
      </w:r>
      <w:r w:rsidR="003103F1" w:rsidRPr="00C277FE">
        <w:rPr>
          <w:color w:val="000000" w:themeColor="text1"/>
          <w:shd w:val="clear" w:color="auto" w:fill="FFFFFF"/>
        </w:rPr>
        <w:t xml:space="preserve"> (Robinson et al., 2007)</w:t>
      </w:r>
      <w:r w:rsidR="00384005" w:rsidRPr="00C277FE">
        <w:rPr>
          <w:color w:val="000000" w:themeColor="text1"/>
          <w:shd w:val="clear" w:color="auto" w:fill="FFFFFF"/>
        </w:rPr>
        <w:t xml:space="preserve">, which is widely used in the field of biomedical research to profile thousands of </w:t>
      </w:r>
      <w:r w:rsidR="006E0F17" w:rsidRPr="00C277FE">
        <w:rPr>
          <w:color w:val="000000" w:themeColor="text1"/>
          <w:shd w:val="clear" w:color="auto" w:fill="FFFFFF"/>
        </w:rPr>
        <w:t>genes</w:t>
      </w:r>
      <w:r w:rsidRPr="00C277FE">
        <w:rPr>
          <w:color w:val="000000" w:themeColor="text1"/>
          <w:shd w:val="clear" w:color="auto" w:fill="FFFFFF"/>
        </w:rPr>
        <w:t>’</w:t>
      </w:r>
      <w:r w:rsidR="006E0F17" w:rsidRPr="00C277FE">
        <w:rPr>
          <w:color w:val="000000" w:themeColor="text1"/>
          <w:shd w:val="clear" w:color="auto" w:fill="FFFFFF"/>
        </w:rPr>
        <w:t xml:space="preserve"> expression</w:t>
      </w:r>
      <w:r w:rsidRPr="00C277FE">
        <w:rPr>
          <w:color w:val="000000" w:themeColor="text1"/>
          <w:shd w:val="clear" w:color="auto" w:fill="FFFFFF"/>
        </w:rPr>
        <w:t xml:space="preserve"> data</w:t>
      </w:r>
      <w:r w:rsidR="00384005" w:rsidRPr="00C277FE">
        <w:rPr>
          <w:color w:val="000000" w:themeColor="text1"/>
          <w:lang w:val="en-US"/>
        </w:rPr>
        <w:t xml:space="preserve">. </w:t>
      </w:r>
      <w:r w:rsidRPr="00C277FE">
        <w:rPr>
          <w:color w:val="000000" w:themeColor="text1"/>
          <w:lang w:val="en-US"/>
        </w:rPr>
        <w:t>Peripheral blood w</w:t>
      </w:r>
      <w:r>
        <w:rPr>
          <w:color w:val="000000" w:themeColor="text1"/>
          <w:lang w:val="en-US"/>
        </w:rPr>
        <w:t>as</w:t>
      </w:r>
      <w:r w:rsidRPr="00C277FE">
        <w:rPr>
          <w:color w:val="000000" w:themeColor="text1"/>
          <w:lang w:val="en-US"/>
        </w:rPr>
        <w:t xml:space="preserve"> collected from </w:t>
      </w:r>
      <w:r w:rsidR="003103F1" w:rsidRPr="00C277FE">
        <w:rPr>
          <w:color w:val="000000" w:themeColor="text1"/>
          <w:lang w:val="en-US"/>
        </w:rPr>
        <w:t xml:space="preserve">healthy and diseased patients into PAXgene </w:t>
      </w:r>
      <w:r w:rsidR="006E0F17" w:rsidRPr="00C277FE">
        <w:rPr>
          <w:color w:val="000000" w:themeColor="text1"/>
          <w:lang w:val="en-US"/>
        </w:rPr>
        <w:t>tubes and</w:t>
      </w:r>
      <w:r w:rsidR="003103F1" w:rsidRPr="00C277FE">
        <w:rPr>
          <w:color w:val="000000" w:themeColor="text1"/>
          <w:lang w:val="en-US"/>
        </w:rPr>
        <w:t xml:space="preserve"> </w:t>
      </w:r>
      <w:r>
        <w:rPr>
          <w:color w:val="000000" w:themeColor="text1"/>
          <w:lang w:val="en-US"/>
        </w:rPr>
        <w:t>wa</w:t>
      </w:r>
      <w:r w:rsidR="003103F1" w:rsidRPr="00C277FE">
        <w:rPr>
          <w:color w:val="000000" w:themeColor="text1"/>
          <w:lang w:val="en-US"/>
        </w:rPr>
        <w:t>s frozen at -80 degrees Celsius. PAXgene tubes are a speciali</w:t>
      </w:r>
      <w:r w:rsidR="006E0F17" w:rsidRPr="00C277FE">
        <w:rPr>
          <w:color w:val="000000" w:themeColor="text1"/>
          <w:lang w:val="en-US"/>
        </w:rPr>
        <w:t>s</w:t>
      </w:r>
      <w:r w:rsidR="003103F1" w:rsidRPr="00C277FE">
        <w:rPr>
          <w:color w:val="000000" w:themeColor="text1"/>
          <w:lang w:val="en-US"/>
        </w:rPr>
        <w:t>ed collection device</w:t>
      </w:r>
      <w:r w:rsidR="006E0F17" w:rsidRPr="00C277FE">
        <w:rPr>
          <w:color w:val="000000" w:themeColor="text1"/>
          <w:lang w:val="en-US"/>
        </w:rPr>
        <w:t xml:space="preserve"> developed by </w:t>
      </w:r>
      <w:r w:rsidR="006E0F17" w:rsidRPr="00C277FE">
        <w:rPr>
          <w:color w:val="000000" w:themeColor="text1"/>
          <w:shd w:val="clear" w:color="auto" w:fill="FFFFFF"/>
        </w:rPr>
        <w:t xml:space="preserve">Qiagen, Valencia, CA, USA. The RNA was extracted using the </w:t>
      </w:r>
      <w:r w:rsidR="006E0F17" w:rsidRPr="00C277FE">
        <w:rPr>
          <w:color w:val="000000" w:themeColor="text1"/>
        </w:rPr>
        <w:t xml:space="preserve">PAXgene Blood miRNA Kit (Qiagen). Further, the samples were passed through the Agilent 2100 Bioanalyzer (RNA NanoChip) and </w:t>
      </w:r>
      <w:r w:rsidR="006C3BD5">
        <w:rPr>
          <w:color w:val="000000" w:themeColor="text1"/>
        </w:rPr>
        <w:t>then</w:t>
      </w:r>
      <w:r w:rsidR="006E0F17" w:rsidRPr="00C277FE">
        <w:rPr>
          <w:color w:val="000000" w:themeColor="text1"/>
        </w:rPr>
        <w:t xml:space="preserve"> hybridised to Affymetrix Human Genome U133 Plus 2.0 arrays, which yielded 275 </w:t>
      </w:r>
      <w:r w:rsidR="006C3BD5">
        <w:t>Cell Intensity (</w:t>
      </w:r>
      <w:r w:rsidR="006E0F17" w:rsidRPr="00C277FE">
        <w:rPr>
          <w:color w:val="000000" w:themeColor="text1"/>
        </w:rPr>
        <w:t>CEL</w:t>
      </w:r>
      <w:r w:rsidR="006C3BD5">
        <w:rPr>
          <w:color w:val="000000" w:themeColor="text1"/>
        </w:rPr>
        <w:t>)</w:t>
      </w:r>
      <w:r w:rsidR="006E0F17" w:rsidRPr="00C277FE">
        <w:rPr>
          <w:color w:val="000000" w:themeColor="text1"/>
        </w:rPr>
        <w:t xml:space="preserve"> files. The expression values were then summarised by frozen RMA</w:t>
      </w:r>
      <w:r w:rsidR="006C3BD5">
        <w:rPr>
          <w:color w:val="000000" w:themeColor="text1"/>
        </w:rPr>
        <w:t xml:space="preserve"> (</w:t>
      </w:r>
      <w:r w:rsidR="006C3BD5" w:rsidRPr="006C3BD5">
        <w:rPr>
          <w:rStyle w:val="Strong"/>
          <w:b w:val="0"/>
          <w:bCs w:val="0"/>
        </w:rPr>
        <w:t>frozen Robust Multi-array Average</w:t>
      </w:r>
      <w:r w:rsidR="006C3BD5" w:rsidRPr="006C3BD5">
        <w:rPr>
          <w:color w:val="000000" w:themeColor="text1"/>
        </w:rPr>
        <w:t>).</w:t>
      </w:r>
      <w:r w:rsidR="006C3BD5" w:rsidRPr="006C3BD5">
        <w:rPr>
          <w:b/>
          <w:bCs/>
          <w:color w:val="000000" w:themeColor="text1"/>
        </w:rPr>
        <w:t xml:space="preserve"> </w:t>
      </w:r>
      <w:r w:rsidR="006C3BD5" w:rsidRPr="006C3BD5">
        <w:rPr>
          <w:rStyle w:val="Strong"/>
          <w:b w:val="0"/>
          <w:bCs w:val="0"/>
        </w:rPr>
        <w:t>Frozen Robust Multi-array Average</w:t>
      </w:r>
      <w:r w:rsidR="006C3BD5" w:rsidRPr="00C277FE">
        <w:rPr>
          <w:color w:val="000000" w:themeColor="text1"/>
        </w:rPr>
        <w:t xml:space="preserve"> </w:t>
      </w:r>
      <w:r w:rsidR="006C3BD5">
        <w:rPr>
          <w:color w:val="000000" w:themeColor="text1"/>
        </w:rPr>
        <w:t>is a technique in</w:t>
      </w:r>
      <w:r w:rsidR="006E0F17" w:rsidRPr="00C277FE">
        <w:rPr>
          <w:color w:val="000000" w:themeColor="text1"/>
        </w:rPr>
        <w:t xml:space="preserve"> MAS5</w:t>
      </w:r>
      <w:r w:rsidR="006C3BD5">
        <w:rPr>
          <w:color w:val="000000" w:themeColor="text1"/>
        </w:rPr>
        <w:t xml:space="preserve"> (</w:t>
      </w:r>
      <w:r w:rsidR="006C3BD5">
        <w:t>Microarray Suite version 5.0)</w:t>
      </w:r>
      <w:r w:rsidR="006E0F17" w:rsidRPr="00C277FE">
        <w:rPr>
          <w:color w:val="000000" w:themeColor="text1"/>
        </w:rPr>
        <w:t>, and batch correction was done using ComBat to correct batch effects. Batch 1 comprises 60 arrays and batch 2 comprises 215 arrays across the two experimental runs.</w:t>
      </w:r>
      <w:r>
        <w:rPr>
          <w:color w:val="000000" w:themeColor="text1"/>
        </w:rPr>
        <w:t xml:space="preserve"> (</w:t>
      </w:r>
      <w:r w:rsidRPr="00C277FE">
        <w:rPr>
          <w:color w:val="000000" w:themeColor="text1"/>
          <w:lang w:val="en-US"/>
        </w:rPr>
        <w:t>Tasaki et al., 2018</w:t>
      </w:r>
      <w:r>
        <w:rPr>
          <w:color w:val="000000" w:themeColor="text1"/>
        </w:rPr>
        <w:t>)</w:t>
      </w:r>
    </w:p>
    <w:p w14:paraId="4B2634DF" w14:textId="13C73E49" w:rsidR="00AB43A5" w:rsidRPr="006C3BD5" w:rsidRDefault="00AB43A5" w:rsidP="00DA02A6">
      <w:pPr>
        <w:spacing w:line="360" w:lineRule="auto"/>
        <w:rPr>
          <w:b/>
          <w:bCs/>
          <w:color w:val="000000" w:themeColor="text1"/>
          <w:lang w:val="en-US"/>
        </w:rPr>
      </w:pPr>
      <w:r w:rsidRPr="006C3BD5">
        <w:rPr>
          <w:b/>
          <w:bCs/>
          <w:color w:val="000000" w:themeColor="text1"/>
          <w:lang w:val="en-US"/>
        </w:rPr>
        <w:t>GSE110169</w:t>
      </w:r>
    </w:p>
    <w:p w14:paraId="60592842" w14:textId="223C45E2" w:rsidR="00BA78F5" w:rsidRDefault="00BA78F5" w:rsidP="00DA02A6">
      <w:pPr>
        <w:spacing w:line="360" w:lineRule="auto"/>
      </w:pPr>
      <w:r>
        <w:rPr>
          <w:color w:val="000000" w:themeColor="text1"/>
          <w:lang w:val="en-US"/>
        </w:rPr>
        <w:t>Peripheral blood was collected from SLE</w:t>
      </w:r>
      <w:r w:rsidR="00540A95">
        <w:rPr>
          <w:color w:val="000000" w:themeColor="text1"/>
          <w:lang w:val="en-US"/>
        </w:rPr>
        <w:t xml:space="preserve"> (</w:t>
      </w:r>
      <w:r w:rsidR="00540A95">
        <w:t>Systemic Lupus Erythematosus)</w:t>
      </w:r>
      <w:r>
        <w:rPr>
          <w:color w:val="000000" w:themeColor="text1"/>
          <w:lang w:val="en-US"/>
        </w:rPr>
        <w:t xml:space="preserve"> and RA patients into </w:t>
      </w:r>
      <w:r w:rsidRPr="00C277FE">
        <w:rPr>
          <w:color w:val="000000" w:themeColor="text1"/>
          <w:lang w:val="en-US"/>
        </w:rPr>
        <w:t>PAXgene tubes</w:t>
      </w:r>
      <w:r>
        <w:rPr>
          <w:color w:val="000000" w:themeColor="text1"/>
          <w:lang w:val="en-US"/>
        </w:rPr>
        <w:t>, stored at -20 degrees Celsius. RNA was extracted, and the Affymetrix profiling was done in four different batches (</w:t>
      </w:r>
      <w:r>
        <w:rPr>
          <w:rFonts w:ascii="Segoe UI" w:hAnsi="Segoe UI" w:cs="Segoe UI"/>
          <w:color w:val="212121"/>
          <w:shd w:val="clear" w:color="auto" w:fill="FFFFFF"/>
        </w:rPr>
        <w:t>Hu et al., 2018</w:t>
      </w:r>
      <w:r>
        <w:rPr>
          <w:color w:val="000000" w:themeColor="text1"/>
          <w:lang w:val="en-US"/>
        </w:rPr>
        <w:t xml:space="preserve">). Total RNA was extracted, </w:t>
      </w:r>
      <w:r>
        <w:t>DNase I treatment was done, washed with the Qiagen RNeasy MinElute Cleanup Kit, quantified by NanoDrop and quality-checked using the Bio-Rad Experion electrophoresis system. The Biotin-labelled cRNA was hybridised to the Human Genome U219 array.</w:t>
      </w:r>
      <w:r w:rsidR="008152DC">
        <w:t xml:space="preserve"> Finally, Cell Intensity </w:t>
      </w:r>
      <w:r>
        <w:t>files</w:t>
      </w:r>
      <w:r w:rsidR="006C3BD5">
        <w:t xml:space="preserve"> (CEL)</w:t>
      </w:r>
      <w:r>
        <w:t xml:space="preserve"> were generated, which were processed and normalised by the RMA technique. Moreover, the whole blood carries globin-</w:t>
      </w:r>
      <w:r w:rsidR="00540A95" w:rsidRPr="00540A95">
        <w:t xml:space="preserve"> </w:t>
      </w:r>
      <w:r w:rsidR="00540A95">
        <w:t>dominated</w:t>
      </w:r>
      <w:r>
        <w:t xml:space="preserve"> and neutrophil-dominated signals, and the data has sex information, control samples along with RA and SLE samples. </w:t>
      </w:r>
      <w:r w:rsidR="008152DC">
        <w:t>(</w:t>
      </w:r>
      <w:r w:rsidR="008152DC">
        <w:rPr>
          <w:rFonts w:ascii="Segoe UI" w:hAnsi="Segoe UI" w:cs="Segoe UI"/>
          <w:color w:val="212121"/>
          <w:shd w:val="clear" w:color="auto" w:fill="FFFFFF"/>
        </w:rPr>
        <w:t>Hu et al., 2018</w:t>
      </w:r>
      <w:r w:rsidR="008152DC">
        <w:t>)</w:t>
      </w:r>
      <w:r w:rsidR="00540A95">
        <w:t>. In total, this dataset has 77 healthy, 82 SLE and 84 RA samples.</w:t>
      </w:r>
    </w:p>
    <w:p w14:paraId="36088FE1" w14:textId="77777777" w:rsidR="00FB3B7C" w:rsidRDefault="00FB3B7C" w:rsidP="00DA02A6">
      <w:pPr>
        <w:spacing w:line="360" w:lineRule="auto"/>
        <w:rPr>
          <w:b/>
          <w:bCs/>
          <w:color w:val="000000" w:themeColor="text1"/>
          <w:lang w:val="en-US"/>
        </w:rPr>
      </w:pPr>
    </w:p>
    <w:p w14:paraId="531B7C3B" w14:textId="77777777" w:rsidR="00FB3B7C" w:rsidRDefault="00FB3B7C" w:rsidP="00DA02A6">
      <w:pPr>
        <w:spacing w:line="360" w:lineRule="auto"/>
        <w:rPr>
          <w:b/>
          <w:bCs/>
          <w:color w:val="000000" w:themeColor="text1"/>
          <w:lang w:val="en-US"/>
        </w:rPr>
      </w:pPr>
    </w:p>
    <w:p w14:paraId="55F6663C" w14:textId="01847F7C" w:rsidR="008152DC" w:rsidRDefault="008152DC" w:rsidP="00DA02A6">
      <w:pPr>
        <w:spacing w:line="360" w:lineRule="auto"/>
        <w:rPr>
          <w:b/>
          <w:bCs/>
          <w:color w:val="000000" w:themeColor="text1"/>
          <w:lang w:val="en-US"/>
        </w:rPr>
      </w:pPr>
      <w:r w:rsidRPr="006C3BD5">
        <w:rPr>
          <w:b/>
          <w:bCs/>
          <w:color w:val="000000" w:themeColor="text1"/>
          <w:lang w:val="en-US"/>
        </w:rPr>
        <w:lastRenderedPageBreak/>
        <w:t>GSE15573</w:t>
      </w:r>
    </w:p>
    <w:p w14:paraId="61B0D904" w14:textId="5AE960C2" w:rsidR="00373093" w:rsidRPr="00373093" w:rsidRDefault="00DF7573" w:rsidP="00DA02A6">
      <w:pPr>
        <w:spacing w:line="360" w:lineRule="auto"/>
      </w:pPr>
      <w:r>
        <w:rPr>
          <w:color w:val="000000" w:themeColor="text1"/>
          <w:lang w:val="en-US"/>
        </w:rPr>
        <w:t>To</w:t>
      </w:r>
      <w:r w:rsidR="00373093">
        <w:rPr>
          <w:color w:val="000000" w:themeColor="text1"/>
          <w:lang w:val="en-US"/>
        </w:rPr>
        <w:t xml:space="preserve"> collect blood from RA and healthy(control)</w:t>
      </w:r>
      <w:r w:rsidR="00FB3B7C">
        <w:rPr>
          <w:color w:val="000000" w:themeColor="text1"/>
          <w:lang w:val="en-US"/>
        </w:rPr>
        <w:t xml:space="preserve"> individuals. </w:t>
      </w:r>
      <w:r w:rsidR="00373093" w:rsidRPr="00373093">
        <w:rPr>
          <w:color w:val="000000" w:themeColor="text1"/>
          <w:lang w:val="en-US"/>
        </w:rPr>
        <w:t xml:space="preserve">Peripheral blood was collected </w:t>
      </w:r>
      <w:r w:rsidR="00FB3B7C">
        <w:rPr>
          <w:color w:val="000000" w:themeColor="text1"/>
          <w:lang w:val="en-US"/>
        </w:rPr>
        <w:t xml:space="preserve">using </w:t>
      </w:r>
      <w:r w:rsidR="00FB3B7C">
        <w:t>PAXgene tubes, and the RNA was extracted using the PAXgene RNA isolation kit, quantified on a NanoDrop ND-1000 and quality-checked on an Agilent Bioanalyzer 2100 (mean RIN 8.07). RIN stands for RNA integrity number, where 1 is considered degraded RNA, and 10 is considered fully intact. T</w:t>
      </w:r>
      <w:r w:rsidR="00FB3B7C" w:rsidRPr="00FB3B7C">
        <w:t>h</w:t>
      </w:r>
      <w:r w:rsidR="00FB3B7C">
        <w:t>e Illumina TotalPrep RNA Amplification Kit was used, and the labelled cRNA was</w:t>
      </w:r>
      <w:r w:rsidR="00FB3B7C" w:rsidRPr="00FB3B7C">
        <w:t xml:space="preserve"> </w:t>
      </w:r>
      <w:r w:rsidR="00FB3B7C">
        <w:t>hybridised to Illumina Human-6 v2.0 Expression BeadChips (GPL6102; 48,701 50-mer probes, ~30 bead replicates per probe), scanned on an Illumina BeadArray 500GX Reader with BeadScan, and summarised in BeadStudio with quantile normalisation. In total, there are 33 samples: 18 RA samples and 15 control samples. It has sex information as well as population type, i.e French Caucasian.</w:t>
      </w:r>
    </w:p>
    <w:p w14:paraId="2B7284EE" w14:textId="5E5D9657" w:rsidR="00AB43A5" w:rsidRDefault="00DF7573" w:rsidP="00DA02A6">
      <w:pPr>
        <w:spacing w:line="360" w:lineRule="auto"/>
        <w:rPr>
          <w:b/>
          <w:bCs/>
          <w:color w:val="000000" w:themeColor="text1"/>
          <w:lang w:val="en-US"/>
        </w:rPr>
      </w:pPr>
      <w:r w:rsidRPr="00DF7573">
        <w:rPr>
          <w:b/>
          <w:bCs/>
          <w:color w:val="000000" w:themeColor="text1"/>
          <w:lang w:val="en-US"/>
        </w:rPr>
        <w:t>GSE89408</w:t>
      </w:r>
    </w:p>
    <w:p w14:paraId="527D415A" w14:textId="091E7530" w:rsidR="00AB43A5" w:rsidRPr="00C277FE" w:rsidRDefault="00DF7573" w:rsidP="00DA02A6">
      <w:pPr>
        <w:spacing w:line="360" w:lineRule="auto"/>
        <w:rPr>
          <w:color w:val="000000" w:themeColor="text1"/>
          <w:lang w:val="en-US"/>
        </w:rPr>
      </w:pPr>
      <w:r w:rsidRPr="00DF7573">
        <w:rPr>
          <w:color w:val="000000" w:themeColor="text1"/>
          <w:lang w:val="en-US"/>
        </w:rPr>
        <w:t>S</w:t>
      </w:r>
      <w:r>
        <w:rPr>
          <w:color w:val="000000" w:themeColor="text1"/>
          <w:lang w:val="en-US"/>
        </w:rPr>
        <w:t xml:space="preserve">ynovium tissue biopsies were performed from the knee joints by </w:t>
      </w:r>
      <w:r w:rsidR="00EB0872">
        <w:t xml:space="preserve">arthroscopy from control and rheumatoid patients. </w:t>
      </w:r>
      <w:r w:rsidR="00EB0872" w:rsidRPr="00EB0872">
        <w:t xml:space="preserve">Total RNA was isolated from frozen biopsies and evaluated for quality </w:t>
      </w:r>
      <w:r w:rsidR="00EB0872">
        <w:t xml:space="preserve">control </w:t>
      </w:r>
      <w:r w:rsidR="00EB0872" w:rsidRPr="00EB0872">
        <w:t>using an Agilent Bioanalyzer</w:t>
      </w:r>
      <w:r w:rsidR="00EB0872">
        <w:t xml:space="preserve">, and only those samples that met the </w:t>
      </w:r>
      <w:r w:rsidR="00EB0872" w:rsidRPr="00EB0872">
        <w:t xml:space="preserve">quality control standards </w:t>
      </w:r>
      <w:r w:rsidR="00EB0872">
        <w:t>were</w:t>
      </w:r>
      <w:r w:rsidR="00EB0872" w:rsidRPr="00EB0872">
        <w:t xml:space="preserve"> </w:t>
      </w:r>
      <w:r w:rsidR="00EB0872">
        <w:t>proceeded to further analysis</w:t>
      </w:r>
      <w:r w:rsidR="00EB0872" w:rsidRPr="00EB0872">
        <w:t xml:space="preserve">. </w:t>
      </w:r>
      <w:r w:rsidR="00EB0872">
        <w:t xml:space="preserve">Strand-specific libraries were prepared using the Illumina TruSeq Stranded Total RNA Ribo-Zero kit and were sequenced on an Illumina HiSeq 2000 (GPL11154). </w:t>
      </w:r>
      <w:r w:rsidR="00EB0872" w:rsidRPr="00EB0872">
        <w:t xml:space="preserve">Trimmed sequences were mapped to the human b37.3 reference using STAR v2.4 and quantified with RSEM v1.2.14. </w:t>
      </w:r>
      <w:r w:rsidR="00BA1059">
        <w:t>This</w:t>
      </w:r>
      <w:r w:rsidR="00803385">
        <w:t xml:space="preserve"> </w:t>
      </w:r>
      <w:r w:rsidR="00EB0872">
        <w:t>yield</w:t>
      </w:r>
      <w:r w:rsidR="000B6E5F">
        <w:t>ed</w:t>
      </w:r>
      <w:r w:rsidR="00EB0872">
        <w:t xml:space="preserve"> the gene-level count matrix</w:t>
      </w:r>
      <w:r w:rsidR="000B6E5F">
        <w:t>,</w:t>
      </w:r>
      <w:r w:rsidR="00EB0872">
        <w:t xml:space="preserve"> </w:t>
      </w:r>
      <w:r w:rsidR="000B6E5F">
        <w:t>which</w:t>
      </w:r>
      <w:r w:rsidR="00803385">
        <w:t xml:space="preserve"> is </w:t>
      </w:r>
      <w:r w:rsidR="00EB0872">
        <w:t>deposited in GEO under accession GSE89408</w:t>
      </w:r>
      <w:r w:rsidR="000B6E5F">
        <w:t>. It has a total of 28 healthy, 22 osteoarthritis, 10 arthralgia, 6 undifferentiated arthritis, and 152 rheumatoid arthritis samples.</w:t>
      </w:r>
      <w:r w:rsidR="00EB0872">
        <w:t xml:space="preserve"> (</w:t>
      </w:r>
      <w:r w:rsidR="00EB0872">
        <w:rPr>
          <w:rFonts w:ascii="Segoe UI" w:hAnsi="Segoe UI" w:cs="Segoe UI"/>
          <w:color w:val="212121"/>
          <w:shd w:val="clear" w:color="auto" w:fill="FFFFFF"/>
        </w:rPr>
        <w:t>Walsh et al., 2017</w:t>
      </w:r>
      <w:r w:rsidR="00EB0872">
        <w:t>)</w:t>
      </w:r>
      <w:r w:rsidR="00803385">
        <w:t>.</w:t>
      </w:r>
    </w:p>
    <w:p w14:paraId="36F3F525" w14:textId="77777777" w:rsidR="008E570B" w:rsidRPr="003F49E8" w:rsidRDefault="008E570B" w:rsidP="00DA02A6">
      <w:pPr>
        <w:spacing w:line="360" w:lineRule="auto"/>
        <w:rPr>
          <w:color w:val="000000" w:themeColor="text1"/>
          <w:lang w:val="en-US"/>
        </w:rPr>
      </w:pPr>
    </w:p>
    <w:p w14:paraId="369E3BEF" w14:textId="77777777" w:rsidR="008E570B" w:rsidRPr="003F49E8" w:rsidRDefault="008E570B" w:rsidP="00DA02A6">
      <w:pPr>
        <w:spacing w:line="360" w:lineRule="auto"/>
        <w:rPr>
          <w:color w:val="000000" w:themeColor="text1"/>
          <w:lang w:val="en-US"/>
        </w:rPr>
      </w:pPr>
    </w:p>
    <w:p w14:paraId="6E039E9E" w14:textId="77777777" w:rsidR="008E570B" w:rsidRPr="003F49E8" w:rsidRDefault="008E570B" w:rsidP="00DA02A6">
      <w:pPr>
        <w:spacing w:line="360" w:lineRule="auto"/>
        <w:rPr>
          <w:color w:val="000000" w:themeColor="text1"/>
          <w:lang w:val="en-US"/>
        </w:rPr>
      </w:pPr>
    </w:p>
    <w:p w14:paraId="608CA1F7" w14:textId="77777777" w:rsidR="008E570B" w:rsidRPr="003F49E8" w:rsidRDefault="008E570B" w:rsidP="00DA02A6">
      <w:pPr>
        <w:spacing w:line="360" w:lineRule="auto"/>
        <w:rPr>
          <w:color w:val="000000" w:themeColor="text1"/>
          <w:lang w:val="en-US"/>
        </w:rPr>
      </w:pPr>
    </w:p>
    <w:p w14:paraId="28600AA5" w14:textId="77777777" w:rsidR="008E570B" w:rsidRPr="003F49E8" w:rsidRDefault="008E570B" w:rsidP="00DA02A6">
      <w:pPr>
        <w:spacing w:line="360" w:lineRule="auto"/>
        <w:rPr>
          <w:color w:val="000000" w:themeColor="text1"/>
          <w:lang w:val="en-US"/>
        </w:rPr>
      </w:pPr>
    </w:p>
    <w:p w14:paraId="1B05BB7F" w14:textId="77777777" w:rsidR="008E570B" w:rsidRPr="003F49E8" w:rsidRDefault="008E570B" w:rsidP="00DA02A6">
      <w:pPr>
        <w:spacing w:line="360" w:lineRule="auto"/>
        <w:rPr>
          <w:color w:val="000000" w:themeColor="text1"/>
          <w:lang w:val="en-US"/>
        </w:rPr>
      </w:pPr>
    </w:p>
    <w:p w14:paraId="25605F2A" w14:textId="77777777" w:rsidR="008E570B" w:rsidRPr="003F49E8" w:rsidRDefault="008E570B" w:rsidP="00DA02A6">
      <w:pPr>
        <w:spacing w:line="360" w:lineRule="auto"/>
        <w:rPr>
          <w:color w:val="000000" w:themeColor="text1"/>
          <w:lang w:val="en-US"/>
        </w:rPr>
      </w:pPr>
    </w:p>
    <w:p w14:paraId="232EF3DC" w14:textId="77777777" w:rsidR="008E570B" w:rsidRPr="003F49E8" w:rsidRDefault="008E570B" w:rsidP="00DA02A6">
      <w:pPr>
        <w:spacing w:line="360" w:lineRule="auto"/>
        <w:rPr>
          <w:color w:val="000000" w:themeColor="text1"/>
          <w:lang w:val="en-US"/>
        </w:rPr>
      </w:pPr>
    </w:p>
    <w:p w14:paraId="58D1BF4B" w14:textId="77777777" w:rsidR="008E570B" w:rsidRPr="003F49E8" w:rsidRDefault="008E570B" w:rsidP="00DA02A6">
      <w:pPr>
        <w:spacing w:line="360" w:lineRule="auto"/>
        <w:rPr>
          <w:color w:val="000000" w:themeColor="text1"/>
          <w:lang w:val="en-US"/>
        </w:rPr>
      </w:pPr>
    </w:p>
    <w:p w14:paraId="20A9D01C" w14:textId="77777777" w:rsidR="008E570B" w:rsidRPr="003F49E8" w:rsidRDefault="008E570B" w:rsidP="00DA02A6">
      <w:pPr>
        <w:spacing w:line="360" w:lineRule="auto"/>
        <w:rPr>
          <w:color w:val="000000" w:themeColor="text1"/>
          <w:lang w:val="en-US"/>
        </w:rPr>
      </w:pPr>
    </w:p>
    <w:p w14:paraId="17DD3EA9" w14:textId="77777777" w:rsidR="008E4733" w:rsidRDefault="008E4733" w:rsidP="00DA02A6">
      <w:pPr>
        <w:spacing w:line="360" w:lineRule="auto"/>
        <w:rPr>
          <w:color w:val="000000" w:themeColor="text1"/>
          <w:lang w:val="en-US"/>
        </w:rPr>
      </w:pPr>
    </w:p>
    <w:p w14:paraId="1890CFD2" w14:textId="2402BB6E" w:rsidR="007F22AD" w:rsidRPr="003F49E8" w:rsidRDefault="007F22AD" w:rsidP="00DA02A6">
      <w:pPr>
        <w:spacing w:line="360" w:lineRule="auto"/>
        <w:rPr>
          <w:b/>
          <w:bCs/>
          <w:color w:val="000000" w:themeColor="text1"/>
          <w:lang w:val="en-US"/>
        </w:rPr>
      </w:pPr>
      <w:r w:rsidRPr="003F49E8">
        <w:rPr>
          <w:b/>
          <w:bCs/>
          <w:color w:val="000000" w:themeColor="text1"/>
          <w:lang w:val="en-US"/>
        </w:rPr>
        <w:lastRenderedPageBreak/>
        <w:t>2.2 Data preprocessing and batch correction</w:t>
      </w:r>
    </w:p>
    <w:p w14:paraId="0A5D4A63" w14:textId="46EC43F6" w:rsidR="00630102" w:rsidRPr="003F49E8" w:rsidRDefault="0051549B" w:rsidP="00DA02A6">
      <w:pPr>
        <w:spacing w:line="360" w:lineRule="auto"/>
      </w:pPr>
      <w:r w:rsidRPr="003F49E8">
        <w:t xml:space="preserve">The first step in the research was data preprocessing, which was done to make the two separate microarray cohorts similar and appropriate for rheumatoid arthritis (RA) biomarker discovery later on. The discovery cohort was created using two publicly accessible whole-blood transcriptome datasets, GSE93272 (Affymetrix platform GPL570) and GSE110169 (Affymetrix platform GPL13667). The accompanying sample metadata was harmonised into a common schema after raw series were imported as </w:t>
      </w:r>
      <w:r w:rsidR="008E570B" w:rsidRPr="003F49E8">
        <w:t>“</w:t>
      </w:r>
      <w:r w:rsidRPr="003F49E8">
        <w:t>ExpressionSet</w:t>
      </w:r>
      <w:r w:rsidR="008E570B" w:rsidRPr="003F49E8">
        <w:t>”</w:t>
      </w:r>
      <w:r w:rsidRPr="003F49E8">
        <w:t xml:space="preserve"> objects. This involved standardising sex to a single-character code (F/M) and recoding disease status to RA, healthy control [HC], or systemic lupus erythematosus [SLE]. R was used for all analyses (version 4.4.2). </w:t>
      </w:r>
      <w:r w:rsidR="005F37AB" w:rsidRPr="003F49E8">
        <w:t>S</w:t>
      </w:r>
      <w:r w:rsidRPr="003F49E8">
        <w:t xml:space="preserve">ummarisation of probes to genes and quality assurance. In order to create a shared feature space, expression was first summarised from the probe level to the gene level because the two cohorts were measured on separate microarray systems. Probes with no detected signal in any sample, ambiguous probes mapping to multiple symbols (marked with the "///" delimiter), and probes without a valid gene symbol were eliminated. The remaining probes were compressed to unique gene symbols using the </w:t>
      </w:r>
      <w:r w:rsidR="008E570B" w:rsidRPr="003F49E8">
        <w:t>“</w:t>
      </w:r>
      <w:r w:rsidRPr="003F49E8">
        <w:t>collapseRows</w:t>
      </w:r>
      <w:r w:rsidR="008E570B" w:rsidRPr="003F49E8">
        <w:t>”</w:t>
      </w:r>
      <w:r w:rsidRPr="003F49E8">
        <w:t xml:space="preserve"> function (MaxMean rule) of the WGCNA package, which preserves, for each gene, the probe with the greatest mean expression. In accordance with the conventional GEO/limma protocol, expression matrices were confirmed to be on a log₂ scale, and a log₂ transformation was only used when the data were found to be on a linear scale (99th percentile &gt; 100). After that, only RA and HC participants with a known group label and sex were kept in the samples; SLE and sex-unknown samples were eliminated. A single baseline sample was kept for each participant in GSE93272, where multiple measurements of the same person were present.</w:t>
      </w:r>
      <w:r w:rsidR="00630102" w:rsidRPr="003F49E8">
        <w:t xml:space="preserve"> </w:t>
      </w:r>
    </w:p>
    <w:p w14:paraId="454BA381" w14:textId="77777777" w:rsidR="008F2C99" w:rsidRPr="003F49E8" w:rsidRDefault="00630102" w:rsidP="00DA02A6">
      <w:pPr>
        <w:spacing w:line="360" w:lineRule="auto"/>
      </w:pPr>
      <w:r w:rsidRPr="003F49E8">
        <w:t>A discovery cohort of 257 samples from the two investigations was obtained by reducing the two cleaned expression matrices to their common genes (the intersection of the gene symbols measured on both platforms) and combining them into a single merged matrix using column-binding.</w:t>
      </w:r>
      <w:r w:rsidR="008F2C99" w:rsidRPr="003F49E8">
        <w:t xml:space="preserve"> </w:t>
      </w:r>
    </w:p>
    <w:p w14:paraId="533ABE4E" w14:textId="6120E059" w:rsidR="008E570B" w:rsidRPr="003F49E8" w:rsidRDefault="008E570B" w:rsidP="00DA02A6">
      <w:pPr>
        <w:spacing w:line="360" w:lineRule="auto"/>
      </w:pPr>
      <w:r w:rsidRPr="003F49E8">
        <w:t>The combined data were divided into a 70% training set and a 30% internal-validation hold-out before any cross-sample normalisation or batch correction in order to offer an objective assessment of downstream model performance (caret::createDataPartition, set. seed(70)). In order to maintain RA/HC balance, sex balance, and study representation in both partitions, the split was stratified by the combination of dataset, group and sex.</w:t>
      </w:r>
    </w:p>
    <w:p w14:paraId="0A73DD07" w14:textId="2B24F3A2" w:rsidR="008E570B" w:rsidRPr="003F49E8" w:rsidRDefault="008E570B" w:rsidP="00DA02A6">
      <w:pPr>
        <w:spacing w:line="360" w:lineRule="auto"/>
        <w:rPr>
          <w:color w:val="000000" w:themeColor="text1"/>
          <w:lang w:val="en-US"/>
        </w:rPr>
      </w:pPr>
      <w:proofErr w:type="gramStart"/>
      <w:r w:rsidRPr="003F49E8">
        <w:rPr>
          <w:color w:val="000000" w:themeColor="text1"/>
          <w:lang w:val="en-US"/>
        </w:rPr>
        <w:t>In order to</w:t>
      </w:r>
      <w:proofErr w:type="gramEnd"/>
      <w:r w:rsidRPr="003F49E8">
        <w:rPr>
          <w:color w:val="000000" w:themeColor="text1"/>
          <w:lang w:val="en-US"/>
        </w:rPr>
        <w:t xml:space="preserve"> prevent information leakage from the validation data into any learned parameter, the hold-out was sealed in its pre-normalisation, pre-batch-correction state and was not </w:t>
      </w:r>
      <w:r w:rsidRPr="003F49E8">
        <w:rPr>
          <w:color w:val="000000" w:themeColor="text1"/>
          <w:lang w:val="en-US"/>
        </w:rPr>
        <w:lastRenderedPageBreak/>
        <w:t>revisited until the biomarker panel and classifier had been fully locked (Ambroise &amp; McLachlan, 2002; Simon et al., 2003).</w:t>
      </w:r>
    </w:p>
    <w:p w14:paraId="695F12A4" w14:textId="5025B874" w:rsidR="008E570B" w:rsidRPr="003F49E8" w:rsidRDefault="008E570B" w:rsidP="00DA02A6">
      <w:pPr>
        <w:spacing w:line="360" w:lineRule="auto"/>
        <w:rPr>
          <w:b/>
          <w:bCs/>
          <w:color w:val="000000" w:themeColor="text1"/>
          <w:lang w:val="en-US"/>
        </w:rPr>
      </w:pPr>
      <w:r w:rsidRPr="003F49E8">
        <w:rPr>
          <w:b/>
          <w:bCs/>
          <w:color w:val="000000" w:themeColor="text1"/>
          <w:lang w:val="en-US"/>
        </w:rPr>
        <w:t>Normalisation</w:t>
      </w:r>
    </w:p>
    <w:p w14:paraId="61B57FD1" w14:textId="4078C4F5" w:rsidR="008E570B" w:rsidRPr="003F49E8" w:rsidRDefault="008E570B" w:rsidP="00DA02A6">
      <w:pPr>
        <w:spacing w:line="360" w:lineRule="auto"/>
      </w:pPr>
      <w:r w:rsidRPr="003F49E8">
        <w:t>Quantile normalisation (normalizeBetweenArrays, method = "quantile", limma package) was used to normalise the training set. This method aligns the per-sample intensity distributions to a common reference distribution that was learned from the training samples.</w:t>
      </w:r>
    </w:p>
    <w:p w14:paraId="1C3039C2" w14:textId="213AA4E1" w:rsidR="008E570B" w:rsidRPr="003F49E8" w:rsidRDefault="008E570B" w:rsidP="00DA02A6">
      <w:pPr>
        <w:spacing w:line="360" w:lineRule="auto"/>
        <w:rPr>
          <w:b/>
          <w:bCs/>
        </w:rPr>
      </w:pPr>
      <w:r w:rsidRPr="003F49E8">
        <w:rPr>
          <w:b/>
          <w:bCs/>
        </w:rPr>
        <w:t>Batch correction</w:t>
      </w:r>
    </w:p>
    <w:p w14:paraId="711D4255" w14:textId="0082FD5F" w:rsidR="008E570B" w:rsidRPr="003F49E8" w:rsidRDefault="008E570B" w:rsidP="00DA02A6">
      <w:pPr>
        <w:spacing w:line="360" w:lineRule="auto"/>
      </w:pPr>
      <w:r w:rsidRPr="003F49E8">
        <w:t>The ComBat empirical-Bayes technique (sva package; Johnson et al., 2007) was then used to eliminate residual technical variance owing to study/platform origin from the training set. ComBat was applied with parametric priors (par.prior = TRUE) on the quantile-normalised training matrix, using a batch variable defined at the study-and-internal-batch level (with an automated fallback to study-level batch if the finer definition failed). Crucially, the biological signal of interest was protected by providing a model matrix of covariates, mod = ~ group + sex, such that sex-associated expression differences and RA-versus-HC were kept instead of eliminated as batch effects. The 70% training set was used to estimate all ComBat and normalisation parameters.</w:t>
      </w:r>
    </w:p>
    <w:p w14:paraId="51465C12" w14:textId="06FE1E79" w:rsidR="008E570B" w:rsidRPr="003F49E8" w:rsidRDefault="008E570B" w:rsidP="00DA02A6">
      <w:pPr>
        <w:spacing w:line="360" w:lineRule="auto"/>
        <w:rPr>
          <w:b/>
          <w:bCs/>
        </w:rPr>
      </w:pPr>
      <w:r w:rsidRPr="003F49E8">
        <w:rPr>
          <w:b/>
          <w:bCs/>
        </w:rPr>
        <w:t xml:space="preserve">Hold-out internal </w:t>
      </w:r>
    </w:p>
    <w:p w14:paraId="28178BDB" w14:textId="458EE85F" w:rsidR="008E570B" w:rsidRPr="003F49E8" w:rsidRDefault="008E570B" w:rsidP="00DA02A6">
      <w:pPr>
        <w:spacing w:line="360" w:lineRule="auto"/>
      </w:pPr>
      <w:r w:rsidRPr="003F49E8">
        <w:t>Because quantile normalisation and ComBat batch correction are both cross-sample procedures that learn a reference distribution or a set of empirical-Bayes parameters from all arrays supplied to them, applying them jointly across training and hold-out samples would leak information from the validation set into the correction itself and inflate apparent performance (Ambroise &amp; McLachlan, 2002; Simon et al., 2003). To prevent this, the sealed hold-out was projected onto the training scale during validation without re-estimating any parameters: the quantile-normalisation target distribution and the ComBat empirical-Bayes batch parameters (grand mean, pooled variance, and per-batch location-scale shrinkage estimates) were both fixed from the training partition alone. The hold-out was first quantile-normalised out-of-sample against this fixed training reference distribution (normalise.quantiles.use.target, preprocessCore), after which the frozen ComBat standardisation parameters were reapplied to the resulting matrix. The fidelity of this frozen approach was verified by recreating the training matrix from the fitted parameters and comparing it with the saved ComBat output, confirming that the two matched to within numerical tolerance before the same parameters were trusted on unseen data. This procedure ensured that the internal-validation cohort remained leakage-free, was placed on the same scale as the training data, and that any performance measured on it reflected genuine generalisation rather than shared parameter estimation.</w:t>
      </w:r>
    </w:p>
    <w:p w14:paraId="42A6ABDD" w14:textId="77777777" w:rsidR="007C1A6E" w:rsidRPr="003F49E8" w:rsidRDefault="007C1A6E" w:rsidP="00DA02A6">
      <w:pPr>
        <w:spacing w:line="360" w:lineRule="auto"/>
      </w:pPr>
    </w:p>
    <w:p w14:paraId="5378645E" w14:textId="77777777" w:rsidR="007C1A6E" w:rsidRPr="003F49E8" w:rsidRDefault="007C1A6E" w:rsidP="00DA02A6">
      <w:pPr>
        <w:spacing w:line="360" w:lineRule="auto"/>
        <w:rPr>
          <w:b/>
          <w:bCs/>
          <w:color w:val="000000" w:themeColor="text1"/>
          <w:lang w:val="en-US"/>
        </w:rPr>
      </w:pPr>
      <w:r w:rsidRPr="003F49E8">
        <w:rPr>
          <w:b/>
          <w:bCs/>
          <w:color w:val="000000" w:themeColor="text1"/>
          <w:lang w:val="en-US"/>
        </w:rPr>
        <w:t>2.2 Differential Gene Expression analysis (DGE)</w:t>
      </w:r>
    </w:p>
    <w:p w14:paraId="2B20D81E" w14:textId="404192E9" w:rsidR="005F37AB" w:rsidRPr="003F49E8" w:rsidRDefault="005F37AB" w:rsidP="00DA02A6">
      <w:pPr>
        <w:spacing w:line="360" w:lineRule="auto"/>
        <w:rPr>
          <w:color w:val="000000" w:themeColor="text1"/>
          <w:lang w:val="en-US"/>
        </w:rPr>
      </w:pPr>
      <w:r w:rsidRPr="003F49E8">
        <w:rPr>
          <w:color w:val="000000" w:themeColor="text1"/>
          <w:lang w:val="en-US"/>
        </w:rPr>
        <w:t>Only the 70% training set (183 samples × 15,763 common genes) was subjected to differential expression analysis using the quantile-normalised, ComBat-batch-corrected expression matrix. The limma package's linear models with empirical-Bayes moderation of the variance were used to find differentially expressed genes (DEGs) in rheumatoid arthritis (RA) and healthy control (HC) samples (Smyth, 2004; Ritchie et al., 2015). For reproducibility, a fixed random seed “</w:t>
      </w:r>
      <w:proofErr w:type="gramStart"/>
      <w:r w:rsidRPr="003F49E8">
        <w:rPr>
          <w:color w:val="000000" w:themeColor="text1"/>
          <w:lang w:val="en-US"/>
        </w:rPr>
        <w:t>set.seed</w:t>
      </w:r>
      <w:proofErr w:type="gramEnd"/>
      <w:r w:rsidRPr="003F49E8">
        <w:rPr>
          <w:color w:val="000000" w:themeColor="text1"/>
          <w:lang w:val="en-US"/>
        </w:rPr>
        <w:t xml:space="preserve">(1234)” was employed. For the RA coefficient (groupRA) to estimate the log₂ fold-change of RA in relation to HC, a design matrix was built </w:t>
      </w:r>
      <w:r w:rsidRPr="003F49E8">
        <w:rPr>
          <w:color w:val="000000" w:themeColor="text1"/>
          <w:lang w:val="en-US"/>
        </w:rPr>
        <w:lastRenderedPageBreak/>
        <w:t>as ~ group for each comparison, with HC defined as the reference level. “</w:t>
      </w:r>
      <w:proofErr w:type="spellStart"/>
      <w:r w:rsidRPr="003F49E8">
        <w:rPr>
          <w:color w:val="000000" w:themeColor="text1"/>
          <w:lang w:val="en-US"/>
        </w:rPr>
        <w:t>lmFit</w:t>
      </w:r>
      <w:proofErr w:type="spellEnd"/>
      <w:r w:rsidRPr="003F49E8">
        <w:rPr>
          <w:color w:val="000000" w:themeColor="text1"/>
          <w:lang w:val="en-US"/>
        </w:rPr>
        <w:t xml:space="preserve">” was used to fit gene-wise linear models, and “topTable” (ranked by p-value, genes) was used to extract moderated t-statistics, p-values, and log₂ fold-changes from “eBayes”. </w:t>
      </w:r>
      <w:r w:rsidRPr="003F49E8">
        <w:t>According to Benjamini and Hochberg (1995), a gene was deemed significantly differentially expressed if it met both an effect-size and a statistical threshold: |log₂ fold-change| &gt; 0.1 and a Benjamini–Hochberg false-discovery-rate (FDR)–adjusted p-value &lt; 0.05. The term "up in RA" (log₂FC &gt; 0) or "down in RA" (log₂FC &lt; 0) was used to describe the direction of change. Three configurations of the analysis were performed at identical thresholds to capture sex-specific transcriptional signals: individual female-only and male-only comparisons, and a pooled comparison using all training samples. Genes important in one sex but not the other were then classified as sex-specific DEG lists.</w:t>
      </w:r>
    </w:p>
    <w:p w14:paraId="62C3EEB0" w14:textId="77777777" w:rsidR="008E570B" w:rsidRPr="003F49E8" w:rsidRDefault="008E570B" w:rsidP="00DA02A6">
      <w:pPr>
        <w:spacing w:line="360" w:lineRule="auto"/>
        <w:rPr>
          <w:b/>
          <w:bCs/>
          <w:color w:val="000000" w:themeColor="text1"/>
          <w:lang w:val="en-US"/>
        </w:rPr>
      </w:pPr>
    </w:p>
    <w:p w14:paraId="14373E26" w14:textId="45E35EF3" w:rsidR="00331C68" w:rsidRPr="003F49E8" w:rsidRDefault="00331C68" w:rsidP="00DA02A6">
      <w:pPr>
        <w:spacing w:line="360" w:lineRule="auto"/>
        <w:rPr>
          <w:b/>
          <w:bCs/>
          <w:color w:val="000000" w:themeColor="text1"/>
          <w:lang w:val="en-US"/>
        </w:rPr>
      </w:pPr>
      <w:r w:rsidRPr="003F49E8">
        <w:rPr>
          <w:b/>
          <w:bCs/>
          <w:color w:val="000000" w:themeColor="text1"/>
          <w:lang w:val="en-US"/>
        </w:rPr>
        <w:t>2.</w:t>
      </w:r>
      <w:r w:rsidR="007C1A6E" w:rsidRPr="003F49E8">
        <w:rPr>
          <w:b/>
          <w:bCs/>
          <w:color w:val="000000" w:themeColor="text1"/>
          <w:lang w:val="en-US"/>
        </w:rPr>
        <w:t>3</w:t>
      </w:r>
      <w:r w:rsidRPr="003F49E8">
        <w:rPr>
          <w:b/>
          <w:bCs/>
          <w:color w:val="000000" w:themeColor="text1"/>
          <w:lang w:val="en-US"/>
        </w:rPr>
        <w:t xml:space="preserve"> Co-expression network analysis - WGCNA</w:t>
      </w:r>
    </w:p>
    <w:p w14:paraId="0ACB6BB5" w14:textId="3C759C2C" w:rsidR="005F37AB" w:rsidRPr="003F49E8" w:rsidRDefault="005F37AB" w:rsidP="00DA02A6">
      <w:pPr>
        <w:spacing w:line="360" w:lineRule="auto"/>
      </w:pPr>
      <w:r w:rsidRPr="003F49E8">
        <w:t>Weighted gene co-expression network analysis was performed using the WGCNA framework to find modules of co-regulated genes linked to rheumatoid arthritis (RA) and, specifically, with sex-specific disease signal (Langfelder &amp; Horvath, 2008; Zhang &amp; Horvath, 2005). For reproducibility, a fixed random seed (set.seed(1234)) was used for the network formation on the 70% training set (quantile-normalized, ComBat-corrected expression).</w:t>
      </w:r>
    </w:p>
    <w:p w14:paraId="1EE401CA" w14:textId="707E6297" w:rsidR="001C5A93" w:rsidRPr="003F49E8" w:rsidRDefault="001C5A93" w:rsidP="00DA02A6">
      <w:pPr>
        <w:spacing w:line="360" w:lineRule="auto"/>
      </w:pPr>
      <w:r w:rsidRPr="003F49E8">
        <w:t>Starting with the common genes, the genes were screened for low variability and missing values. Based on the theory that near-invariant genes carry little co-expression information, the bottom 40% of genes by variance were eliminated. The network input genes were retained. Using a data-driven cut height (mean + 3 SD of the merge heights), sample clustering (average-linkage hierarchical clustering on Euclidean distance) was examined for outliers.</w:t>
      </w:r>
    </w:p>
    <w:p w14:paraId="009B1EB4" w14:textId="77BBA9C3" w:rsidR="001C5A93" w:rsidRPr="003F49E8" w:rsidRDefault="001C5A93" w:rsidP="00DA02A6">
      <w:pPr>
        <w:spacing w:line="360" w:lineRule="auto"/>
        <w:rPr>
          <w:color w:val="000000" w:themeColor="text1"/>
          <w:lang w:val="en-US"/>
        </w:rPr>
      </w:pPr>
      <w:r w:rsidRPr="003F49E8">
        <w:rPr>
          <w:color w:val="000000" w:themeColor="text1"/>
          <w:lang w:val="en-US"/>
        </w:rPr>
        <w:t>A network of signed co-expression was constructed. In accordance with the WGCNA authors' recommendation for a signed network with more than 40 samples, the soft-thresholding power was evaluated across candidate values (1–10, then 12–20) using pickSoftThreshold and set to β = 12; the scale-free topology fit was confirmed to be satisfactory at this power.</w:t>
      </w:r>
    </w:p>
    <w:p w14:paraId="61B73EE4" w14:textId="245AA637" w:rsidR="001C5A93" w:rsidRPr="003F49E8" w:rsidRDefault="001C5A93" w:rsidP="00DA02A6">
      <w:pPr>
        <w:spacing w:line="360" w:lineRule="auto"/>
        <w:rPr>
          <w:color w:val="000000" w:themeColor="text1"/>
          <w:lang w:val="en-US"/>
        </w:rPr>
      </w:pPr>
      <w:r w:rsidRPr="003F49E8">
        <w:rPr>
          <w:color w:val="000000" w:themeColor="text1"/>
          <w:lang w:val="en-US"/>
        </w:rPr>
        <w:t>BlockwiseModules was used to identify modules in a single block with the following parameters: power = 12, networkType = "signed", TOMType = "signed", maxBlockSize = 16000 (to keep all genes in one block), minimum module size = 30, reassignThreshold = 0, and a module-merge cut height of 0.25 (merging modules whose eigengenes correlate &gt; 0.75).</w:t>
      </w:r>
    </w:p>
    <w:p w14:paraId="3E66814A" w14:textId="72CD0BAB" w:rsidR="008E570B" w:rsidRPr="003F49E8" w:rsidRDefault="001C5A93" w:rsidP="00DA02A6">
      <w:pPr>
        <w:spacing w:line="360" w:lineRule="auto"/>
        <w:rPr>
          <w:color w:val="000000" w:themeColor="text1"/>
          <w:lang w:val="en-US"/>
        </w:rPr>
      </w:pPr>
      <w:r w:rsidRPr="003F49E8">
        <w:rPr>
          <w:color w:val="000000" w:themeColor="text1"/>
          <w:lang w:val="en-US"/>
        </w:rPr>
        <w:lastRenderedPageBreak/>
        <w:t>This produced co-expression modules with varying sizes. Each module's module eigengene, or the first principal component of its genes' expression, served as a summary.</w:t>
      </w:r>
    </w:p>
    <w:p w14:paraId="720435CE" w14:textId="38B6DAD9" w:rsidR="001C5A93" w:rsidRPr="003F49E8" w:rsidRDefault="001C5A93" w:rsidP="00DA02A6">
      <w:pPr>
        <w:spacing w:line="360" w:lineRule="auto"/>
      </w:pPr>
      <w:r w:rsidRPr="003F49E8">
        <w:t>The four group-by-sex combinations, age, sex, and disease status (RA, HC)</w:t>
      </w:r>
      <w:r w:rsidR="00331C68" w:rsidRPr="003F49E8">
        <w:t>,</w:t>
      </w:r>
      <w:r w:rsidRPr="003F49E8">
        <w:t xml:space="preserve"> were all encoded in a binary trait matrix. Each characteristic was correlated with module eigengenes (corPvalueStudent, Pearson correlation with student asymptotic p-values). Modules were ranked by their correlation with RA status. Candidate-gene selection was based on the co-expression of these disease-associated modules.</w:t>
      </w:r>
    </w:p>
    <w:p w14:paraId="754C761A" w14:textId="7B7857BC" w:rsidR="001C5A93" w:rsidRPr="003F49E8" w:rsidRDefault="001C5A93" w:rsidP="00DA02A6">
      <w:pPr>
        <w:spacing w:line="360" w:lineRule="auto"/>
      </w:pPr>
      <w:r w:rsidRPr="003F49E8">
        <w:t>Module membership (kME, the correlation between a gene and its module eigengene), gene significance (the correlation between a gene and RA status), and intramodular connectivity (signed adjacency, power = 12) were used to measure gene-level importance within the RA-associated module(s). Hub genes were identified as having high connectivity, high module membership (|kME| &gt; 0.8), and notable trait significance (|GS| &gt; 0.2). The strongest 2% of intramodular co-expression edges were used to create complementary betweenness-centrality hubs. When network access was permitted, a STRING protein–protein interaction network (Homo sapiens, confidence score ≥ 400) was rebuilt to rank genes according to topological centrality.</w:t>
      </w:r>
    </w:p>
    <w:p w14:paraId="58C88B0A" w14:textId="76D3DC49" w:rsidR="001C5A93" w:rsidRPr="003F49E8" w:rsidRDefault="001C5A93" w:rsidP="00DA02A6">
      <w:pPr>
        <w:spacing w:line="360" w:lineRule="auto"/>
      </w:pPr>
      <w:r w:rsidRPr="003F49E8">
        <w:t>Two additional networks were constructed independently for male and female data at the same soft-threshold power to examine whether co-expression structure varies by sex. A linear model of each eigengene on group × sex (the interaction term evaluating whether the RA-versus-HC shift differs between sexes) was used to evaluate the per-module sex-specificity of the RA effect with Benjamini–Hochberg correction. Module preservation analysis (modulePreservation, female network as reference, 100 permutations) was used as a formal, sample-size-controlled test to measure how well female-defined modules were preserved in males; a preservation Z-summary &lt; 2 indicated non-preserved (i.e., sex-specific) structure, and &gt; 10 strong preservation.</w:t>
      </w:r>
    </w:p>
    <w:p w14:paraId="1EA7E97F" w14:textId="16D6E3ED" w:rsidR="00E1462C" w:rsidRPr="003F49E8" w:rsidRDefault="001C5A93" w:rsidP="00DA02A6">
      <w:pPr>
        <w:spacing w:line="360" w:lineRule="auto"/>
        <w:rPr>
          <w:b/>
          <w:bCs/>
          <w:color w:val="000000" w:themeColor="text1"/>
          <w:lang w:val="en-US"/>
        </w:rPr>
      </w:pPr>
      <w:r w:rsidRPr="003F49E8">
        <w:t>Gene Ontology (enrichGO, all ontologies) and KEGG pathway enrichment (enrichKEGG, organism = "hsa") were applied to the genes in the disease-associated modules using clusterProfiler, with p- and q-value cutoffs of 0.05 and Benjamini–Hochberg correction. Ultimately, the intersection of the RA-associated module genes and the significant DEGs was kept as the high-confidence "DEG</w:t>
      </w:r>
      <w:r w:rsidR="007C1A6E" w:rsidRPr="003F49E8">
        <w:t>”,</w:t>
      </w:r>
      <w:r w:rsidRPr="003F49E8">
        <w:t xml:space="preserve"> </w:t>
      </w:r>
      <w:r w:rsidR="007C1A6E" w:rsidRPr="003F49E8">
        <w:t>“</w:t>
      </w:r>
      <w:r w:rsidRPr="003F49E8">
        <w:t>WGCNA" gene set and independently annotated, serving as the input for the Mendelian-randomisation and subsequent candidate-gene phases.</w:t>
      </w:r>
    </w:p>
    <w:p w14:paraId="299816F8" w14:textId="37DE68A5" w:rsidR="007C1A6E" w:rsidRPr="003F49E8" w:rsidRDefault="007C1A6E" w:rsidP="00DA02A6">
      <w:pPr>
        <w:spacing w:line="360" w:lineRule="auto"/>
        <w:rPr>
          <w:b/>
          <w:bCs/>
          <w:color w:val="000000" w:themeColor="text1"/>
          <w:lang w:val="en-US"/>
        </w:rPr>
      </w:pPr>
      <w:r w:rsidRPr="003F49E8">
        <w:rPr>
          <w:b/>
          <w:bCs/>
          <w:color w:val="000000" w:themeColor="text1"/>
          <w:lang w:val="en-US"/>
        </w:rPr>
        <w:t xml:space="preserve">2.4 Candidate gene identification (disease-module and sex-DEG) </w:t>
      </w:r>
    </w:p>
    <w:p w14:paraId="0FE8836E" w14:textId="7862BD62" w:rsidR="00E1462C" w:rsidRPr="003F49E8" w:rsidRDefault="007001D6" w:rsidP="00DA02A6">
      <w:pPr>
        <w:spacing w:line="360" w:lineRule="auto"/>
      </w:pPr>
      <w:r w:rsidRPr="003F49E8">
        <w:t>This step combines the network-level evidence from the co-expression analysis described in the previous section with the sex-stratified differential expression results to identify candidate genes for rheumatoid arthritis (RA). Briefly, weighted gene co-expression network analysis (WGCNA) grouped the training transcriptome into modules of tightly co-regulated genes and linked each module to disease status; this section explains how those modules were combined with the sex-stratified expression results to nominate candidate genes.</w:t>
      </w:r>
      <w:r w:rsidRPr="003F49E8"/>
    </w:p>
    <w:p w14:paraId="66B48A86" w14:textId="3C0F3C57" w:rsidR="007001D6" w:rsidRPr="003F49E8" w:rsidRDefault="007001D6" w:rsidP="00DA02A6">
      <w:pPr>
        <w:spacing w:line="360" w:lineRule="auto"/>
      </w:pPr>
      <w:r w:rsidRPr="003F49E8">
        <w:t>A gene was retained as a candidate only if it was supported by two independent lines of evidence: (i) membership in a disease-associated co-expression module, indicating participation in a coordinated, disease-related expression programme, and (ii) significant differential expression within a given sex, indicating an individual association with disease. Requiring both criteria together gives greater confidence that a candidate gene is genuinely disease-relevant, rather than relying on either form of evidence on its own.</w:t>
      </w:r>
    </w:p>
    <w:p w14:paraId="79724C64" w14:textId="4C8B9F22" w:rsidR="007001D6" w:rsidRPr="003F49E8" w:rsidRDefault="007001D6" w:rsidP="00DA02A6">
      <w:pPr>
        <w:spacing w:line="360" w:lineRule="auto"/>
        <w:rPr>
          <w:b/>
          <w:bCs/>
          <w:color w:val="000000" w:themeColor="text1"/>
          <w:lang w:val="en-US"/>
        </w:rPr>
      </w:pPr>
      <w:r w:rsidRPr="003F49E8">
        <w:t>Sex-specificity was introduced only at the differential-expression step. The same set of disease-associated modules was used as a shared background for both sexes, and female and male candidate genes were then drawn from this common background using each sex's own list of differentially expressed genes. Using an identical module background for both sexes ensures that any differences later observed between the female and male candidate lists reflect genuine sex differences in expression biology, rather than an artefact of starting from different gene backgrounds.</w:t>
      </w:r>
    </w:p>
    <w:p w14:paraId="2B6ADA35" w14:textId="72EBA84E" w:rsidR="00E1462C" w:rsidRPr="003F49E8" w:rsidRDefault="007001D6" w:rsidP="00DA02A6">
      <w:pPr>
        <w:spacing w:line="360" w:lineRule="auto"/>
      </w:pPr>
      <w:r w:rsidRPr="003F49E8">
        <w:t>Disease-associated modules were identified from the overall (all-sample) module–trait association analysis. For each module, the module eigengene—the first principal component summarising the expression of all genes in that module—was correlated with a binary indicator of disease status (RA versus control) using Pearson correlation with Student asymptotic p-values. A module was retained as disease-associated only if it met two conditions at once: an absolute correlation with RA status of at least 0.5, and an association p-value below 1 × 10⁻</w:t>
      </w:r>
      <w:r w:rsidRPr="003F49E8">
        <w:rPr>
          <w:vertAlign w:val="superscript"/>
        </w:rPr>
        <w:t>8</w:t>
      </w:r>
      <w:r w:rsidRPr="003F49E8">
        <w:t>. The correlation threshold ensured that retained modules captured a meaningful share of disease-related expression variance, while the strict p-value threshold guarded against spurious module–trait associations. Both up-regulated and down-regulated disease programmes were eligible for inclusion. The genes from all modules meeting these criteria were pooled into a single disease-module gene background, which was used identically for both sexes.</w:t>
      </w:r>
    </w:p>
    <w:p w14:paraId="02A3D7AC" w14:textId="71CFEDE0" w:rsidR="007001D6" w:rsidRPr="003F49E8" w:rsidRDefault="007001D6" w:rsidP="00DA02A6">
      <w:pPr>
        <w:spacing w:line="360" w:lineRule="auto"/>
      </w:pPr>
      <w:r w:rsidRPr="003F49E8">
        <w:t>This shared disease-module background was then intersected with each sex's list of significantly differentially expressed genes (DEGs) from the sex-stratified limma analysis, separately for females and males. The intersection with the female DEG list defined the female candidate set, and the intersection with the male DEG list defined the male candidate set. Because both candidate sets were drawn from the same disease-module background, any divergence between the female and male candidate lists is attributable solely to differences in the sex-stratified expression contrasts, not to the module background itself. A candidate gene was classified as sex-specific if it appeared in only one sex's candidate list, and as shared if it appeared in both.</w:t>
      </w:r>
      <w:r w:rsidR="009F5FC2" w:rsidRPr="003F49E8"/>
    </w:p>
    <w:p w14:paraId="115B74BB" w14:textId="71DBD7B9" w:rsidR="009F5FC2" w:rsidRPr="003F49E8" w:rsidRDefault="009F5FC2" w:rsidP="00DA02A6">
      <w:pPr>
        <w:spacing w:line="360" w:lineRule="auto"/>
        <w:rPr>
          <w:b/>
          <w:bCs/>
          <w:color w:val="000000" w:themeColor="text1"/>
          <w:lang w:val="en-US"/>
        </w:rPr>
      </w:pPr>
      <w:r w:rsidRPr="003F49E8">
        <w:t xml:space="preserve">Each retained candidate gene was annotated with its co-expression module, the direction of its dysregulation in RA (up- or down-regulated), its log₂ fold-change and false-discovery-rate-adjusted significance in the relevant sex-stratified </w:t>
      </w:r>
      <w:r w:rsidRPr="003F49E8">
        <w:t>contrast, and its module membership value (kME) — the correlation between the gene and its module eigengene, which quantifies how central the gene is within the module. The overlap between the female and male candidate sets was visualised for each sex using a two-set Venn diagram.</w:t>
      </w:r>
    </w:p>
    <w:p w14:paraId="26835FCF" w14:textId="77777777" w:rsidR="00E1462C" w:rsidRPr="003F49E8" w:rsidRDefault="00E1462C" w:rsidP="00DA02A6">
      <w:pPr>
        <w:spacing w:line="360" w:lineRule="auto"/>
        <w:rPr>
          <w:b/>
          <w:bCs/>
          <w:color w:val="000000" w:themeColor="text1"/>
          <w:lang w:val="en-US"/>
        </w:rPr>
      </w:pPr>
    </w:p>
    <w:p w14:paraId="7A4F481D" w14:textId="3ABD2BE0" w:rsidR="00514D51" w:rsidRPr="003F49E8" w:rsidRDefault="00514D51" w:rsidP="00DA02A6">
      <w:pPr>
        <w:spacing w:line="360" w:lineRule="auto"/>
        <w:rPr>
          <w:b/>
          <w:bCs/>
          <w:color w:val="000000" w:themeColor="text1"/>
          <w:lang w:val="en-US"/>
        </w:rPr>
      </w:pPr>
      <w:r w:rsidRPr="003F49E8">
        <w:rPr>
          <w:b/>
          <w:bCs/>
          <w:color w:val="000000" w:themeColor="text1"/>
          <w:lang w:val="en-US"/>
        </w:rPr>
        <w:t>2.5 Instrument selection and Mendelian Randomisation design</w:t>
      </w:r>
    </w:p>
    <w:p w14:paraId="0147CD36" w14:textId="242865E6" w:rsidR="00E1462C" w:rsidRPr="003F49E8" w:rsidRDefault="00D455BA" w:rsidP="00DA02A6">
      <w:pPr>
        <w:spacing w:line="360" w:lineRule="auto"/>
      </w:pPr>
      <w:r w:rsidRPr="003F49E8">
        <w:t>Using gene expression as the exposure (measured by expression quantitative trait loci, or eQTLs) and RA as the outcome, two-sample cis-Mendelian randomisation (MR) was used to determine whether the candidate genes are causally linked to RA rather than just correlated. The analysis was conducted with a fixed seed (set.seed(2024)) for repeatability and is based on the three instrumental-variable assumptions of relevance, independence, and exclusion limitation.</w:t>
      </w:r>
    </w:p>
    <w:p w14:paraId="16FFE8DC" w14:textId="7884BA69" w:rsidR="00D455BA" w:rsidRPr="003F49E8" w:rsidRDefault="00D455BA" w:rsidP="00DA02A6">
      <w:pPr>
        <w:spacing w:line="360" w:lineRule="auto"/>
      </w:pPr>
      <w:r w:rsidRPr="003F49E8">
        <w:t xml:space="preserve">The </w:t>
      </w:r>
      <w:proofErr w:type="spellStart"/>
      <w:r w:rsidRPr="003F49E8">
        <w:t>OpenGWAS</w:t>
      </w:r>
      <w:proofErr w:type="spellEnd"/>
      <w:r w:rsidRPr="003F49E8">
        <w:t>/IEU database (</w:t>
      </w:r>
      <w:proofErr w:type="spellStart"/>
      <w:r w:rsidRPr="003F49E8">
        <w:t>eqtl</w:t>
      </w:r>
      <w:proofErr w:type="spellEnd"/>
      <w:r w:rsidRPr="003F49E8">
        <w:t>-a-) provided access to cis-</w:t>
      </w:r>
      <w:proofErr w:type="spellStart"/>
      <w:r w:rsidRPr="003F49E8">
        <w:t>eQTLs</w:t>
      </w:r>
      <w:proofErr w:type="spellEnd"/>
      <w:r w:rsidRPr="003F49E8">
        <w:t xml:space="preserve"> from the </w:t>
      </w:r>
      <w:proofErr w:type="spellStart"/>
      <w:r w:rsidRPr="003F49E8">
        <w:t>eQTLGen</w:t>
      </w:r>
      <w:proofErr w:type="spellEnd"/>
      <w:r w:rsidRPr="003F49E8">
        <w:t xml:space="preserve"> collaboration as exposure instruments; org.Hs.eg.db was used to link gene symbols to </w:t>
      </w:r>
      <w:proofErr w:type="spellStart"/>
      <w:r w:rsidRPr="003F49E8">
        <w:t>Ensembl</w:t>
      </w:r>
      <w:proofErr w:type="spellEnd"/>
      <w:r w:rsidRPr="003F49E8">
        <w:t xml:space="preserve"> IDs. The result was the RA GWAS (OpenGWAS ieu-a-832) by Okada et al. (2014).</w:t>
      </w:r>
      <w:r w:rsidRPr="003F49E8">
        <w:br/>
        <w:t>choice of instruments. The following instruments were chosen for each candidate gene:</w:t>
      </w:r>
      <w:r w:rsidRPr="003F49E8">
        <w:br/>
        <w:t xml:space="preserve">cis-eQTLs only, to reduce horizontal pleiotropy; association with expression at p &lt; 5 × 10⁻² (instrument relevance); LD clumping at r² &lt; 0.001 within a 10,000 kb window to preserve roughly independent SNPs; instrument strength filter: F-statistic = (β_exposure / </w:t>
      </w:r>
      <w:proofErr w:type="spellStart"/>
      <w:r w:rsidRPr="003F49E8">
        <w:t>SE_exposure</w:t>
      </w:r>
      <w:proofErr w:type="spellEnd"/>
      <w:r w:rsidRPr="003F49E8">
        <w:t>)², excluding weak instruments (F &lt; 10).</w:t>
      </w:r>
    </w:p>
    <w:p w14:paraId="18264A1B" w14:textId="4F82C347" w:rsidR="00D455BA" w:rsidRPr="003F49E8" w:rsidRDefault="00D455BA" w:rsidP="00DA02A6">
      <w:pPr>
        <w:spacing w:line="360" w:lineRule="auto"/>
      </w:pPr>
      <w:r w:rsidRPr="003F49E8">
        <w:t xml:space="preserve">In order to fully recover the outcome associations without truncating at a query timeout, the RA outcome was recovered in batches of 250 SNPs with LD proxies enabled and up to three retries per batch due to the size of the instrument set. Exposure and outcome were matched using </w:t>
      </w:r>
      <w:proofErr w:type="spellStart"/>
      <w:r w:rsidRPr="003F49E8">
        <w:t>harmonize_data</w:t>
      </w:r>
      <w:proofErr w:type="spellEnd"/>
      <w:r w:rsidRPr="003F49E8">
        <w:t xml:space="preserve">(action = 2), which eliminates ambiguous palindromic SNPs with intermediate allele frequencies and infers strand from allele frequencies for non-palindromic SNPs; only SNPs labelled </w:t>
      </w:r>
      <w:proofErr w:type="spellStart"/>
      <w:r w:rsidRPr="003F49E8">
        <w:t>mr_keep</w:t>
      </w:r>
      <w:proofErr w:type="spellEnd"/>
      <w:r w:rsidRPr="003F49E8">
        <w:t xml:space="preserve"> were examined.</w:t>
      </w:r>
    </w:p>
    <w:p w14:paraId="64D1F187" w14:textId="056C91EE" w:rsidR="00D455BA" w:rsidRPr="003F49E8" w:rsidRDefault="00D455BA" w:rsidP="00DA02A6">
      <w:pPr>
        <w:spacing w:line="360" w:lineRule="auto"/>
      </w:pPr>
      <w:r w:rsidRPr="003F49E8">
        <w:t>Each gene underwent MR, and the estimate was modified based on the quantity of valid instruments: Inverse-variance weighted (IVW) for at least three SNPs, together with robustness analyses using MR-Egger and weighted median; IVW for two SNPs;</w:t>
      </w:r>
      <w:r w:rsidRPr="003F49E8">
        <w:br/>
        <w:t xml:space="preserve">1 Wald ratio for SNP. The fixed hierarchy IVW &gt; Wald ratio &gt; weighted median &gt; MR-Egger was used to choose one major estimate per gene. Odds ratios (OR = exp(β)) with 95% confidence intervals (exp(β ± 1.96·SE)) were used to describe effects, and the Benjamini–Hochberg false-discovery rate was used to adjust primary p-values across genes. Every gene </w:t>
      </w:r>
      <w:r w:rsidRPr="003F49E8">
        <w:lastRenderedPageBreak/>
        <w:t>was categorised as providing protection (OR &lt; 1), danger (OR &gt; 1), or no significant impact (p ≥ 0.05).</w:t>
      </w:r>
    </w:p>
    <w:p w14:paraId="4231A6FB" w14:textId="7B7C9227" w:rsidR="00D455BA" w:rsidRPr="003F49E8" w:rsidRDefault="00D455BA" w:rsidP="00DA02A6">
      <w:pPr>
        <w:spacing w:line="360" w:lineRule="auto"/>
        <w:rPr>
          <w:b/>
          <w:bCs/>
          <w:color w:val="000000" w:themeColor="text1"/>
          <w:lang w:val="en-US"/>
        </w:rPr>
      </w:pPr>
      <w:r w:rsidRPr="003F49E8">
        <w:t>Cochran's Q was used to assess between-instrument heterogeneity for genes with three or more instruments, and the MR-Egger intercept was used to test directional horizontal pleiotropy. Instruments, all-method estimates, main estimates, heterogeneity and pleiotropy data were kept as output tables (per sex). Genes with a substantial, non-null main estimate were carried forward as the causally supported input to feature selection.</w:t>
      </w:r>
    </w:p>
    <w:p w14:paraId="7B937FC1" w14:textId="77777777" w:rsidR="00E1462C" w:rsidRPr="003F49E8" w:rsidRDefault="00E1462C" w:rsidP="00DA02A6">
      <w:pPr>
        <w:spacing w:line="360" w:lineRule="auto"/>
        <w:rPr>
          <w:b/>
          <w:bCs/>
          <w:color w:val="000000" w:themeColor="text1"/>
          <w:lang w:val="en-US"/>
        </w:rPr>
      </w:pPr>
    </w:p>
    <w:p w14:paraId="54638461" w14:textId="77777777" w:rsidR="00E71A93" w:rsidRPr="003F49E8" w:rsidRDefault="007F22AD" w:rsidP="00DA02A6">
      <w:pPr>
        <w:spacing w:line="360" w:lineRule="auto"/>
        <w:rPr>
          <w:b/>
          <w:bCs/>
          <w:color w:val="000000" w:themeColor="text1"/>
          <w:lang w:val="en-US"/>
        </w:rPr>
      </w:pPr>
      <w:r w:rsidRPr="003F49E8">
        <w:rPr>
          <w:b/>
          <w:bCs/>
          <w:color w:val="000000" w:themeColor="text1"/>
          <w:lang w:val="en-US"/>
        </w:rPr>
        <w:t xml:space="preserve">2.8 Feature selection </w:t>
      </w:r>
      <w:r w:rsidR="00562BAC" w:rsidRPr="003F49E8">
        <w:rPr>
          <w:b/>
          <w:bCs/>
          <w:color w:val="000000" w:themeColor="text1"/>
          <w:lang w:val="en-US"/>
        </w:rPr>
        <w:t xml:space="preserve">- </w:t>
      </w:r>
      <w:r w:rsidRPr="003F49E8">
        <w:rPr>
          <w:b/>
          <w:bCs/>
          <w:color w:val="000000" w:themeColor="text1"/>
          <w:lang w:val="en-US"/>
        </w:rPr>
        <w:t xml:space="preserve">LASSO, SVM-RFE, Random Forest     </w:t>
      </w:r>
    </w:p>
    <w:p w14:paraId="254E7094" w14:textId="6E79DEC1" w:rsidR="00D26E82" w:rsidRPr="003F49E8" w:rsidRDefault="00D26E82" w:rsidP="00DA02A6">
      <w:pPr>
        <w:spacing w:line="360" w:lineRule="auto"/>
        <w:rPr>
          <w:b/>
          <w:bCs/>
          <w:color w:val="000000" w:themeColor="text1"/>
          <w:lang w:val="en-US"/>
        </w:rPr>
      </w:pPr>
      <w:r w:rsidRPr="003F49E8">
        <w:t>To streamline the sex-specific causative candidate genes into concise diagnostic biomarker panels, machine-learning feature selection was applied. The genes considered for inclusion in these panels were required to have genetic evidence supporting their causality. Thus, the candidate genes at this stage were those identified as Mendelian-randomisation causal genes for each sex separately. These genes had cis-eQTL-instrumented expression indicating a causal link to rheumatoid arthritis, with a significant MR risk classification. The analysis was conducted independently for females and males, ensuring that each model was confined to a single sex, with no data exchange between the two studies.</w:t>
      </w:r>
    </w:p>
    <w:p w14:paraId="1C551822" w14:textId="74CCE6C1" w:rsidR="00D26E82" w:rsidRPr="003F49E8" w:rsidRDefault="00D26E82" w:rsidP="00DA02A6">
      <w:pPr>
        <w:pStyle w:val="NormalWeb"/>
        <w:spacing w:line="360" w:lineRule="auto"/>
      </w:pPr>
      <w:r w:rsidRPr="003F49E8">
        <w:t>Feature selection was exclusively conducted on the training cohort, which comprised 70% of the combined GSE93272 and GSE110169 datasets, transformed to the log₂ scale following quantile normali</w:t>
      </w:r>
      <w:r w:rsidR="003D6D09">
        <w:t>s</w:t>
      </w:r>
      <w:r w:rsidRPr="003F49E8">
        <w:t>ation and ComBat batch correction. For each sex, a design matrix was constructed, with samples as rows and the candidate genes specific to that sex as columns. The response variable was the diagnosis, coded as rheumatoid arthritis (RA) versus healthy control, with the healthy control serving as the reference level. Subsequently, three distinct supervised feature-selection methods were applied within each sex, with the primary hyperparameter of each method adjusted through internal 10-fold cross-validation.</w:t>
      </w:r>
    </w:p>
    <w:p>
      <w:pPr>
        <w:pStyle w:val="NormalWeb"/>
      </w:pPr>
      <w:r>
        <w:rPr>
          <w:b/>
        </w:rPr>
        <w:t>LASSO</w:t>
      </w:r>
    </w:p>
    <w:p w14:paraId="18D0462C" w14:textId="77777777" w:rsidR="00D26E82" w:rsidRPr="003F49E8" w:rsidRDefault="00D26E82" w:rsidP="00DA02A6">
      <w:pPr>
        <w:pStyle w:val="NormalWeb"/>
        <w:spacing w:line="360" w:lineRule="auto"/>
      </w:pPr>
      <w:r w:rsidRPr="003F49E8">
        <w:t>The LASSO logistic regression model was implemented using the glmnet package, specifying family = "binomial" and alpha = 1 to apply a pure L1 penalty. This approach facilitates embedded selection by reducing non-informative coefficients to zero. The penalty parameter λ was determined through 10-fold cross-validation, employing binomial deviance as the loss function (cv.glmnet, type.measure = "deviance"). Genes that maintained a non-zero coefficient at λ.min were selected as part of the LASSO selection, and the more parsimonious λ.1se solution was also documented.</w:t>
      </w:r>
    </w:p>
    <w:p>
      <w:pPr>
        <w:pStyle w:val="NormalWeb"/>
      </w:pPr>
      <w:r>
        <w:rPr>
          <w:b/>
        </w:rPr>
        <w:t>Random Forest</w:t>
      </w:r>
    </w:p>
    <w:p w14:paraId="54A42AB9" w14:textId="44BA21D0" w:rsidR="00D26E82" w:rsidRPr="003F49E8" w:rsidRDefault="00D26E82" w:rsidP="00DA02A6">
      <w:pPr>
        <w:pStyle w:val="NormalWeb"/>
        <w:spacing w:line="360" w:lineRule="auto"/>
      </w:pPr>
      <w:r w:rsidRPr="003F49E8">
        <w:lastRenderedPageBreak/>
        <w:t>A random forest model was developed using the randomForest and caret packages, comprising 1,000 trees, an increase from the default 500 to enhance the stability of importance estimates. The mtry parameter, which represents the number of candidate genes randomly considered at each split, was optimi</w:t>
      </w:r>
      <w:r w:rsidR="003D6D09">
        <w:t>s</w:t>
      </w:r>
      <w:r w:rsidRPr="003F49E8">
        <w:t>ed through a 10-fold cross-validated grid search focusing on the ROC metric. The parameter values assessed included 1, 2, the square root of the total number of candidate genes, one third, one half, and the full number of candidate genes, with each non-integer value rounded down and duplicate values excluded. The final model, consisting of 1,000 trees, was constructed using the optimal mtry value. A gene was retained if its Mean Decrease in Gini importance surpassed the average Gini importance across all candidate genes.</w:t>
      </w:r>
    </w:p>
    <w:p>
      <w:pPr>
        <w:pStyle w:val="NormalWeb"/>
      </w:pPr>
      <w:r>
        <w:rPr>
          <w:b/>
        </w:rPr>
        <w:t>SVM-RFE</w:t>
      </w:r>
    </w:p>
    <w:p w14:paraId="6DD40FA5" w14:textId="77777777" w:rsidR="00D26E82" w:rsidRPr="003F49E8" w:rsidRDefault="00D26E82" w:rsidP="00DA02A6">
      <w:pPr>
        <w:pStyle w:val="NormalWeb"/>
        <w:spacing w:line="360" w:lineRule="auto"/>
      </w:pPr>
      <w:r w:rsidRPr="003F49E8">
        <w:t>Support-vector-machine recursive feature elimination (SVM-RFE) was conducted using a linear-kernel SVM from the e1071 package, with features standardized (scale = TRUE). The cost parameter was adjusted through a 10-fold cross-validated grid search, exploring values {0.01, 0.1, 0.25, 0.5, 1, 2, 4, 8, 16}. After determining the optimal cost, a linear SVM was trained on the entire feature set. The feature with the smallest squared weight was then excluded, and the model was retrained. This elimination process continued, removing one feature at a time, until a complete ranking of feature importance was achieved. The panel size was selected based on the number of top-ranked features that minimized the classification error in a 10-fold cross-validation.</w:t>
      </w:r>
    </w:p>
    <w:p w14:paraId="4A210112" w14:textId="4F9ED9F8" w:rsidR="00D26E82" w:rsidRPr="003F49E8" w:rsidRDefault="00D26E82" w:rsidP="00DA02A6">
      <w:pPr>
        <w:pStyle w:val="NormalWeb"/>
        <w:spacing w:line="360" w:lineRule="auto"/>
      </w:pPr>
      <w:r w:rsidRPr="003F49E8">
        <w:t>The sex-specific biomarker panel was established by identifying the common elements among the three selectors (LASSO, random forest, and SVM-RFE) for each sex. By ensuring consensus among these three algorithms, which have distinct foundational assumptions, the panel achieved maximum stability and minimised the expected variability in the smaller male group. Subsequently, the consensus panels for females and males were analysed to identify genes that are either shared or unique to each sex. To ensure reproducibility, a single global random seed (1234) was applied before each stochastic process, including the assignment of cross-validation folds, the construction and mtry search of the random forest, and the SVM cross-validation.</w:t>
      </w:r>
    </w:p>
    <w:p w14:paraId="5A6E5FF1" w14:textId="3A67CFD4" w:rsidR="00E71A93" w:rsidRPr="003F49E8" w:rsidRDefault="00E71A93" w:rsidP="00DA02A6">
      <w:pPr>
        <w:pStyle w:val="NormalWeb"/>
        <w:spacing w:line="360" w:lineRule="auto"/>
      </w:pPr>
      <w:r w:rsidRPr="003F49E8">
        <w:t xml:space="preserve">To ensure no data leakage, the consensus panels underwent evaluation by embedding the entire selection process within nested cross-validation. This involved re-deriving the LASSO, random-forest, and SVM-RFE selection methods, the three-method consensus, and the logistic model within each outer training fold, while the held-out fold remained unused for </w:t>
      </w:r>
      <w:r w:rsidRPr="003F49E8">
        <w:lastRenderedPageBreak/>
        <w:t>selection or fitting. The MR gene set, derived externally, was consistently applied across all folds. For sensitivity analysis, an elastic-net logistic model was employed, with α and λ optimised through inner cross-validation, to include correlated yet informative genes that the strict intersection might exclude. The diagnostic performance was assessed using ROC curves and the area under the curve.</w:t>
      </w:r>
    </w:p>
    <w:p w14:paraId="3EDC1878" w14:textId="77777777" w:rsidR="00E71A93" w:rsidRPr="003F49E8" w:rsidRDefault="00E71A93" w:rsidP="00DA02A6">
      <w:pPr>
        <w:spacing w:line="360" w:lineRule="auto"/>
        <w:rPr>
          <w:b/>
          <w:bCs/>
          <w:color w:val="000000" w:themeColor="text1"/>
          <w:lang w:val="en-US"/>
        </w:rPr>
      </w:pPr>
      <w:r w:rsidRPr="003F49E8">
        <w:rPr>
          <w:b/>
          <w:bCs/>
          <w:color w:val="000000" w:themeColor="text1"/>
          <w:lang w:val="en-US"/>
        </w:rPr>
        <w:t>2.10 Machine learning - based diagnostic model development</w:t>
      </w:r>
    </w:p>
    <w:p w14:paraId="28342DED" w14:textId="77777777" w:rsidR="00E71A93" w:rsidRPr="003F49E8" w:rsidRDefault="00E71A93" w:rsidP="00DA02A6">
      <w:pPr>
        <w:pStyle w:val="NormalWeb"/>
        <w:spacing w:line="360" w:lineRule="auto"/>
      </w:pPr>
      <w:r w:rsidRPr="003F49E8">
        <w:t>Sex-specific consensus panels were employed to construct and assess a diagnostic classifier, with distinct treatment for females and males. The female panel was exclusively evaluated in females, while the male panel was assessed solely in males.</w:t>
      </w:r>
    </w:p>
    <w:p w14:paraId="7E943D31" w14:textId="509557C5" w:rsidR="00E71A93" w:rsidRPr="003F49E8" w:rsidRDefault="00E71A93" w:rsidP="00DA02A6">
      <w:pPr>
        <w:pStyle w:val="NormalWeb"/>
        <w:spacing w:line="360" w:lineRule="auto"/>
      </w:pPr>
      <w:r w:rsidRPr="003F49E8">
        <w:t>A multivariable logistic regression model (glm, family = binomial) was developed for each sex to differentiate rheumatoid arthritis (RA) from healthy controls, utilising the panel genes as predictors. To ensure the model's applicability across various microarray platforms, each gene was standardised to a z-score within each dataset and, during cross-validation, within each training fold before model inclusion. The mean and standard deviation were calculated from the training data (or training fold) and subsequently applied, unchanged, to the test data, ensuring that no test sample affected the standardisation process. The training performance was evaluated by reporting both the area under the curve (AUC) and the 10-fold stratified cross-validated out-of-fold AUC as the training estimate, with z-scoring recalculated within each cross-validation training fold.</w:t>
      </w:r>
    </w:p>
    <w:p w14:paraId="6E2F025F" w14:textId="3A618B89" w:rsidR="009A3240" w:rsidRPr="003F49E8" w:rsidRDefault="009A3240" w:rsidP="00DA02A6">
      <w:pPr>
        <w:pStyle w:val="NormalWeb"/>
        <w:spacing w:line="360" w:lineRule="auto"/>
      </w:pPr>
      <w:r w:rsidRPr="003F49E8">
        <w:t xml:space="preserve">In this study, the panel was selected using the entire training set; a standard cross-validated AUC on the same set would exhibit optimistic bias due to feature-selection bias. To derive an unbiased estimate, the entire pipeline was embedded within a nested cross-validation framework, stratified by sex. The outer loop employed a repeated stratified k-fold split: 10-fold repeated five times for females and 5-fold repeated ten times for males. The smaller number of folds with more repetitions in the male stratum was intended to stabilise the estimate. Within each outer training fold, and without accessing the outer test fold, the complete selection procedure was repeated. This included LASSO logistic regression (using cv.glmnet with inner 5-fold cross-validation and non-zero coefficients at λ.min), a random forest (comprising 500 trees, selecting genes with above-mean Gini importance), and SVM-RFE (utilising a linear kernel, cost = 1, with panel size determined by inner 5-fold cross-validated error). These were followed by a consensus of the three methods, with a defined </w:t>
      </w:r>
      <w:r w:rsidRPr="003F49E8">
        <w:t>fallback to the union, then LASSO, and finally the full candidate set to ensure each fold produced a usable panel. A logistic-regression classifier was subsequently fitted on the fold's panel, standardised using the fold-training mean and standard deviation, and applied to predict the untouched outer-test fold. The out-of-fold predicted probabilities were aggregated across all folds and repetitions to yield a pooled AUC with a 95% DeLong confidence interval, alongside the per-repeat AUC distribution and the frequency with which each panel gene re-entered the consensus across folds, serving as a measure of panel stability. The candidate universe of MR-prioritised genes was held constant across folds. This is only partly external: these genes were originally selected as the intersection of the disease module and the sex-specific DEGs, both computed on this same training partition using the group labels, and only the subsequent Mendelian-randomisation filter drew on external GWAS/eQTL summary statistics rather than the expression matrix. Holding the universe fixed therefore corrects the selection bias introduced by the three in-fold selectors and the classifier, but not the bias from the upstream disease-module/DEG/MR stages; the nested-CV AUC should accordingly be read as an upper bound on generalisation performance, with the sealed internal hold-out and external blood cohort providing the fully leakage-free evidence.</w:t>
      </w:r>
    </w:p>
    <w:p w14:paraId="43AD3F89" w14:textId="103C8CA2" w:rsidR="00876F7A" w:rsidRPr="003F49E8" w:rsidRDefault="00876F7A" w:rsidP="00DA02A6">
      <w:pPr>
        <w:pStyle w:val="NormalWeb"/>
        <w:spacing w:line="360" w:lineRule="auto"/>
      </w:pPr>
      <w:r w:rsidRPr="003F49E8">
        <w:t>The training model underwent evaluation using three datasets: the training cohort, which comprised 70% of the discovery data; a 30% internal-validation hold-out, which was adjusted to the training scale through frozen quantile-normalisation and ComBat parameters to prevent any influence from hold-out samples on training parameters; and an independent external blood cohort (GSE15573) on a different platform, where probes were aggregated to genes using the MaxMean rule and log₂-transformed as necessary. The Area Under the Curve (AUC) was determined for both the internal and external datasets based on the locked training model. Additionally, each gene within the panel was analysed as a univariate classifier, with its risk orientation established from the training data and consistently applied to the internal and external datasets. This method allowed the per-gene external AUC to indicate the applicability of the training-learned rule out of sample. All AUCs were reported with 95% DeLong confidence intervals, or bootstrap confidence intervals when sample sizes were limited.</w:t>
      </w:r>
    </w:p>
    <w:p w14:paraId="44C3AA93" w14:textId="0C2141C7" w:rsidR="00D26E82" w:rsidRPr="003F49E8" w:rsidRDefault="00876F7A" w:rsidP="00DA02A6">
      <w:pPr>
        <w:pStyle w:val="NormalWeb"/>
        <w:spacing w:line="360" w:lineRule="auto"/>
        <w:rPr>
          <w:b/>
          <w:bCs/>
        </w:rPr>
      </w:pPr>
      <w:r w:rsidRPr="003F49E8">
        <w:rPr>
          <w:b/>
          <w:bCs/>
        </w:rPr>
        <w:t>Model Evaluation</w:t>
      </w:r>
    </w:p>
    <w:p w14:paraId="41C3246C" w14:textId="0413A72D" w:rsidR="00876F7A" w:rsidRPr="003F49E8" w:rsidRDefault="00876F7A" w:rsidP="00DA02A6">
      <w:pPr>
        <w:pStyle w:val="NormalWeb"/>
        <w:spacing w:line="360" w:lineRule="auto"/>
      </w:pPr>
      <w:r w:rsidRPr="003F49E8">
        <w:t>In the training cohort, the panel model was assessed using two metrics: the apparent AUC, obtained through resubstitution, and the honest training estimate, represented by the 10-fold stratified cross-validated out-of-fold AUC. During this process, z-scoring was recalculated within each cross-validation training fold to ensure that test samples did not influence their own standardi</w:t>
      </w:r>
      <w:r w:rsidR="003D6D09">
        <w:t>s</w:t>
      </w:r>
      <w:r w:rsidRPr="003F49E8">
        <w:t>ation.</w:t>
      </w:r>
    </w:p>
    <w:p w14:paraId="28B52EE0" w14:textId="254AFED7" w:rsidR="00876F7A" w:rsidRPr="003F49E8" w:rsidRDefault="00876F7A" w:rsidP="00DA02A6">
      <w:pPr>
        <w:pStyle w:val="NormalWeb"/>
        <w:spacing w:line="360" w:lineRule="auto"/>
      </w:pPr>
      <w:r w:rsidRPr="003F49E8">
        <w:t xml:space="preserve">Given that the panel was selected using the entire training set, a standard cross-validated AUC would exhibit optimistic bias. Consequently, the entire pipeline was re-evaluated </w:t>
      </w:r>
      <w:r w:rsidRPr="003F49E8">
        <w:lastRenderedPageBreak/>
        <w:t>through nested cross-validation. The outer resampling employed a repeated stratified k-fold scheme: 10 folds repeated 5 times for females and 5 folds repeated 10 times for males, with fewer folds and more repetitions in the smaller male stratum. Each repetition was reproducibly seeded (seed = 1000 + repeat index). Within each outer training fold, and without accessing the outer test fold, feature selection was conducted anew using fixed hyperparameters: LASSO (cv.glmnet, alpha = 1, inner 5-fold cross-validation, genes with non-zero coefficients at λ.min); random forest (ntree = 500, genes with above-mean Gini importance); and SVM-RFE (linear kernel, cost = 1, panel size determined by inner 5-fold cross-validated error). A consensus of these three methods was adopted, with a defined fallback strategy (to the union, then LASSO, then the full candidate set) ensuring each fold produced a viable panel. Subsequently, a logistic-regression classifier was fitted to the fold's panel, standardi</w:t>
      </w:r>
      <w:r w:rsidR="003D6D09">
        <w:t>s</w:t>
      </w:r>
      <w:r w:rsidRPr="003F49E8">
        <w:t>ed using the fold-training mean and standard deviation, and applied to predict the untouched outer-test fold. Out-of-fold predicted probabilities were aggregated across all folds and repetitions to produce a pooled AUC with a 95% DeLong confidence interval, alongside the per-repeat AUC distribution and the re-selection frequency of each panel gene across folds (panel stability). The MR candidate gene set remained constant across folds, as it originates from external GWAS summary data rather than the expression matrix, thereby avoiding data leakage.</w:t>
      </w:r>
    </w:p>
    <w:p w14:paraId="611AE5E2" w14:textId="1079F56D" w:rsidR="00876F7A" w:rsidRPr="003F49E8" w:rsidRDefault="00876F7A" w:rsidP="00DA02A6">
      <w:pPr>
        <w:pStyle w:val="NormalWeb"/>
        <w:spacing w:line="360" w:lineRule="auto"/>
      </w:pPr>
      <w:r w:rsidRPr="003F49E8">
        <w:t>Subsequently, the train</w:t>
      </w:r>
      <w:r w:rsidR="003D6D09">
        <w:t>ed</w:t>
      </w:r>
      <w:r w:rsidRPr="003F49E8">
        <w:t xml:space="preserve"> model was employed on two distinct datasets: an external blood cohort (GSE15573, where probe intensities were log₂-transformed to a linear scale and aggregated to genes using the MaxMean rule) and the sealed 30% internal-validation hold-out (projected onto the training scale utili</w:t>
      </w:r>
      <w:r w:rsidR="003D6D09">
        <w:t>s</w:t>
      </w:r>
      <w:r w:rsidRPr="003F49E8">
        <w:t>ing the frozen quantile-normalisation and ComBat parameters, ensuring that no hold-out sample influenced any training parameter). The locked training model was then utili</w:t>
      </w:r>
      <w:r w:rsidR="003D6D09">
        <w:t>s</w:t>
      </w:r>
      <w:r w:rsidRPr="003F49E8">
        <w:t>ed to compute AUCs for these datasets, without refitting the model on them.</w:t>
      </w:r>
    </w:p>
    <w:p w14:paraId="1D621FCB" w14:textId="77777777" w:rsidR="00876F7A" w:rsidRPr="003F49E8" w:rsidRDefault="00876F7A" w:rsidP="00DA02A6">
      <w:pPr>
        <w:pStyle w:val="NormalWeb"/>
        <w:spacing w:line="360" w:lineRule="auto"/>
      </w:pPr>
      <w:r w:rsidRPr="003F49E8">
        <w:t>Besides the combined-panel model, each gene within the panel was assessed individually as a univariate classifier. Its risk orientation, determined by the ROC direction, was established using the training data and then applied consistently to both the internal and external datasets. This approach ensured that any gene whose effect reversed in the out-of-sample data was penalised instead of having its orientation adjusted.</w:t>
      </w:r>
    </w:p>
    <w:p w14:paraId="51D212EE" w14:textId="1DA26B3E" w:rsidR="00876F7A" w:rsidRPr="003F49E8" w:rsidRDefault="00876F7A" w:rsidP="00DA02A6">
      <w:pPr>
        <w:pStyle w:val="NormalWeb"/>
        <w:spacing w:line="360" w:lineRule="auto"/>
      </w:pPr>
      <w:r w:rsidRPr="003F49E8">
        <w:t xml:space="preserve">The performance metrics and confidence intervals were evaluated using the area under the ROC curve (AUC) to measure discrimination. These metrics were accompanied by 95% </w:t>
      </w:r>
      <w:r w:rsidRPr="003F49E8">
        <w:lastRenderedPageBreak/>
        <w:t>DeLong confidence intervals, except when datasets contained fewer than 20 samples. In such cases, a stratified bootstrap confidence interval, derived from 2,000 resamples, was utilised.</w:t>
      </w:r>
    </w:p>
    <w:p w14:paraId="032D06D0" w14:textId="1559A442" w:rsidR="00876F7A" w:rsidRPr="003F49E8" w:rsidRDefault="00876F7A" w:rsidP="00DA02A6">
      <w:pPr>
        <w:pStyle w:val="NormalWeb"/>
        <w:spacing w:line="360" w:lineRule="auto"/>
      </w:pPr>
      <w:r w:rsidRPr="003F49E8">
        <w:t>An elastic-net logistic regression model was employed for the sensitivity analysis, focusing on the complete per-sex MR causal gene set. The model's two hyperparameters were optimized through inner cross-validation. The mixing parameter α was explored over the grid {0.1, 0.3, 0.5, 0.7, 0.9, 1.0}, and for each α, the penalty λ was adjusted using 5-fold cross-validation (cv.glmnet, standardise = TRUE). The optimal (α, λ) pair, which minimised the cross-validated binomial deviance, was selected. Validation of this model was conducted within the same leakage-free nested cross-validation framework (outer folds seeded at 2000 plus the repeat index). Gene-wise unsupervised z-scoring facilitated cross-platform transfer, with genes absent from an external dataset assigned a z-score of 0. The results were presented alongside the consensus-panel findings, using the same DeLong/bootstrap confidence intervals.</w:t>
      </w:r>
    </w:p>
    <w:p>
      <w:pPr>
        <w:pStyle w:val="NormalWeb"/>
      </w:pPr>
      <w:r>
        <w:rPr>
          <w:b/>
        </w:rPr>
        <w:t>Multi-algorithm comparison: model training</w:t>
      </w:r>
    </w:p>
    <w:p>
      <w:pPr>
        <w:pStyle w:val="NormalWeb"/>
      </w:pPr>
      <w:r>
        <w:t>To evaluate whether the diagnostic signal captured by the sex-specific consensus panel depends on the choice of classifier, five standard algorithm families were trained per sex on the identical, already-locked panel used for the logistic-regression and elastic-net models described above. No feature selection was repeated at this stage: reusing the fixed panel restricts this comparison to algorithm choice rather than panel choice. Training used the same 70% discovery/training cohort (blood, GSE93272 + GSE110169) as the rest of the chapter, with females and males modelled entirely separately throughout. Each panel gene was standardised to a within-training-set z-score (own mean and standard deviation, recalculated for this analysis) prior to model fitting.</w:t>
      </w:r>
    </w:p>
    <w:p>
      <w:pPr>
        <w:pStyle w:val="NormalWeb"/>
      </w:pPr>
      <w:r>
        <w:t>For each sex, the following five classifiers were fitted to the identical panel and z-scored features, using the caret package: logistic regression, a support-vector machine with a radial-basis-function kernel, k-nearest neighbours, a random forest, and a single-hidden-layer artificial neural network. Hyperparameters were tuned by caret::train using 5-fold cross-validation repeated five times (an identical scheme for both sexes), with the area under the ROC curve as the optimisation metric and a fixed seed (1234) set immediately before every model fit.</w:t>
      </w:r>
    </w:p>
    <w:p>
      <w:pPr>
        <w:pStyle w:val="NormalWeb"/>
      </w:pPr>
      <w:r>
        <w:t>Logistic regression. Fitted as a standard binomial generalised linear model (glm, family = binomial); this algorithm has no tunable hyperparameter and served as the baseline against which the remaining four algorithms were compared.</w:t>
      </w:r>
    </w:p>
    <w:p>
      <w:pPr>
        <w:pStyle w:val="NormalWeb"/>
      </w:pPr>
      <w:r>
        <w:t>Random forest. Comprising 500 trees (fixed), with the number of predictors sampled at each split tuned over mtry ∈ {1, 2, 3, 4, 5, 6}, spanning all possible values at the panel size.</w:t>
      </w:r>
    </w:p>
    <w:p>
      <w:pPr>
        <w:pStyle w:val="NormalWeb"/>
      </w:pPr>
      <w:r>
        <w:t>k-Nearest neighbours. Tuned over the number of neighbours k ∈ {3, 5, 7, 9, 11, 13, 15}.</w:t>
      </w:r>
    </w:p>
    <w:p>
      <w:pPr>
        <w:pStyle w:val="NormalWeb"/>
      </w:pPr>
      <w:r>
        <w:t>Support-vector machine (radial-basis-function kernel). Tuned (caret method svmRadial) over a grid of cost C ∈ {0.1, 0.25, 0.5, 1, 2, 4, 8, 16} and kernel width σ ∈ {0.01, 0.05, 0.1, 0.5, 1}.</w:t>
      </w:r>
    </w:p>
    <w:p>
      <w:pPr>
        <w:pStyle w:val="NormalWeb"/>
      </w:pPr>
      <w:r>
        <w:t>Artificial neural network. A single-hidden-layer network (caret method nnet, maximum 200 training iterations, maximum 2,000 weights) tuned over hidden-layer size ∈ {1, 3, 5, 7, 9} and weight decay ∈ {0, 0.001, 0.01, 0.1, 1}.</w:t>
      </w:r>
    </w:p>
    <w:p>
      <w:pPr>
        <w:pStyle w:val="NormalWeb"/>
      </w:pPr>
      <w:r>
        <w:t>For every algorithm, the pooled out-of-fold predicted probabilities at the selected best-tuning parameters (averaged across the repeated cross-validation resamples in which each sample was held out) were retained as an honest, non-resubstitution training-performance estimate, to be reported alongside the corresponding test-set performance.</w:t>
      </w:r>
    </w:p>
    <w:p>
      <w:pPr>
        <w:pStyle w:val="NormalWeb"/>
      </w:pPr>
      <w:r>
        <w:rPr>
          <w:b/>
        </w:rPr>
        <w:t>Multi-algorithm comparison: model testing</w:t>
      </w:r>
    </w:p>
    <w:p>
      <w:pPr>
        <w:pStyle w:val="NormalWeb"/>
      </w:pPr>
      <w:r>
        <w:t>Each of the five sex-specific models trained above was subsequently applied, without refitting, to independent test settings. Discrimination in each test setting was quantified as the area under the ROC curve with a 95% confidence interval, calculated by DeLong's method for samples of n ≥ 20 and by a stratified bootstrap (2,000 resamples, seed 1234) otherwise (Carpenter &amp; Bithell, 2000). Because the male training stratum (n = 38) is small, all male-stratum results from this comparison are flagged as exploratory, and any AUC of 0.999 or above is flagged as a separation artefact rather than reported as a precise performance estimate, consistent with the evidence-tier convention used throughout this chapter.</w:t>
      </w:r>
    </w:p>
    <w:p>
      <w:pPr>
        <w:pStyle w:val="NormalWeb"/>
      </w:pPr>
      <w:r>
        <w:t>Same-tissue (blood). The same-tissue setting used the sealed 30% internal blood validation hold-out already described, projected onto the training scale using the frozen quantile-normalisation and ComBat parameters. Panel-gene expression was standardised to a within-test-set z-score (own mean and standard deviation), matching the convention used in training.</w:t>
      </w:r>
    </w:p>
    <w:p>
      <w:pPr>
        <w:pStyle w:val="NormalWeb"/>
      </w:pPr>
      <w:r>
        <w:t>Cross-tissue (synovium). The cross-tissue setting used the independent synovial RNA-sequencing cohort (GSE89408, rheumatoid arthritis versus normal, expressed as log₂ counts-per-million) already processed for the cross-tissue validation described elsewhere in this chapter. Expression was standardised to a within-test-set z-score rather than the training mean/standard deviation, because the synovial data are on a different platform and tissue from the microarray training data and a frozen training-derived scale would not transfer; any panel gene absent from the synovial dataset was assigned a z-score of zero (equivalent to the dataset mean) rather than being dropped from the model.</w:t>
      </w:r>
    </w:p>
    <w:p>
      <w:pPr>
        <w:pStyle w:val="NormalWeb"/>
      </w:pPr>
      <w:r>
        <w:t>Cross-ancestral. Not performed for this five-algorithm comparison: no ancestry-labelled expression cohort exists for scoring these classifiers, so no analogous cross-ancestral test of the five models was run. The cross-ancestry evidence elsewhere in this chapter is a Mendelian-randomisation replication of the MR-prioritised causal genes against East-Asian and European GWAS — a different analysis on a different gene set — and should not be read as validating these five classifiers across ancestries.</w:t>
      </w:r>
    </w:p>
    <w:p w14:paraId="2BCB7A03" w14:textId="77777777" w:rsidR="004835A0" w:rsidRPr="003F49E8" w:rsidRDefault="00F03574" w:rsidP="00DA02A6">
      <w:pPr>
        <w:spacing w:line="360" w:lineRule="auto"/>
        <w:rPr>
          <w:b/>
          <w:bCs/>
          <w:color w:val="000000" w:themeColor="text1"/>
          <w:lang w:val="en-US"/>
        </w:rPr>
      </w:pPr>
      <w:r w:rsidRPr="003F49E8">
        <w:rPr>
          <w:b/>
          <w:bCs/>
          <w:color w:val="000000" w:themeColor="text1"/>
          <w:lang w:val="en-US"/>
        </w:rPr>
        <w:t xml:space="preserve">2.9 Sex-interaction testing of candidate panels               </w:t>
      </w:r>
    </w:p>
    <w:p w14:paraId="7797D185" w14:textId="41D537D3" w:rsidR="004835A0" w:rsidRPr="003F49E8" w:rsidRDefault="004835A0" w:rsidP="00DA02A6">
      <w:pPr>
        <w:spacing w:line="360" w:lineRule="auto"/>
        <w:rPr>
          <w:b/>
          <w:bCs/>
          <w:color w:val="000000" w:themeColor="text1"/>
          <w:lang w:val="en-US"/>
        </w:rPr>
      </w:pPr>
      <w:r w:rsidRPr="003F49E8">
        <w:t>Each gene within the sex-specific consensus panels underwent formal testing to ascertain genuine sex-specificity, specifically whether the effect of rheumatoid arthritis (RA) versus healthy control differed between sexes, rather than merely being differentially expressed in both sexes. This distinction is crucial, as a gene may show significant association with RA in a single-sex analysis without its effect differing by sex; only a significant diagnosis-by-sex interaction confirms true sex-specificity.</w:t>
      </w:r>
    </w:p>
    <w:p w14:paraId="164DCA70" w14:textId="77777777" w:rsidR="004835A0" w:rsidRPr="003F49E8" w:rsidRDefault="004835A0" w:rsidP="00DA02A6">
      <w:pPr>
        <w:pStyle w:val="NormalWeb"/>
        <w:spacing w:line="360" w:lineRule="auto"/>
      </w:pPr>
      <w:r w:rsidRPr="003F49E8">
        <w:t>The test was conducted on the ComBat-corrected training expression matrix using a limma linear model incorporating an interaction term. For each gene, a model of the form expression ~ group * sex was fitted, with healthy control and female as reference levels. The primary coefficient of interest was the group × sex interaction term (</w:t>
      </w:r>
      <w:proofErr w:type="spellStart"/>
      <w:r w:rsidRPr="003F49E8">
        <w:t>groupRA:sexM</w:t>
      </w:r>
      <w:proofErr w:type="spellEnd"/>
      <w:r w:rsidRPr="003F49E8">
        <w:t xml:space="preserve">), which quantifies the deviation in RA-versus-healthy-control expression change between males and females. Gene-wise models were fitted using </w:t>
      </w:r>
      <w:proofErr w:type="spellStart"/>
      <w:r w:rsidRPr="003F49E8">
        <w:t>lmFit</w:t>
      </w:r>
      <w:proofErr w:type="spellEnd"/>
      <w:r w:rsidRPr="003F49E8">
        <w:t xml:space="preserve"> and moderated by empirical Bayes (</w:t>
      </w:r>
      <w:proofErr w:type="spellStart"/>
      <w:r w:rsidRPr="003F49E8">
        <w:t>eBayes</w:t>
      </w:r>
      <w:proofErr w:type="spellEnd"/>
      <w:r w:rsidRPr="003F49E8">
        <w:t>), with the interaction coefficient extracted for all genes using topTable.</w:t>
      </w:r>
    </w:p>
    <w:p w14:paraId="415BEC8D" w14:textId="77777777" w:rsidR="004835A0" w:rsidRPr="003F49E8" w:rsidRDefault="004835A0" w:rsidP="00DA02A6">
      <w:pPr>
        <w:pStyle w:val="NormalWeb"/>
        <w:spacing w:line="360" w:lineRule="auto"/>
      </w:pPr>
      <w:r w:rsidRPr="003F49E8">
        <w:t xml:space="preserve">Multiple-testing correction was implemented via the Benjamini–Hochberg procedure across the entire transcriptome, not limited to panel genes, ensuring that false-discovery-rate control reflected the comprehensive set of tests conducted. Interaction statistics were subsequently extracted for the consensus panel genes (combining female and male panels), classifying a </w:t>
      </w:r>
      <w:r w:rsidRPr="003F49E8">
        <w:lastRenderedPageBreak/>
        <w:t>gene as sex-specific if its interaction achieved a genome-wide FDR below 0.05, and as sex-shared otherwise. This approach provided a formal, transcriptome-calibrated confirmation of which panel members contribute to the sex-specificity of the diagnostic signature, distinguishing truly sex-specific markers from genes associated with RA in both sexes.</w:t>
      </w:r>
    </w:p>
    <w:p w14:paraId="1A189C6A" w14:textId="77777777" w:rsidR="004835A0" w:rsidRPr="003F49E8" w:rsidRDefault="004835A0" w:rsidP="00DA02A6">
      <w:pPr>
        <w:spacing w:line="360" w:lineRule="auto"/>
        <w:rPr>
          <w:b/>
          <w:bCs/>
          <w:color w:val="000000" w:themeColor="text1"/>
          <w:lang w:val="en-US"/>
        </w:rPr>
      </w:pPr>
      <w:r w:rsidRPr="003F49E8">
        <w:rPr>
          <w:b/>
          <w:bCs/>
          <w:color w:val="000000" w:themeColor="text1"/>
          <w:lang w:val="en-US"/>
        </w:rPr>
        <w:t>2.13 Cross-tissue sex-specific biomarker validation</w:t>
      </w:r>
    </w:p>
    <w:p w14:paraId="6F1418DC" w14:textId="3D353B77" w:rsidR="004835A0" w:rsidRPr="003F49E8" w:rsidRDefault="004835A0" w:rsidP="00DA02A6">
      <w:pPr>
        <w:pStyle w:val="NormalWeb"/>
        <w:spacing w:line="360" w:lineRule="auto"/>
      </w:pPr>
      <w:r w:rsidRPr="003F49E8">
        <w:t>To evaluate the discriminatory efficacy of blood-derived sex-specific biomarker panels within disease-target tissues, these panels were validated using an independent RNA-sequencing dataset (GSE89408) from rheumatoid arthritis synovium. This constitutes a cross-tissue generalisation test, as the panels were originally developed using peripheral blood microarray data, while synovium represents a distinct tissue assessed through a different technological platform. Successful performance of the panels in this context would indicate a tissue-transferable disease signal, rather than a blood-specific artefact.</w:t>
      </w:r>
    </w:p>
    <w:p w14:paraId="265796C5" w14:textId="778CEAFF" w:rsidR="004835A0" w:rsidRPr="003F49E8" w:rsidRDefault="004835A0" w:rsidP="00DA02A6">
      <w:pPr>
        <w:pStyle w:val="NormalWeb"/>
        <w:spacing w:line="360" w:lineRule="auto"/>
      </w:pPr>
      <w:r w:rsidRPr="003F49E8">
        <w:t>Raw synovial RNA-</w:t>
      </w:r>
      <w:proofErr w:type="spellStart"/>
      <w:r w:rsidRPr="003F49E8">
        <w:t>seq</w:t>
      </w:r>
      <w:proofErr w:type="spellEnd"/>
      <w:r w:rsidRPr="003F49E8">
        <w:t xml:space="preserve"> counts were initially loaded, with samples restricted to the rheumatoid arthritis (RA) and normal (control) groups. The sex of each sample was assigned based on the series metadata. The counts were processed using </w:t>
      </w:r>
      <w:proofErr w:type="spellStart"/>
      <w:r w:rsidRPr="003F49E8">
        <w:t>edgeR</w:t>
      </w:r>
      <w:proofErr w:type="spellEnd"/>
      <w:r w:rsidRPr="003F49E8">
        <w:t xml:space="preserve">: a </w:t>
      </w:r>
      <w:proofErr w:type="spellStart"/>
      <w:r w:rsidRPr="003F49E8">
        <w:t>DGEList</w:t>
      </w:r>
      <w:proofErr w:type="spellEnd"/>
      <w:r w:rsidRPr="003F49E8">
        <w:t xml:space="preserve"> was constructed, and genes with low expression were removed using </w:t>
      </w:r>
      <w:proofErr w:type="spellStart"/>
      <w:r w:rsidRPr="003F49E8">
        <w:t>filterByExpr</w:t>
      </w:r>
      <w:proofErr w:type="spellEnd"/>
      <w:r w:rsidRPr="003F49E8">
        <w:t xml:space="preserve">, grouped by disease status. Library sizes were normalised using the trimmed mean of M-values (TMM) method via </w:t>
      </w:r>
      <w:proofErr w:type="spellStart"/>
      <w:r w:rsidRPr="003F49E8">
        <w:t>calcNormFactors</w:t>
      </w:r>
      <w:proofErr w:type="spellEnd"/>
      <w:r w:rsidRPr="003F49E8">
        <w:t>, and expression levels were represented as log₂ counts-per-million (</w:t>
      </w:r>
      <w:proofErr w:type="spellStart"/>
      <w:r w:rsidRPr="003F49E8">
        <w:t>cpm</w:t>
      </w:r>
      <w:proofErr w:type="spellEnd"/>
      <w:r w:rsidRPr="003F49E8">
        <w:t xml:space="preserve">, log = TRUE, </w:t>
      </w:r>
      <w:proofErr w:type="spellStart"/>
      <w:r w:rsidRPr="003F49E8">
        <w:t>prior.count</w:t>
      </w:r>
      <w:proofErr w:type="spellEnd"/>
      <w:r w:rsidRPr="003F49E8">
        <w:t xml:space="preserve"> = 1). Differential expression between RA and normal samples was computed using </w:t>
      </w:r>
      <w:proofErr w:type="spellStart"/>
      <w:r w:rsidRPr="003F49E8">
        <w:t>limma-voom</w:t>
      </w:r>
      <w:proofErr w:type="spellEnd"/>
      <w:r w:rsidRPr="003F49E8">
        <w:t xml:space="preserve">, employing a design matrix of the form ~ sex + grp to adjust the RA effect (coefficient </w:t>
      </w:r>
      <w:proofErr w:type="spellStart"/>
      <w:r w:rsidRPr="003F49E8">
        <w:t>grpRA</w:t>
      </w:r>
      <w:proofErr w:type="spellEnd"/>
      <w:r w:rsidRPr="003F49E8">
        <w:t xml:space="preserve">) for sex. The mean–variance relationship was </w:t>
      </w:r>
      <w:proofErr w:type="spellStart"/>
      <w:r w:rsidRPr="003F49E8">
        <w:t>modeled</w:t>
      </w:r>
      <w:proofErr w:type="spellEnd"/>
      <w:r w:rsidRPr="003F49E8">
        <w:t xml:space="preserve"> with </w:t>
      </w:r>
      <w:proofErr w:type="spellStart"/>
      <w:r w:rsidRPr="003F49E8">
        <w:t>voom</w:t>
      </w:r>
      <w:proofErr w:type="spellEnd"/>
      <w:r w:rsidRPr="003F49E8">
        <w:t xml:space="preserve">, gene-wise linear models were fitted using </w:t>
      </w:r>
      <w:proofErr w:type="spellStart"/>
      <w:r w:rsidRPr="003F49E8">
        <w:t>lmFit</w:t>
      </w:r>
      <w:proofErr w:type="spellEnd"/>
      <w:r w:rsidRPr="003F49E8">
        <w:t xml:space="preserve">, and moderated with </w:t>
      </w:r>
      <w:proofErr w:type="spellStart"/>
      <w:r w:rsidRPr="003F49E8">
        <w:t>eBayes</w:t>
      </w:r>
      <w:proofErr w:type="spellEnd"/>
      <w:r w:rsidRPr="003F49E8">
        <w:t>. Per-gene log₂ fold-changes and Benjamini–Hochberg-adjusted p-values were extracted using topTable. For each panel gene, the direction of its synovial RA-versus-normal change was compared with the direction of its blood training differential expression (the sign of the training log₂ fold-change in the corresponding sex). A gene was flagged as concordant when the two directions matched, allowing for explicit identification of genes reversing direction across tissues rather than masking them.</w:t>
      </w:r>
    </w:p>
    <w:p w14:paraId="75818968" w14:textId="77777777" w:rsidR="004835A0" w:rsidRPr="003F49E8" w:rsidRDefault="004835A0" w:rsidP="00DA02A6">
      <w:pPr>
        <w:pStyle w:val="NormalWeb"/>
        <w:spacing w:line="360" w:lineRule="auto"/>
      </w:pPr>
      <w:r w:rsidRPr="003F49E8">
        <w:t xml:space="preserve">Each gene within the panel was evaluated as a univariate classifier for distinguishing rheumatoid arthritis (RA) from normal synovium, utilizing its log₂-CPM values. The area under the ROC curve (AUC) was calculated both overall and separately for each sex. In the </w:t>
      </w:r>
      <w:r w:rsidRPr="003F49E8">
        <w:lastRenderedPageBreak/>
        <w:t xml:space="preserve">per-gene ROC overlay, each gene was adjusted to ensure an AUC of at least 0.5 for display purposes. The entire panel was </w:t>
      </w:r>
      <w:proofErr w:type="spellStart"/>
      <w:r w:rsidRPr="003F49E8">
        <w:t>analyzed</w:t>
      </w:r>
      <w:proofErr w:type="spellEnd"/>
      <w:r w:rsidRPr="003F49E8">
        <w:t xml:space="preserve"> as a combined multivariable logistic regression classifier (glm, family = binomial), fitted on the z-scored log₂-CPM values of the panel genes. The AUC was reported as both the apparent value and under 10-fold cross-validation. To contextualize the synovial results, the synovium panel ROC was compared with the panel ROCs from three other datasets: training (10-fold cross-validated), internal hold-out, and external blood (GSE15573). This comparison reused the saved ROC coordinates from the training, internal, and blood datasets, while the synovium curve was computed directly, resulting in a single four-dataset panel-ROC comparison for each sex.</w:t>
      </w:r>
    </w:p>
    <w:p w14:paraId="2AC147AA" w14:textId="77777777" w:rsidR="004835A0" w:rsidRPr="003F49E8" w:rsidRDefault="004835A0" w:rsidP="00DA02A6">
      <w:pPr>
        <w:pStyle w:val="NormalWeb"/>
        <w:spacing w:line="360" w:lineRule="auto"/>
      </w:pPr>
      <w:r w:rsidRPr="003F49E8">
        <w:t xml:space="preserve">Subsequently, the area under the curve (AUC) and receiver operating characteristic (ROC) curve for each panel gene were aggregated across four datasets: training, internal test, external blood, and external synovium. In this cross-tissue analysis, the synovium AUC was maintained in the blood-training orientation rather than being adjusted to AUC ≥ 0.5. Specifically, a gene that aligned with the training retained its AUC, whereas a gene with a reversed direction had its AUC reflected as (1 − AUC), ensuring that a direction reversal is accurately represented as an AUC below 0.5. Similarly, in the per-gene ROC curves, the ROC direction for synovium was fixed according to the blood-training sign, such that a curve descending below the diagonal signifies a true expression-direction reversal between blood and synovium. The analysis was conducted separately for females and males, employing the </w:t>
      </w:r>
      <w:proofErr w:type="spellStart"/>
      <w:r w:rsidRPr="003F49E8">
        <w:t>edgeR</w:t>
      </w:r>
      <w:proofErr w:type="spellEnd"/>
      <w:r w:rsidRPr="003F49E8">
        <w:t xml:space="preserve">, </w:t>
      </w:r>
      <w:proofErr w:type="spellStart"/>
      <w:r w:rsidRPr="003F49E8">
        <w:t>limma</w:t>
      </w:r>
      <w:proofErr w:type="spellEnd"/>
      <w:r w:rsidRPr="003F49E8">
        <w:t xml:space="preserve">, </w:t>
      </w:r>
      <w:proofErr w:type="spellStart"/>
      <w:r w:rsidRPr="003F49E8">
        <w:t>voom</w:t>
      </w:r>
      <w:proofErr w:type="spellEnd"/>
      <w:r w:rsidRPr="003F49E8">
        <w:t xml:space="preserve">, and </w:t>
      </w:r>
      <w:proofErr w:type="spellStart"/>
      <w:r w:rsidRPr="003F49E8">
        <w:t>pROC</w:t>
      </w:r>
      <w:proofErr w:type="spellEnd"/>
      <w:r w:rsidRPr="003F49E8">
        <w:t xml:space="preserve"> packages.</w:t>
      </w:r>
    </w:p>
    <w:p w14:paraId="70B9A954" w14:textId="1DB988C0" w:rsidR="00085436" w:rsidRPr="003F49E8" w:rsidRDefault="00085436" w:rsidP="00DA02A6">
      <w:pPr>
        <w:spacing w:line="360" w:lineRule="auto"/>
        <w:rPr>
          <w:b/>
          <w:bCs/>
          <w:color w:val="000000" w:themeColor="text1"/>
          <w:lang w:val="en-US"/>
        </w:rPr>
      </w:pPr>
      <w:r w:rsidRPr="003F49E8">
        <w:rPr>
          <w:b/>
          <w:bCs/>
          <w:color w:val="000000" w:themeColor="text1"/>
          <w:lang w:val="en-US"/>
        </w:rPr>
        <w:t xml:space="preserve">2.14 Cross-ancestral sex-specific biomarker </w:t>
      </w:r>
    </w:p>
    <w:p w14:paraId="3B42F8CE" w14:textId="77777777" w:rsidR="008E4733" w:rsidRDefault="00085436" w:rsidP="00DA02A6">
      <w:pPr>
        <w:pStyle w:val="NormalWeb"/>
        <w:spacing w:line="360" w:lineRule="auto"/>
      </w:pPr>
      <w:r w:rsidRPr="003F49E8">
        <w:t>To assess if the causal genes identified in the European discovery analysis are consistent across different ancestral groups, the European MR-causal gene sets for each sex were re-evaluated using two-sample Mendelian randomisation against rheumatoid arthritis (RA) GWAS from three cohorts representing two ancestries. The Okada 2014 European GWAS (ieu-a-832) served as the discovery outcome, the Stahl 2010 European GWAS (ieu-a-834) was used as an ancestry-matched replication, and the Biobank Japan (Ishigaki) East-Asian GWAS (bbj-a-151) functioned as the cross-ancestry test. Since OpenGWAS only provides European cis-eQTL data (</w:t>
      </w:r>
      <w:proofErr w:type="spellStart"/>
      <w:r w:rsidRPr="003F49E8">
        <w:t>eQTLGen</w:t>
      </w:r>
      <w:proofErr w:type="spellEnd"/>
      <w:r w:rsidRPr="003F49E8">
        <w:t xml:space="preserve">) and lacks an East-Asian cis-eQTL resource, the same European </w:t>
      </w:r>
      <w:proofErr w:type="spellStart"/>
      <w:r w:rsidRPr="003F49E8">
        <w:t>eQTLGen</w:t>
      </w:r>
      <w:proofErr w:type="spellEnd"/>
      <w:r w:rsidRPr="003F49E8">
        <w:t xml:space="preserve"> instruments were applied to all three outcomes. Consequently, the two European arms are ancestry-matched, while the East-Asian arm is ancestry-mismatched on the exposure side and was considered exploratory cross-ancestry support rather than a direct </w:t>
      </w:r>
      <w:r w:rsidRPr="003F49E8">
        <w:lastRenderedPageBreak/>
        <w:t>replication. A fixed seed (set.seed(2024)) was consistently used, and analyses were conducted separately for females and males.</w:t>
      </w:r>
    </w:p>
    <w:p w14:paraId="0EA8CE94" w14:textId="6DC50AFA" w:rsidR="00085436" w:rsidRPr="003F49E8" w:rsidRDefault="00085436" w:rsidP="00DA02A6">
      <w:pPr>
        <w:pStyle w:val="NormalWeb"/>
        <w:spacing w:line="360" w:lineRule="auto"/>
      </w:pPr>
      <w:r w:rsidRPr="003F49E8">
        <w:t xml:space="preserve">The instruments utilized were the European </w:t>
      </w:r>
      <w:proofErr w:type="spellStart"/>
      <w:r w:rsidRPr="003F49E8">
        <w:t>eQTLGen</w:t>
      </w:r>
      <w:proofErr w:type="spellEnd"/>
      <w:r w:rsidRPr="003F49E8">
        <w:t xml:space="preserve"> cis-eQTL SNPs, which had been previously selected in the primary Mendelian Randomization (MR) analysis based on an F-statistic greater than 10. These instruments were reused from the stored primary MR objects and were limited to the causal genes, ensuring that the exposure side remained consistent across all outcomes. For each outcome, the instrument SNPs were retrieved using the </w:t>
      </w:r>
      <w:proofErr w:type="spellStart"/>
      <w:r w:rsidRPr="003F49E8">
        <w:t>extract_outcome_data</w:t>
      </w:r>
      <w:proofErr w:type="spellEnd"/>
      <w:r w:rsidRPr="003F49E8">
        <w:t xml:space="preserve"> function and harmonized with the exposure data through the </w:t>
      </w:r>
      <w:proofErr w:type="spellStart"/>
      <w:r w:rsidRPr="003F49E8">
        <w:t>harmonise_data</w:t>
      </w:r>
      <w:proofErr w:type="spellEnd"/>
      <w:r w:rsidRPr="003F49E8">
        <w:t xml:space="preserve"> function, employing action = 2. This action infers strand orientation from allele frequencies and excludes ambiguous palindromic SNPs. The Okada results were reused from the primary pipeline without re-fetching. MR was conducted for each gene using the same SNP-count-adaptive method ladder as in the primary analysis: inverse-variance weighted, MR-Egger, and weighted median methods were applied when three or more instruments were available; inverse-variance weighted was used for two instruments; and the Wald ratio was applied for a single instrument. A single primary estimate per gene was selected following a fixed hierarchy: inverse-variance weighted &gt; Wald ratio &gt; weighted median &gt; MR-Egger. The estimates were expressed as odds ratios (OR = exp(β)) with 95% confidence intervals. Each gene was classified within each cohort as conferring risk (OR &gt; 1), protection (OR &lt; 1), or having no significant effect (p ≥ 0.05).</w:t>
      </w:r>
    </w:p>
    <w:p w14:paraId="65195F3F" w14:textId="77777777" w:rsidR="00085436" w:rsidRPr="003F49E8" w:rsidRDefault="00085436" w:rsidP="00DA02A6">
      <w:pPr>
        <w:pStyle w:val="NormalWeb"/>
        <w:spacing w:line="360" w:lineRule="auto"/>
      </w:pPr>
      <w:r w:rsidRPr="003F49E8">
        <w:t>To maintain the interpretability of a null East-Asian result, diagnostics for instrument transferability were computed. For each gene, the number of instrument SNPs that survived harmonisation in each outcome was recorded, along with the mean absolute difference in effect-allele frequency between the European exposure and each outcome. This approach allowed for the distinction of a gene with no surviving East-Asian instruments as "untestable in East Asians (no instruments)" rather than "not causal in East Asians." Cross-cohort concordance was evaluated based on the direction of each odds ratio relative to the null (the sign of OR − 1). A gene was considered replicated in Europeans if its Stahl estimate shared the Okada direction and achieved p &lt; 0.05. It was deemed transferable to East Asians if its Biobank Japan estimate shared the Okada direction and reached p &lt; 0.05, with a gene considered testable in East Asians if at least one instrument SNP survived in Biobank Japan. Based on these criteria, each gene was classified into one of four ancestry categories: untestable in East Asians, shared European and East-Asian, European-replicated but not East-</w:t>
      </w:r>
      <w:r w:rsidRPr="003F49E8">
        <w:lastRenderedPageBreak/>
        <w:t>Asian, or European-discovery only. These classifications, along with the per-cohort odds ratios, p-values, surviving-instrument counts, and allele-frequency gaps, were tabulated separately for the female and male causal-gene sets.</w:t>
      </w:r>
    </w:p>
    <w:p w14:paraId="528D2F65" w14:textId="29CD0AE2" w:rsidR="00E71A93" w:rsidRPr="003F49E8" w:rsidRDefault="00085436" w:rsidP="00DA02A6">
      <w:pPr>
        <w:spacing w:line="360" w:lineRule="auto"/>
        <w:rPr>
          <w:b/>
          <w:bCs/>
          <w:color w:val="000000" w:themeColor="text1"/>
          <w:lang w:val="en-US"/>
        </w:rPr>
      </w:pPr>
      <w:r w:rsidRPr="003F49E8">
        <w:rPr>
          <w:b/>
          <w:bCs/>
          <w:color w:val="000000" w:themeColor="text1"/>
          <w:lang w:val="en-US"/>
        </w:rPr>
        <w:t>2.12 Functional enrichment</w:t>
      </w:r>
    </w:p>
    <w:p w14:paraId="678DB723" w14:textId="77777777" w:rsidR="00085436" w:rsidRPr="003F49E8" w:rsidRDefault="00085436" w:rsidP="00DA02A6">
      <w:pPr>
        <w:pStyle w:val="NormalWeb"/>
        <w:spacing w:line="360" w:lineRule="auto"/>
      </w:pPr>
      <w:r w:rsidRPr="003F49E8">
        <w:t xml:space="preserve">Functional interpretation was executed at two distinct stages within the analytical pipeline: initially on the differentially expressed genes (DEGs) following the expression analysis, and subsequently on the Mendelian-randomisation causal genes after the causal-inference phase. Both stages employed the clusterProfiler framework, utilizing human annotation from org.Hs.eg.db, with gene symbols consistently mapped to Entrez identifiers using </w:t>
      </w:r>
      <w:proofErr w:type="spellStart"/>
      <w:r w:rsidRPr="003F49E8">
        <w:t>bitr</w:t>
      </w:r>
      <w:proofErr w:type="spellEnd"/>
      <w:r w:rsidRPr="003F49E8">
        <w:t>.</w:t>
      </w:r>
    </w:p>
    <w:p w14:paraId="42B7B186" w14:textId="3341DB15" w:rsidR="00085436" w:rsidRPr="003F49E8" w:rsidRDefault="00085436" w:rsidP="00DA02A6">
      <w:pPr>
        <w:pStyle w:val="NormalWeb"/>
        <w:spacing w:line="360" w:lineRule="auto"/>
      </w:pPr>
      <w:r w:rsidRPr="003F49E8">
        <w:t xml:space="preserve">In the differential-expression phase, each significant DEG set was calculated for the pooled cohort and separately for females and males that underwent over-representation analysis. Gene Ontology enrichment was conducted using enrichGO across all three ontologies (biological process, cellular component, and molecular function), while KEGG pathway enrichment was performed with enrichKEGG for Homo sapiens (organism = "hsa"). Both analyses applied the Benjamini–Hochberg correction with a p-value threshold of 0.05 and a q-value threshold of 0.2, with Gene Ontology results converted to readable gene symbols. Additionally, a ranked Gene Set Enrichment Analysis of KEGG pathways was conducted using </w:t>
      </w:r>
      <w:proofErr w:type="spellStart"/>
      <w:r w:rsidRPr="003F49E8">
        <w:t>gseKEGG</w:t>
      </w:r>
      <w:proofErr w:type="spellEnd"/>
      <w:r w:rsidRPr="003F49E8">
        <w:t xml:space="preserve"> (organism = "</w:t>
      </w:r>
      <w:proofErr w:type="spellStart"/>
      <w:r w:rsidRPr="003F49E8">
        <w:t>hsa</w:t>
      </w:r>
      <w:proofErr w:type="spellEnd"/>
      <w:r w:rsidRPr="003F49E8">
        <w:t>", Benjamini–Hochberg correction, p-value cutoff 0.05, fixed seed). For each comparison, genes were ranked by their limma moderated t-statistic for the RA-versus-healthy-control contrast, retaining a single ranking value per gene (the largest absolute t-statistic where a gene mapped to multiple identifiers). A positive normalised enrichment score indicated a pathway up-regulated in RA, while a negative score indicated down-regulation in RA.</w:t>
      </w:r>
    </w:p>
    <w:p w14:paraId="1C224C88" w14:textId="11466D9D" w:rsidR="00085436" w:rsidRPr="003F49E8" w:rsidRDefault="00085436" w:rsidP="00DA02A6">
      <w:pPr>
        <w:pStyle w:val="NormalWeb"/>
        <w:spacing w:line="360" w:lineRule="auto"/>
      </w:pPr>
      <w:r w:rsidRPr="003F49E8">
        <w:t xml:space="preserve">In the causal-gene phase, the Mendelian-randomisation causal gene sets for each sex were annotated separately to elucidate the biological characteristics of genes with genetic support for a causal role in RA. The background universe was confined to genes expressed in the training cohort (the rows of the training expression matrix, mapped to Entrez identifiers), rather than the entire genome, ensuring enrichment assessment was based on genes measurable in the study. Gene Ontology biological-process enrichment was performed using </w:t>
      </w:r>
      <w:proofErr w:type="spellStart"/>
      <w:r w:rsidRPr="003F49E8">
        <w:t>enrichGO</w:t>
      </w:r>
      <w:proofErr w:type="spellEnd"/>
      <w:r w:rsidRPr="003F49E8">
        <w:t xml:space="preserve"> (</w:t>
      </w:r>
      <w:proofErr w:type="spellStart"/>
      <w:r w:rsidRPr="003F49E8">
        <w:t>ont</w:t>
      </w:r>
      <w:proofErr w:type="spellEnd"/>
      <w:r w:rsidRPr="003F49E8">
        <w:t xml:space="preserve"> = "BP", with this expressed-gene universe, p-value cutoff 0.05, q-value cutoff 0.2, readable output), and KEGG pathway enrichment was conducted with enrichKEGG </w:t>
      </w:r>
      <w:r w:rsidRPr="003F49E8">
        <w:lastRenderedPageBreak/>
        <w:t xml:space="preserve">(organism = "hsa", same universe, p-value cutoff 0.05), both under the default Benjamini–Hochberg adjustment, with results mapped back to gene symbols. The most significant enriched terms per sex were visualised as gene-ratio </w:t>
      </w:r>
      <w:proofErr w:type="spellStart"/>
      <w:r w:rsidRPr="003F49E8">
        <w:t>dotplots</w:t>
      </w:r>
      <w:proofErr w:type="spellEnd"/>
      <w:r w:rsidRPr="003F49E8">
        <w:t xml:space="preserve">, combining the top GO biological-process and KEGG results, </w:t>
      </w:r>
      <w:proofErr w:type="spellStart"/>
      <w:r w:rsidRPr="003F49E8">
        <w:t>colored</w:t>
      </w:r>
      <w:proofErr w:type="spellEnd"/>
      <w:r w:rsidRPr="003F49E8">
        <w:t xml:space="preserve"> by adjusted p-value and sized by gene count, with separate analyses for females and males throughout.</w:t>
      </w:r>
    </w:p>
    <w:p w14:paraId="62783BB7" w14:textId="3BF205F9" w:rsidR="003F49E8" w:rsidRPr="003F49E8" w:rsidRDefault="00085436" w:rsidP="00DA02A6">
      <w:pPr>
        <w:spacing w:line="360" w:lineRule="auto"/>
        <w:rPr>
          <w:b/>
          <w:bCs/>
          <w:color w:val="000000" w:themeColor="text1"/>
          <w:lang w:val="en-US"/>
        </w:rPr>
      </w:pPr>
      <w:r w:rsidRPr="003F49E8">
        <w:rPr>
          <w:b/>
          <w:bCs/>
          <w:color w:val="000000" w:themeColor="text1"/>
          <w:lang w:val="en-US"/>
        </w:rPr>
        <w:t xml:space="preserve">2.14 </w:t>
      </w:r>
      <w:r w:rsidR="003C5B89">
        <w:rPr>
          <w:b/>
          <w:bCs/>
          <w:color w:val="000000" w:themeColor="text1"/>
          <w:lang w:val="en-US"/>
        </w:rPr>
        <w:t>I</w:t>
      </w:r>
      <w:r w:rsidRPr="003F49E8">
        <w:rPr>
          <w:b/>
          <w:bCs/>
          <w:color w:val="000000" w:themeColor="text1"/>
          <w:lang w:val="en-US"/>
        </w:rPr>
        <w:t xml:space="preserve">mmune deconvolution           </w:t>
      </w:r>
    </w:p>
    <w:p w14:paraId="506C6156" w14:textId="42211220" w:rsidR="00085436" w:rsidRPr="003F49E8" w:rsidRDefault="00085436" w:rsidP="00DA02A6">
      <w:pPr>
        <w:spacing w:line="360" w:lineRule="auto"/>
        <w:rPr>
          <w:b/>
          <w:bCs/>
          <w:color w:val="000000" w:themeColor="text1"/>
          <w:lang w:val="en-US"/>
        </w:rPr>
      </w:pPr>
      <w:r w:rsidRPr="003F49E8">
        <w:t>To characterise the immune-cell composition underlying the transcriptomic signal, the combined whole-blood training cohort was deconvolved using CIBERSORT with the LM22 signature matrix, which resolves 22 human immune-cell subsets, as implemented in the IOBR package (</w:t>
      </w:r>
      <w:proofErr w:type="spellStart"/>
      <w:r w:rsidRPr="003F49E8">
        <w:t>deconvo_tme</w:t>
      </w:r>
      <w:proofErr w:type="spellEnd"/>
      <w:r w:rsidRPr="003F49E8">
        <w:t>, method = "</w:t>
      </w:r>
      <w:proofErr w:type="spellStart"/>
      <w:r w:rsidRPr="003F49E8">
        <w:t>cibersort</w:t>
      </w:r>
      <w:proofErr w:type="spellEnd"/>
      <w:r w:rsidRPr="003F49E8">
        <w:t>"). Since CIBERSORT requires a non-logarithmic mixture, the ComBat batch-corrected log₂ expression matrix was first converted back to the linear scale (2^expression) prior to deconvolution, and the analysis was conducted in microarray mode (arrays = TRUE), which applies the quantile-normali</w:t>
      </w:r>
      <w:r w:rsidR="003F49E8" w:rsidRPr="003F49E8">
        <w:t>s</w:t>
      </w:r>
      <w:r w:rsidRPr="003F49E8">
        <w:t>ed handling appropriate for array data. The goodness-of-fit for deconvolution was evaluated through 100 permutations (perm = 100), providing a per-sample empirical p-value along with the CIBERSORT correlation and root-mean-square-error diagnostics, and a fixed seed (set.seed(1234)) was established for reproducibility. The output consisted of a table of the 22 estimated cell-type fractions for each sample, which was integrated with the sample-level sex and disease-group annotations for subsequent analysis.</w:t>
      </w:r>
    </w:p>
    <w:p w14:paraId="68DF09D0" w14:textId="77777777" w:rsidR="00085436" w:rsidRPr="003F49E8" w:rsidRDefault="00085436" w:rsidP="00DA02A6">
      <w:pPr>
        <w:pStyle w:val="NormalWeb"/>
        <w:spacing w:line="360" w:lineRule="auto"/>
      </w:pPr>
      <w:r w:rsidRPr="003F49E8">
        <w:t>To examine the relationship between immune composition and the sex-specific nature of the disease signature, the estimated cell-type fractions were compared between female and male RA patients, focusing the analysis exclusively on RA cases. For each of the 22 cell types, the difference in fraction between female and male RA patients was assessed using a Wilcoxon rank-sum test, with significance indicated by the conventional star thresholds (p ≤ 0.05, ≤ 0.01, ≤ 0.001, ≤ 0.0001). The immune landscape was visualized as per-sample stacked bar charts of the 22 fractions divided by sex and as per-cell-type comparative boxplots of female versus male RA, allowing any sex differences in immune-cell composition among RA patients to be interpreted alongside the sex-specific biomarker panels.</w:t>
      </w:r>
    </w:p>
    <w:p w14:paraId="3472019E" w14:textId="17271CC3" w:rsidR="00085436" w:rsidRPr="003F49E8" w:rsidRDefault="00085436" w:rsidP="00DA02A6">
      <w:pPr>
        <w:spacing w:line="360" w:lineRule="auto"/>
        <w:rPr>
          <w:b/>
          <w:bCs/>
          <w:color w:val="000000" w:themeColor="text1"/>
          <w:lang w:val="en-US"/>
        </w:rPr>
      </w:pPr>
      <w:r w:rsidRPr="003F49E8">
        <w:rPr>
          <w:b/>
          <w:bCs/>
          <w:color w:val="000000" w:themeColor="text1"/>
          <w:lang w:val="en-US"/>
        </w:rPr>
        <w:t>2.11 Nomogram construction and clinical evaluation</w:t>
      </w:r>
    </w:p>
    <w:p w14:paraId="782D0936" w14:textId="75F12527" w:rsidR="00F37A86" w:rsidRPr="003F49E8" w:rsidRDefault="00F37A86" w:rsidP="00DA02A6">
      <w:pPr>
        <w:pStyle w:val="NormalWeb"/>
        <w:spacing w:line="360" w:lineRule="auto"/>
      </w:pPr>
      <w:r w:rsidRPr="003F49E8">
        <w:t xml:space="preserve">The sex-specific gene panels were translated into a clinical diagnostic model and evaluated for clinical utility separately for females and males using the training cohort. For each sex, a </w:t>
      </w:r>
      <w:r w:rsidRPr="003F49E8">
        <w:lastRenderedPageBreak/>
        <w:t>logistic regression model was fitted using the rms package (</w:t>
      </w:r>
      <w:proofErr w:type="spellStart"/>
      <w:r w:rsidRPr="003F49E8">
        <w:t>lrm</w:t>
      </w:r>
      <w:proofErr w:type="spellEnd"/>
      <w:r w:rsidRPr="003F49E8">
        <w:t>), regressing rheumatoid arthritis (RA) status on the expression of panel genes. An object was configured for the predictors as it is required by rms. For the male panel, a mild ridge penalty (penalty = 5) was applied to stabilise the fit due to the small male stratum leading to near-perfect separation, whereas the female model was fitted without penalty.</w:t>
      </w:r>
    </w:p>
    <w:p w14:paraId="72C75E3E" w14:textId="18F941E8" w:rsidR="00F37A86" w:rsidRPr="003F49E8" w:rsidRDefault="00F37A86" w:rsidP="00DA02A6">
      <w:pPr>
        <w:pStyle w:val="NormalWeb"/>
        <w:spacing w:line="360" w:lineRule="auto"/>
      </w:pPr>
      <w:r w:rsidRPr="003F49E8">
        <w:t>Nomogram. From the fitted logistic model, a nomogram was constructed that converts each panel gene's expression into a points contribution and maps the total points to a predicted probability of RA, with the risk axis labelled at 0.05, 0.1, 0.3, 0.5, 0.7, 0.9, and 0.99. This provides a graphical, per-patient risk calculator based on the panel.</w:t>
      </w:r>
    </w:p>
    <w:p w14:paraId="259B29C6" w14:textId="77777777" w:rsidR="0057129F" w:rsidRPr="003F49E8" w:rsidRDefault="00F37A86" w:rsidP="00DA02A6">
      <w:pPr>
        <w:pStyle w:val="NormalWeb"/>
        <w:spacing w:line="360" w:lineRule="auto"/>
      </w:pPr>
      <w:r w:rsidRPr="003F49E8">
        <w:t>Calibration. The agreement between predicted and observed RA probability was assessed using a calibration curve, reporting both the apparent calibration and a bootstrap bias-corrected calibration with 200 resamples, plotted as predicted versus actual probability.</w:t>
      </w:r>
    </w:p>
    <w:p w14:paraId="7BB8C719" w14:textId="5511C40E" w:rsidR="00F37A86" w:rsidRPr="003F49E8" w:rsidRDefault="00F37A86" w:rsidP="00DA02A6">
      <w:pPr>
        <w:pStyle w:val="NormalWeb"/>
        <w:spacing w:line="360" w:lineRule="auto"/>
      </w:pPr>
      <w:r w:rsidRPr="003F49E8">
        <w:t xml:space="preserve">Decision-curve analysis. The clinical net benefit of the panel was evaluated through decision-curve analysis following the Vickers formulation, where net benefit at a given threshold </w:t>
      </w:r>
    </w:p>
    <w:p w14:paraId="3C12EE79" w14:textId="77777777" w:rsidR="00F37A86" w:rsidRPr="003F49E8" w:rsidRDefault="00F37A86" w:rsidP="00DA02A6">
      <w:pPr>
        <w:pStyle w:val="NormalWeb"/>
        <w:spacing w:line="360" w:lineRule="auto"/>
      </w:pPr>
      <w:r w:rsidRPr="003F49E8">
        <w:t>NB = TP/n - FP/n * pt/(1-pt)</w:t>
      </w:r>
    </w:p>
    <w:p w14:paraId="2DCB53C1" w14:textId="60E42650" w:rsidR="00F37A86" w:rsidRPr="003F49E8" w:rsidRDefault="00F37A86" w:rsidP="00DA02A6">
      <w:pPr>
        <w:pStyle w:val="NormalWeb"/>
        <w:spacing w:line="360" w:lineRule="auto"/>
      </w:pPr>
      <w:r w:rsidRPr="003F49E8">
        <w:t>probability pₜ is calculated as (true positives / n) minus (false positives / n) times pt/(1 − pt). Net benefit was computed across threshold probabilities from 0.01 to 0.99 and compared against the reference strategies of treating all patients and treating none, with a secondary cost-to-benefit ratio axis (pt/(1 − pt)) added for interpretation.</w:t>
      </w:r>
    </w:p>
    <w:p w14:paraId="6C58EF6C" w14:textId="512F2AE7" w:rsidR="00F37A86" w:rsidRPr="003F49E8" w:rsidRDefault="00F37A86" w:rsidP="00DA02A6">
      <w:pPr>
        <w:pStyle w:val="NormalWeb"/>
        <w:spacing w:line="360" w:lineRule="auto"/>
      </w:pPr>
      <w:r w:rsidRPr="003F49E8">
        <w:t>Clinical-impact analysis. The practical implications of applying the model were summarised as a clinical-impact curve: across the same range of high-risk thresholds, the number of individuals per 1,000 classified as high risk and the number of those who genuinely have RA were plotted. Uncertainty was quantified by 500 bootstrap resamples, with the model refitted in each resample, from which 2.5th and 97.5th percentile bands provided 95% confidence intervals for both curves.</w:t>
      </w:r>
    </w:p>
    <w:p w14:paraId="657485DE" w14:textId="618DA7D5" w:rsidR="003F49E8" w:rsidRPr="005244A1" w:rsidRDefault="00F37A86" w:rsidP="00DA02A6">
      <w:pPr>
        <w:pStyle w:val="NormalWeb"/>
        <w:spacing w:line="360" w:lineRule="auto"/>
      </w:pPr>
      <w:r w:rsidRPr="003F49E8">
        <w:t>The four components, namely the nomogram, calibration curve, decision curve, and clinical-impact curve, were assembled into a single composite figure per sex. Throughout, females and males were modelled and evaluated entirely separately.</w:t>
      </w:r>
    </w:p>
    <w:p w14:paraId="013964BD" w14:textId="77777777" w:rsidR="003F49E8" w:rsidRPr="003F49E8" w:rsidRDefault="003F49E8" w:rsidP="00DA02A6">
      <w:pPr>
        <w:spacing w:line="360" w:lineRule="auto"/>
        <w:rPr>
          <w:b/>
          <w:bCs/>
          <w:color w:val="000000" w:themeColor="text1"/>
          <w:lang w:val="en-US"/>
        </w:rPr>
      </w:pPr>
    </w:p>
    <w:p w14:paraId="364F2DAA" w14:textId="5B373E2A" w:rsidR="008F6FCA" w:rsidRDefault="008F6FCA" w:rsidP="00DA02A6">
      <w:pPr>
        <w:spacing w:line="360" w:lineRule="auto"/>
        <w:rPr>
          <w:b/>
          <w:bCs/>
          <w:color w:val="C00000"/>
          <w:lang w:val="en-US"/>
        </w:rPr>
      </w:pPr>
      <w:r>
        <w:rPr>
          <w:b/>
          <w:bCs/>
          <w:color w:val="C00000"/>
          <w:lang w:val="en-US"/>
        </w:rPr>
        <w:t>Results</w:t>
      </w:r>
    </w:p>
    <w:p w14:paraId="75CA8029" w14:textId="0F602E7C" w:rsidR="008F6FCA" w:rsidRPr="008F6FCA" w:rsidRDefault="008F6FCA" w:rsidP="00DA02A6">
      <w:pPr>
        <w:spacing w:line="360" w:lineRule="auto"/>
        <w:rPr>
          <w:b/>
          <w:bCs/>
          <w:color w:val="C00000"/>
          <w:lang w:val="en-US"/>
        </w:rPr>
      </w:pPr>
      <w:r w:rsidRPr="003F49E8">
        <w:rPr>
          <w:b/>
          <w:bCs/>
          <w:color w:val="C00000"/>
        </w:rPr>
        <w:t>Sex-Stratified Transcriptomic Signatures for RA</w:t>
      </w:r>
    </w:p>
    <w:p w14:paraId="0C99A856" w14:textId="3AA5CAF7" w:rsidR="005244A1" w:rsidRDefault="005149C3" w:rsidP="00DA02A6">
      <w:pPr>
        <w:spacing w:line="360" w:lineRule="auto"/>
        <w:rPr>
          <w:b/>
          <w:bCs/>
          <w:color w:val="7030A0"/>
        </w:rPr>
      </w:pPr>
      <w:r w:rsidRPr="005244A1">
        <w:rPr>
          <w:b/>
          <w:bCs/>
          <w:color w:val="7030A0"/>
          <w:highlight w:val="yellow"/>
        </w:rPr>
        <w:t>Whole-Blood Cohort Description</w:t>
      </w:r>
    </w:p>
    <w:p w14:paraId="481CC2BE" w14:textId="14058D00" w:rsidR="009B730B" w:rsidRDefault="009B730B" w:rsidP="00DA02A6">
      <w:pPr>
        <w:pStyle w:val="NormalWeb"/>
        <w:spacing w:line="360" w:lineRule="auto"/>
      </w:pPr>
      <w:r>
        <w:t>The dataset GSE93272 contributed 20,848 genes, while GSE110169 contributed 19,041 genes. The intersection of the feature spaces of these two platforms, which is utilised throughout the study, comprised 15,763 genes. A stratified 70:30 partition allocated 183 samples to the training set, consisting of 103 rheumatoid arthritis (RA) and 80 healthy control (HC) samples. Among these, 145 were female (86 RA, 59 HC) and 38 were male (17 RA, 21 HC). The internal hold-out set, sealed for validation, included 74 samples: 36 female RA, 25 female HC, 6 male RA, and 7 male HC. The male stratum, representing approximately one-fifth of the training cohort, serves as a fixed constraint on all subsequent results. This distribution mirrors the sex composition of the two source series, which were recruited from predominantly female RA populations, rather than being a consequence of the sampling procedure.</w:t>
      </w:r>
    </w:p>
    <w:p w14:paraId="7B8A53AD" w14:textId="77777777" w:rsidR="009B730B" w:rsidRPr="005244A1" w:rsidRDefault="009B730B" w:rsidP="00DA02A6">
      <w:pPr>
        <w:spacing w:line="360" w:lineRule="auto"/>
        <w:rPr>
          <w:b/>
          <w:bCs/>
          <w:color w:val="7030A0"/>
        </w:rPr>
      </w:pPr>
    </w:p>
    <w:p w14:paraId="6AA50AE7" w14:textId="116D24F0" w:rsidR="005149C3" w:rsidRDefault="005149C3" w:rsidP="00DA02A6">
      <w:pPr>
        <w:spacing w:line="360" w:lineRule="auto"/>
        <w:rPr>
          <w:b/>
          <w:bCs/>
          <w:color w:val="000000" w:themeColor="text1"/>
        </w:rPr>
      </w:pPr>
      <w:r w:rsidRPr="005244A1">
        <w:rPr>
          <w:b/>
          <w:bCs/>
          <w:color w:val="000000" w:themeColor="text1"/>
          <w:highlight w:val="yellow"/>
        </w:rPr>
        <w:t xml:space="preserve">Whole-Blood Differential </w:t>
      </w:r>
      <w:r w:rsidR="005244A1" w:rsidRPr="005244A1">
        <w:rPr>
          <w:b/>
          <w:bCs/>
          <w:color w:val="000000" w:themeColor="text1"/>
          <w:highlight w:val="yellow"/>
        </w:rPr>
        <w:t xml:space="preserve">Gene </w:t>
      </w:r>
      <w:r w:rsidRPr="005244A1">
        <w:rPr>
          <w:b/>
          <w:bCs/>
          <w:color w:val="000000" w:themeColor="text1"/>
          <w:highlight w:val="yellow"/>
        </w:rPr>
        <w:t>Expression</w:t>
      </w:r>
    </w:p>
    <w:p w14:paraId="72E12CC4" w14:textId="77777777" w:rsidR="009B730B" w:rsidRDefault="009B730B" w:rsidP="00DA02A6">
      <w:pPr>
        <w:pStyle w:val="NormalWeb"/>
        <w:spacing w:line="360" w:lineRule="auto"/>
      </w:pPr>
      <w:r>
        <w:t>All three contrasts (pooled, female-only, male-only) were applied to the 183 training samples with a threshold of |</w:t>
      </w:r>
      <w:proofErr w:type="spellStart"/>
      <w:r>
        <w:t>log₂FC</w:t>
      </w:r>
      <w:proofErr w:type="spellEnd"/>
      <w:r>
        <w:t>| &gt; 0.1 and FDR &lt; 0.05. The pooled contrast identified 6,422 significant genes, with 2,760 upregulated in RA and 3,662 downregulated, representing 40.7% of the tested transcriptome.</w:t>
      </w:r>
    </w:p>
    <w:p w14:paraId="437F44B4" w14:textId="77777777" w:rsidR="009B730B" w:rsidRDefault="009B730B" w:rsidP="00DA02A6">
      <w:pPr>
        <w:pStyle w:val="NormalWeb"/>
        <w:spacing w:line="360" w:lineRule="auto"/>
      </w:pPr>
      <w:r>
        <w:t>In the female RA versus female control analysis, 5,131 differentially expressed genes (DEGs) were identified, with 2,238 upregulated in RA and 2,893 downregulated, accounting for 32.6% of the tested transcriptome. The most significant genes included HMGB2 (</w:t>
      </w:r>
      <w:proofErr w:type="spellStart"/>
      <w:r>
        <w:t>log₂FC</w:t>
      </w:r>
      <w:proofErr w:type="spellEnd"/>
      <w:r>
        <w:t xml:space="preserve"> +0.67, FDR 2.7 × 10⁻¹²), MAGED1 (−0.39), KDM1A (−0.29), C1GALT1C1 (+0.65), and S100A8 (+0.50, FDR 5.1 × 10⁻¹¹). The genes with the largest effects were ARG1 (+1.36), CLEC4D (+1.17), BCL2A1 (+1.16), COX7B (+1.02), and DEFA4 (+1.00), with a median |</w:t>
      </w:r>
      <w:proofErr w:type="spellStart"/>
      <w:r>
        <w:t>log₂FC</w:t>
      </w:r>
      <w:proofErr w:type="spellEnd"/>
      <w:r>
        <w:t>| of 0.192 among significant genes and a minimum attainable FDR of 2.7 × 10⁻¹².</w:t>
      </w:r>
    </w:p>
    <w:p w14:paraId="047B7DA5" w14:textId="77777777" w:rsidR="009B730B" w:rsidRDefault="009B730B" w:rsidP="00DA02A6">
      <w:pPr>
        <w:pStyle w:val="NormalWeb"/>
        <w:spacing w:line="360" w:lineRule="auto"/>
      </w:pPr>
      <w:r>
        <w:t xml:space="preserve">In the male RA versus male control analysis, 5,820 DEGs were identified, with 2,510 upregulated and 3,310 downregulated, representing 36.9% of the transcriptome. The most </w:t>
      </w:r>
      <w:r>
        <w:lastRenderedPageBreak/>
        <w:t>significant genes were STARD3NL (+0.70), TBC1D15 (+1.01), MIER1 (+0.65), TTC33 (+1.30), and TRIM23 (+1.21), with FDR values around 3.3–3.4 × 10⁻⁸. The genes with the largest effects were BCL2A1 (+1.84), COX7B (+1.70), RPL22L1 (+1.62), COMMD6 (+1.60), and SCOC (+1.58), with a median |</w:t>
      </w:r>
      <w:proofErr w:type="spellStart"/>
      <w:r>
        <w:t>log₂FC</w:t>
      </w:r>
      <w:proofErr w:type="spellEnd"/>
      <w:r>
        <w:t>| of 0.337. The larger number of male DEGs reflects estimator variance rather than a stronger male signal: the median male effect size is 1.8 times that of the female, and the minimum attainable male FDR (3.3 × 10⁻⁸) is four orders of magnitude weaker than the female minimum, indicating noisier per-gene estimates at n = 38 checked against a fixed effect-size gate rather than a larger true effect.</w:t>
      </w:r>
    </w:p>
    <w:p w14:paraId="108FC4AA" w14:textId="77777777" w:rsidR="009B730B" w:rsidRDefault="009B730B" w:rsidP="00DA02A6">
      <w:pPr>
        <w:pStyle w:val="NormalWeb"/>
        <w:spacing w:line="360" w:lineRule="auto"/>
      </w:pPr>
      <w:r>
        <w:t>In the comparison of significant genes between sexes, 3,857 genes were significant in both, with 1,274 unique to women and 1,963 unique to men, resulting in a total of 7,094. Among the shared genes, 3,854 out of 3,857 (99.9%) exhibited concordant directional changes in both sexes.</w:t>
      </w:r>
    </w:p>
    <w:p w14:paraId="77C4B2E9" w14:textId="085C1900" w:rsidR="005149C3" w:rsidRDefault="005149C3" w:rsidP="00DA02A6">
      <w:pPr>
        <w:spacing w:line="360" w:lineRule="auto"/>
        <w:rPr>
          <w:b/>
          <w:bCs/>
          <w:color w:val="000000" w:themeColor="text1"/>
        </w:rPr>
      </w:pPr>
      <w:r w:rsidRPr="005244A1">
        <w:rPr>
          <w:b/>
          <w:bCs/>
          <w:color w:val="7030A0"/>
          <w:highlight w:val="yellow"/>
          <w:lang w:val="en-US"/>
        </w:rPr>
        <w:t>Co-expression network construction</w:t>
      </w:r>
      <w:r w:rsidRPr="005244A1">
        <w:rPr>
          <w:b/>
          <w:bCs/>
          <w:color w:val="7030A0"/>
          <w:lang w:val="en-US"/>
        </w:rPr>
        <w:t xml:space="preserve"> </w:t>
      </w:r>
    </w:p>
    <w:p w14:paraId="0997E088" w14:textId="77777777" w:rsidR="009B730B" w:rsidRDefault="009B730B" w:rsidP="00DA02A6">
      <w:pPr>
        <w:pStyle w:val="NormalWeb"/>
        <w:spacing w:line="360" w:lineRule="auto"/>
      </w:pPr>
      <w:r>
        <w:t xml:space="preserve">Average-linkage clustering at a data-driven cut height of 69.32 (mean plus three standard deviations of merge heights) identified 10 outlying arrays, which were subsequently removed, resulting in a network matrix comprising 173 samples and 15,763 genes. The function </w:t>
      </w:r>
      <w:proofErr w:type="spellStart"/>
      <w:r>
        <w:t>pickSoftThreshold</w:t>
      </w:r>
      <w:proofErr w:type="spellEnd"/>
      <w:r>
        <w:t xml:space="preserve"> estimated β = 3 (signed R² = 0.873), which was rejected due to connectivity concerns, as the mean connectivity of 2,240.3 was excessively dense for meaningful module resolution. The signed-R² curve plateaued from approximately β = 9 onward, while mean connectivity continued to decrease (R² = 0.897, mean k = 125.0 at β = 9; R² = 0.908, mean k = 28.2 at β = 14; R² = 0.914, mean k = 8.5 at β = 20). Consequently, β = 12 was selected (R² = 0.901, mean connectivity 47.4).</w:t>
      </w:r>
    </w:p>
    <w:p w14:paraId="228D7928" w14:textId="1E008385" w:rsidR="009B730B" w:rsidRDefault="009B730B" w:rsidP="00DA02A6">
      <w:pPr>
        <w:pStyle w:val="NormalWeb"/>
        <w:spacing w:line="360" w:lineRule="auto"/>
      </w:pPr>
      <w:proofErr w:type="spellStart"/>
      <w:r>
        <w:t>Blockwise</w:t>
      </w:r>
      <w:proofErr w:type="spellEnd"/>
      <w:r>
        <w:t xml:space="preserve"> construction at β = 12 identified 12 modules, with 6,019 genes remaining unassigned (grey); the largest modules were turquoise (2,584 genes), blue (2,554), brown (1,878), and yellow (708). Correlating each module eigengene with rheumatoid arthritis (RA) status across all 173 samples, two modules satisfied the pre-specified selection criterion (|</w:t>
      </w:r>
      <w:proofErr w:type="spellStart"/>
      <w:r>
        <w:t>cor</w:t>
      </w:r>
      <w:proofErr w:type="spellEnd"/>
      <w:r>
        <w:t xml:space="preserve">| ≥ 0.5, p &lt; 1 × 10⁻⁸): the yellow module (708 genes, r = +0.556, p = 1.91 × 10⁻¹⁵, upregulated in RA) and the brown module (1,878 genes, r = −0.590, p = 1.29 × 10⁻¹⁷, downregulated in RA), resulting in a pooled disease-module background of 2,586 genes. Neither disease module is associated with sex, as their correlation with the male indicator is −0.176 (yellow) and +0.190 (brown), significantly weaker than their disease correlations. When recomputed </w:t>
      </w:r>
      <w:r>
        <w:lastRenderedPageBreak/>
        <w:t>within each sex, both modules retained their sign and significance, yellow is +0.485 (p = 1.7 × 10⁻⁹) in women and +0.772 (p = 5.5 × 10⁻⁸) in men; brown is −0.515 (p = 1.0 × 10⁻¹⁰) in women and −0.813 (p = 2.9 × 10⁻⁹) in men although the female and male coefficients are not directly compared, as discussed in §2.4.</w:t>
      </w:r>
    </w:p>
    <w:p w14:paraId="286DAC67" w14:textId="77777777" w:rsidR="009B730B" w:rsidRDefault="009B730B" w:rsidP="00DA02A6">
      <w:pPr>
        <w:pStyle w:val="NormalWeb"/>
        <w:spacing w:line="360" w:lineRule="auto"/>
      </w:pPr>
      <w:r>
        <w:t>Applying the hub definition (|</w:t>
      </w:r>
      <w:proofErr w:type="spellStart"/>
      <w:r>
        <w:t>kME</w:t>
      </w:r>
      <w:proofErr w:type="spellEnd"/>
      <w:r>
        <w:t>| &gt; 0.8 and |GS| &gt; 0.2) identified 217 hub genes in the yellow module and 144 in the brown module. The highest-connectivity yellow hubs are ZNF267, ZFYVE16, SP3, FAR1, and SNX13 (</w:t>
      </w:r>
      <w:proofErr w:type="spellStart"/>
      <w:r>
        <w:t>kME</w:t>
      </w:r>
      <w:proofErr w:type="spellEnd"/>
      <w:r>
        <w:t xml:space="preserve"> 0.94–0.95, connectivity 111–118); the highest-connectivity brown hubs are KHSRP, GPI, SF3B3, CLSTN1, and XRCC6 (</w:t>
      </w:r>
      <w:proofErr w:type="spellStart"/>
      <w:r>
        <w:t>kME</w:t>
      </w:r>
      <w:proofErr w:type="spellEnd"/>
      <w:r>
        <w:t xml:space="preserve"> 0.88–0.91, connectivity 118–130).</w:t>
      </w:r>
    </w:p>
    <w:p w14:paraId="127BC017" w14:textId="5C6A091A" w:rsidR="009B730B" w:rsidRDefault="009B730B" w:rsidP="00DA02A6">
      <w:pPr>
        <w:pStyle w:val="NormalWeb"/>
        <w:spacing w:line="360" w:lineRule="auto"/>
      </w:pPr>
      <w:r>
        <w:t xml:space="preserve">Preservation of the combined-network modules from a female reference to a male test set (200 permutations) indicates that the random-gene benchmark module (gold) is already highly preserved at </w:t>
      </w:r>
      <w:proofErr w:type="spellStart"/>
      <w:r>
        <w:t>Zsummary</w:t>
      </w:r>
      <w:proofErr w:type="spellEnd"/>
      <w:r>
        <w:t xml:space="preserve"> = 34.19. Against that reference, the yellow disease module is clearly preserved (</w:t>
      </w:r>
      <w:proofErr w:type="spellStart"/>
      <w:r>
        <w:t>Zsummary</w:t>
      </w:r>
      <w:proofErr w:type="spellEnd"/>
      <w:r>
        <w:t xml:space="preserve"> 48.14, +13.95 over gold), whereas the brown disease module only marginally exceeds the random benchmark (</w:t>
      </w:r>
      <w:proofErr w:type="spellStart"/>
      <w:r>
        <w:t>Zsummary</w:t>
      </w:r>
      <w:proofErr w:type="spellEnd"/>
      <w:r>
        <w:t xml:space="preserve"> 36.95, +2.76 over gold), which is the conventional rule of thumb that </w:t>
      </w:r>
      <w:proofErr w:type="spellStart"/>
      <w:r>
        <w:t>Zsummary</w:t>
      </w:r>
      <w:proofErr w:type="spellEnd"/>
      <w:r>
        <w:t xml:space="preserve"> &gt; 10 indicates strong preservation; overstates the evidence for the brown module when compared against the correct random-gene reference rather than a fixed cut-off.</w:t>
      </w:r>
    </w:p>
    <w:p w14:paraId="4531C2E2" w14:textId="77777777" w:rsidR="009B730B" w:rsidRPr="003F49E8" w:rsidRDefault="009B730B" w:rsidP="00DA02A6">
      <w:pPr>
        <w:spacing w:line="360" w:lineRule="auto"/>
        <w:rPr>
          <w:b/>
          <w:bCs/>
          <w:color w:val="000000" w:themeColor="text1"/>
        </w:rPr>
      </w:pPr>
    </w:p>
    <w:p w14:paraId="62FCF8A9" w14:textId="5037DAC2" w:rsidR="005149C3" w:rsidRDefault="005149C3" w:rsidP="00DA02A6">
      <w:pPr>
        <w:spacing w:line="360" w:lineRule="auto"/>
        <w:rPr>
          <w:b/>
          <w:bCs/>
          <w:color w:val="000000" w:themeColor="text1"/>
          <w:lang w:val="en-US"/>
        </w:rPr>
      </w:pPr>
      <w:r w:rsidRPr="005244A1">
        <w:rPr>
          <w:b/>
          <w:bCs/>
          <w:color w:val="000000" w:themeColor="text1"/>
          <w:highlight w:val="yellow"/>
          <w:lang w:val="en-US"/>
        </w:rPr>
        <w:t>Candidate gene identification</w:t>
      </w:r>
      <w:r w:rsidRPr="003F49E8">
        <w:rPr>
          <w:b/>
          <w:bCs/>
          <w:color w:val="000000" w:themeColor="text1"/>
          <w:lang w:val="en-US"/>
        </w:rPr>
        <w:t xml:space="preserve"> </w:t>
      </w:r>
    </w:p>
    <w:p w14:paraId="0D967D84" w14:textId="77777777" w:rsidR="009B730B" w:rsidRDefault="009B730B" w:rsidP="00DA02A6">
      <w:pPr>
        <w:pStyle w:val="NormalWeb"/>
        <w:spacing w:line="360" w:lineRule="auto"/>
      </w:pPr>
      <w:r>
        <w:t>Intersecting the 2,586-gene disease-module background with the significant differentially expressed gene (DEG) lists for each sex resulted in 2,045 female candidates (595 from the yellow module and 1,450 from the brown module) and 2,079 male candidates (585 from the yellow module and 1,494 from the brown module). As no variance filter was applied prior to network construction, no DEGs were excluded due to filtering in either sex. Furthermore, the direction of differential expression for each candidate aligns with the module's association direction with rheumatoid arthritis (RA) in both sexes. Among the sex-specific candidate lists, 1,773 candidates are common to both, while 272 are exclusive to the female list and 306 are exclusive to the male list. This results in a total of 2,351 genes being advanced to the Mendelian randomisation screen.</w:t>
      </w:r>
    </w:p>
    <w:p w14:paraId="7CCCB59A" w14:textId="77777777" w:rsidR="009B730B" w:rsidRPr="003F49E8" w:rsidRDefault="009B730B" w:rsidP="00DA02A6">
      <w:pPr>
        <w:spacing w:line="360" w:lineRule="auto"/>
        <w:rPr>
          <w:b/>
          <w:bCs/>
          <w:color w:val="000000" w:themeColor="text1"/>
          <w:lang w:val="en-US"/>
        </w:rPr>
      </w:pPr>
    </w:p>
    <w:p w14:paraId="14EF8DBF" w14:textId="09D02271" w:rsidR="005149C3" w:rsidRDefault="005149C3" w:rsidP="00DA02A6">
      <w:pPr>
        <w:spacing w:line="360" w:lineRule="auto"/>
        <w:rPr>
          <w:b/>
          <w:bCs/>
          <w:color w:val="000000" w:themeColor="text1"/>
          <w:lang w:val="en-US"/>
        </w:rPr>
      </w:pPr>
      <w:r w:rsidRPr="005244A1">
        <w:rPr>
          <w:b/>
          <w:bCs/>
          <w:color w:val="000000" w:themeColor="text1"/>
          <w:highlight w:val="yellow"/>
          <w:lang w:val="en-US"/>
        </w:rPr>
        <w:lastRenderedPageBreak/>
        <w:t xml:space="preserve">Instrument selection and Mendelian </w:t>
      </w:r>
      <w:r w:rsidR="00AF33EF" w:rsidRPr="005244A1">
        <w:rPr>
          <w:b/>
          <w:bCs/>
          <w:color w:val="000000" w:themeColor="text1"/>
          <w:highlight w:val="yellow"/>
          <w:lang w:val="en-US"/>
        </w:rPr>
        <w:t>Randomisation</w:t>
      </w:r>
      <w:r w:rsidRPr="003F49E8">
        <w:rPr>
          <w:b/>
          <w:bCs/>
          <w:color w:val="000000" w:themeColor="text1"/>
          <w:lang w:val="en-US"/>
        </w:rPr>
        <w:t xml:space="preserve"> </w:t>
      </w:r>
    </w:p>
    <w:p w14:paraId="56F72DAA" w14:textId="18A71EB0" w:rsidR="00F31528" w:rsidRDefault="00F31528" w:rsidP="00DA02A6">
      <w:pPr>
        <w:pStyle w:val="NormalWeb"/>
        <w:spacing w:line="360" w:lineRule="auto"/>
      </w:pPr>
      <w:r>
        <w:t xml:space="preserve">An MR estimate was obtained for 1,477 of the 2,351 union candidates in the female stratum and 1,478 in the male stratum. The within-stratum Benjamini–Hochberg correction identified genes provisionally described as MR-prioritised: 32 in the female stratum and 25 in the male stratum, with 22 out of 32 (female) and 19 out of 25 (male) relying on a single instrument SNP. The strongest associations by p-value were observed for HLA-DRB1 (OR 0.337, FDR 1.5 × 10⁻²⁴⁷, 1 SNP, Wald ratio), WDR46 (OR 4.531, FDR 3.8 × 10⁻³⁹, 1 SNP), AIF1 (OR 0.556, FDR 1.2 × 10⁻²¹, 2 SNP, IVW), VPS52 (OR 0.414, FDR 1.5 × 10⁻²¹, 1 SNP), and GNL1 (OR 4.629, FDR 2.7 × 10⁻¹⁵, 1 SNP) in women. The same leading MHC signal was reproduced in men, alongside AP4B1 (OR 1.424, FDR 3.2 × 10⁻¹⁰, 1 SNP). A comparison of the two stratum-level MR-prioritised lists reveals that 24 genes are shared, 8 are exclusive to females (FCGR2B, GNL1, HLA-DPA1, IKZF4, LAX1, LSM2, RETSAT, ZBTB9), and 1 is exclusive to males (TAB1). Since both the </w:t>
      </w:r>
      <w:proofErr w:type="spellStart"/>
      <w:r>
        <w:t>eQTLGen</w:t>
      </w:r>
      <w:proofErr w:type="spellEnd"/>
      <w:r>
        <w:t xml:space="preserve"> exposure and the Okada outcome are sex-combined resources, the MR estimate for a given gene remains numerically identical regardless of the stratum's table from which it is read; sex-specificity at this stage arises solely from the genes each stratum's candidate list submitted to the screen.</w:t>
      </w:r>
    </w:p>
    <w:p w14:paraId="1F07FB7F" w14:textId="77777777" w:rsidR="00F31528" w:rsidRPr="003F49E8" w:rsidRDefault="00F31528" w:rsidP="00DA02A6">
      <w:pPr>
        <w:spacing w:line="360" w:lineRule="auto"/>
        <w:rPr>
          <w:b/>
          <w:bCs/>
          <w:color w:val="000000" w:themeColor="text1"/>
          <w:lang w:val="en-US"/>
        </w:rPr>
      </w:pPr>
    </w:p>
    <w:p w14:paraId="0BC5248D" w14:textId="10C5F3FD" w:rsidR="005149C3" w:rsidRDefault="005149C3" w:rsidP="00DA02A6">
      <w:pPr>
        <w:spacing w:line="360" w:lineRule="auto"/>
        <w:rPr>
          <w:b/>
          <w:bCs/>
          <w:color w:val="000000" w:themeColor="text1"/>
        </w:rPr>
      </w:pPr>
      <w:r w:rsidRPr="005244A1">
        <w:rPr>
          <w:b/>
          <w:bCs/>
          <w:color w:val="7030A0"/>
          <w:highlight w:val="yellow"/>
        </w:rPr>
        <w:t>Sensitivity Analyses and Pleiotropy Assessment</w:t>
      </w:r>
      <w:r w:rsidRPr="005244A1">
        <w:rPr>
          <w:b/>
          <w:bCs/>
          <w:color w:val="7030A0"/>
        </w:rPr>
        <w:t xml:space="preserve"> </w:t>
      </w:r>
    </w:p>
    <w:p w14:paraId="3B2D3F0E" w14:textId="77777777" w:rsidR="00BB3549" w:rsidRDefault="00BB3549" w:rsidP="00DA02A6">
      <w:pPr>
        <w:pStyle w:val="NormalWeb"/>
        <w:spacing w:line="360" w:lineRule="auto"/>
      </w:pPr>
      <w:r>
        <w:t>Repeating the MR screen with all instruments within the extended MHC removed resulted in the reclassification of the female MR-prioritised set as follows: 14 genes remained robust to MHC exclusion, 14 were untestable without an MHC instrument, none were MHC-dependent, and 4 survived solely through FDR re-ranking. The male results were nearly identical, with 14 robust, 10 untestable, none MHC-dependent, and 1 surviving only through FDR re-ranking. When restricted to the six primary panel genes reported in §3.8 for each sex, the pattern persisted: 3 of 6 genes were robust, 2 of 6 were untestable, and 1 of 6 survived only through FDR re-ranking. Notably, three of the six genes in each panel are located within the MHC and cannot be validated by cis-MR.</w:t>
      </w:r>
    </w:p>
    <w:p w14:paraId="51D8C9DC" w14:textId="77777777" w:rsidR="00BB3549" w:rsidRDefault="00BB3549" w:rsidP="00DA02A6">
      <w:pPr>
        <w:pStyle w:val="NormalWeb"/>
        <w:spacing w:line="360" w:lineRule="auto"/>
      </w:pPr>
      <w:r>
        <w:t>Bayesian colocalisation (</w:t>
      </w:r>
      <w:proofErr w:type="spellStart"/>
      <w:r>
        <w:t>coloc.abf</w:t>
      </w:r>
      <w:proofErr w:type="spellEnd"/>
      <w:r>
        <w:t xml:space="preserve">) was conducted for each testable MR-prioritised gene. Among the complete set of 33 causal-screen genes, none robustly colocalised, 2 were prior-fragile, 4 were suggestive, 9 had distinct causal variants (all non-MHC and thus interpretable), 13 were within the MHC where the method's single-causal-variant assumption </w:t>
      </w:r>
      <w:r>
        <w:lastRenderedPageBreak/>
        <w:t>is violated, and 5 were inconclusive. At the level of individual panel genes, IKZF3 achieved a PP.H4 of 0.774 at the default prior but decreased to 0.255 at the conservative prior, remaining below the 0.8 threshold under either prior. INPP5B (PP.H3 0.929) and ESYT1 (PP.H3 0.912) exhibited distinct causal variants, indicating that their cis-MR estimates are LD-confounded rather than causal. The four MHC panel genes — GNL1, C6orf136, VPS52, HLA-DMA — each returned PP.H3 ≈ 1.000 under an assumption known to be violated in that region, and are thus reported as MHC-unreliable rather than as evidence of distinct variants. No panel gene colocalised with the RA association under either prior.</w:t>
      </w:r>
    </w:p>
    <w:p w14:paraId="04C4EB98" w14:textId="77777777" w:rsidR="00BB3549" w:rsidRDefault="00BB3549" w:rsidP="00DA02A6">
      <w:pPr>
        <w:pStyle w:val="NormalWeb"/>
        <w:spacing w:line="360" w:lineRule="auto"/>
      </w:pPr>
      <w:r>
        <w:t xml:space="preserve">The </w:t>
      </w:r>
      <w:proofErr w:type="spellStart"/>
      <w:r>
        <w:t>coloc.susie</w:t>
      </w:r>
      <w:proofErr w:type="spellEnd"/>
      <w:r>
        <w:t xml:space="preserve"> method, which accommodates multiple causal variants and is therefore suitable for use within the MHC, was applied to all 14 MHC genes and resolved 3. WDR46 (1 eQTL credible set, 9 RA credible sets) achieved a best PP.H4 of 0.918 and is the only MHC gene with positive colocalisation support under the multi-variant model. GNL1 (1 eQTL set, 10 RA sets) returned a best PP.H4 of 0.000, demonstrating that it is driven by distinct variants rather than being unresolved. HLA-DMA remained inconclusive (PP.H4 = 0.323). Across the MHC regions tested, </w:t>
      </w:r>
      <w:proofErr w:type="spellStart"/>
      <w:r>
        <w:t>SuSiE</w:t>
      </w:r>
      <w:proofErr w:type="spellEnd"/>
      <w:r>
        <w:t xml:space="preserve"> consistently identified 9–10 independent RA credible sets, directly confirming that </w:t>
      </w:r>
      <w:proofErr w:type="spellStart"/>
      <w:r>
        <w:t>coloc.abf's</w:t>
      </w:r>
      <w:proofErr w:type="spellEnd"/>
      <w:r>
        <w:t xml:space="preserve"> single-causal-variant assumption was significantly violated in these regions. In accordance with the criteria outlined in §2.7, no gene in either final panel satisfies both conditions required for a causal claim, and every instance of "causal" in earlier drafts of this chapter has been replaced with "MR-prioritised".</w:t>
      </w:r>
    </w:p>
    <w:p w14:paraId="6065644D" w14:textId="77777777" w:rsidR="00BB3549" w:rsidRPr="003F49E8" w:rsidRDefault="00BB3549" w:rsidP="00DA02A6">
      <w:pPr>
        <w:spacing w:line="360" w:lineRule="auto"/>
        <w:rPr>
          <w:b/>
          <w:bCs/>
          <w:color w:val="000000" w:themeColor="text1"/>
        </w:rPr>
      </w:pPr>
    </w:p>
    <w:p w14:paraId="3DE840DC" w14:textId="72504D4C" w:rsidR="00F30D92" w:rsidRDefault="00BB3549" w:rsidP="00DA02A6">
      <w:pPr>
        <w:spacing w:line="360" w:lineRule="auto"/>
        <w:rPr>
          <w:b/>
          <w:bCs/>
          <w:color w:val="000000" w:themeColor="text1"/>
        </w:rPr>
      </w:pPr>
      <w:r>
        <w:rPr>
          <w:b/>
          <w:bCs/>
          <w:color w:val="000000" w:themeColor="text1"/>
        </w:rPr>
        <w:t>Feature</w:t>
      </w:r>
      <w:r w:rsidR="00F30D92" w:rsidRPr="003F49E8">
        <w:rPr>
          <w:b/>
          <w:bCs/>
          <w:color w:val="000000" w:themeColor="text1"/>
        </w:rPr>
        <w:t xml:space="preserve"> selection</w:t>
      </w:r>
    </w:p>
    <w:p w14:paraId="292C759C" w14:textId="77777777" w:rsidR="00BB3549" w:rsidRDefault="00BB3549" w:rsidP="00DA02A6">
      <w:pPr>
        <w:pStyle w:val="NormalWeb"/>
        <w:spacing w:line="360" w:lineRule="auto"/>
      </w:pPr>
      <w:r>
        <w:t xml:space="preserve">In the female cohort, the three selection methods identified 7 (LASSO), 10 (RF), and 8 (SVM-RFE) genes from the 32 MR-prioritized inputs, with a consensus of 6 genes: C6orf136, ESYT1, GNL1, IKZF3, MED1, and SMARCC2. In the male cohort, the selectors identified 10 (LASSO), 10 (RF), and 11 (SVM-RFE) genes from 25 inputs, with a consensus of 6 genes: ESYT1, HLA-DMA, INPP5B, MED1, SMARCC2, and VPS52. Applying the same methodology to the MHC-free MR-prioritized inputs resulted in a 4-gene MHC-free female panel (CDC37, IKZF3, MED1, SMARCC2) and a 5-gene MHC-free male panel (MED1, NCOA5, PHF19, SMARCC2, TAB1). Direct comparison of panel membership reveals that in the female cohort, C6orf136, ESYT1, and GNL1 are excluded, while CDC37 is newly included, with IKZF3, MED1, and SMARCC2 retained. In the male cohort, ESYT1, HLA-DMA, INPP5B, and VPS52 are excluded, while NCOA5, PHF19, and TAB1 are newly </w:t>
      </w:r>
      <w:r>
        <w:lastRenderedPageBreak/>
        <w:t>included, with MED1 and SMARCC2 retained. Consequently, MED1 and SMARCC2 are the only genes consistently retained across both sexes and procedures, indicating their robustness in selection across panels.</w:t>
      </w:r>
    </w:p>
    <w:p w14:paraId="3DD9FD7F" w14:textId="6B49CC89" w:rsidR="00AF33EF" w:rsidRDefault="00BB3549" w:rsidP="00DA02A6">
      <w:pPr>
        <w:spacing w:line="360" w:lineRule="auto"/>
        <w:rPr>
          <w:b/>
          <w:bCs/>
          <w:color w:val="000000" w:themeColor="text1"/>
        </w:rPr>
      </w:pPr>
      <w:r>
        <w:rPr>
          <w:b/>
          <w:bCs/>
          <w:color w:val="000000" w:themeColor="text1"/>
          <w:highlight w:val="yellow"/>
        </w:rPr>
        <w:t>Diagnostic</w:t>
      </w:r>
      <w:r w:rsidR="00AF33EF" w:rsidRPr="005244A1">
        <w:rPr>
          <w:b/>
          <w:bCs/>
          <w:color w:val="000000" w:themeColor="text1"/>
          <w:highlight w:val="yellow"/>
        </w:rPr>
        <w:t xml:space="preserve"> Model </w:t>
      </w:r>
      <w:r w:rsidR="00F30D92" w:rsidRPr="005244A1">
        <w:rPr>
          <w:b/>
          <w:bCs/>
          <w:color w:val="000000" w:themeColor="text1"/>
          <w:highlight w:val="yellow"/>
        </w:rPr>
        <w:t>development</w:t>
      </w:r>
      <w:r w:rsidR="00AF33EF" w:rsidRPr="005244A1">
        <w:rPr>
          <w:b/>
          <w:bCs/>
          <w:color w:val="000000" w:themeColor="text1"/>
          <w:highlight w:val="yellow"/>
        </w:rPr>
        <w:t xml:space="preserve"> </w:t>
      </w:r>
    </w:p>
    <w:p w14:paraId="3992DBE0" w14:textId="77777777" w:rsidR="00BB3549" w:rsidRDefault="00BB3549" w:rsidP="00DA02A6">
      <w:pPr>
        <w:pStyle w:val="NormalWeb"/>
        <w:spacing w:line="360" w:lineRule="auto"/>
      </w:pPr>
      <w:r>
        <w:t>Model tuning and cross-validation performance. In the reconciled nested cross-validation framework, the female primary-panel consensus configuration yields a nested AUC of 0.816 (95% CI 0.747–0.884), with a per-repeat standard deviation of 0.010, utilizing a median of 5 genes, n = 145. The MHC-free consensus configuration, statistically indistinguishable (AUC 0.798, 95% CI 0.725–0.871, median 3 genes), is recommended in the authoritative table due to its comparable performance with fewer MHC-independent genes. For the male primary-panel consensus configuration, reported as exploratory with n = 38, the nested AUC is 0.896 (95% CI 0.800–0.993). The MHC-free consensus configuration achieves an AUC of 0.924 (95% CI 0.841–1.000) and is similarly recommended for males. A DeLong comparison of the primary versus MHC-free nested AUC revealed no significant difference in either sex (female 0.816 vs 0.798, p = 0.322; male 0.896 vs 0.924, p = 0.582), indicating that the removal of MHC does not compromise performance, and in the male cohort, the point estimate increases. Decomposing apparent, flat-CV, and nested-CV AUC quantifies the optimism inherent in the panel-selection procedure: female apparent 0.869 vs nested 0.816 (optimism +0.054); male apparent 1.000 vs nested 0.896 (optimism +0.104).</w:t>
      </w:r>
    </w:p>
    <w:p w14:paraId="5209E65B" w14:textId="5CD33C23" w:rsidR="00BB3549" w:rsidRDefault="00BB3549" w:rsidP="00DA02A6">
      <w:pPr>
        <w:pStyle w:val="NormalWeb"/>
        <w:spacing w:line="360" w:lineRule="auto"/>
      </w:pPr>
      <w:r>
        <w:t>ROC and locked-transfer performance, including the independent external blood cohort. Transferring the locked, frozen female primary panel, with coefficients unchanged, to unseen data results in an apparent-train AUC of 0.869 (0.813–0.925, n = 145), an internal-hold-out AUC of 0.823 (0.719–0.928, n = 61), and an external-blood AUC of 0.957 (0.886–1.000, n = 24, GSE15573). The locked female MHC-free panel yields an apparent-train AUC of 0.845 (0.782–0.908), an internal AUC of 0.806 (0.692–0.919), and an external-blood AUC of 0.743 (0.535–0.951), which is lower on external blood than the primary panel but lacks the primary panel's perfect-separation artefact. The locked male primary panel demonstrates perfect separation on training and internal-hold-out data and an AUC of 0.750 (0.399–1.000, n = 9) on external blood. The locked male MHC-free panel shows perfect train separation, an internal AUC of 0.917 (0.750–1.000, n = 13), and an external-blood AUC of 0.700 (0.400–1.000, n = 9).</w:t>
      </w:r>
    </w:p>
    <w:p w14:paraId="26203102" w14:textId="77777777" w:rsidR="00BB3549" w:rsidRDefault="00BB3549" w:rsidP="00DA02A6">
      <w:pPr>
        <w:pStyle w:val="NormalWeb"/>
        <w:spacing w:line="360" w:lineRule="auto"/>
      </w:pPr>
      <w:r>
        <w:lastRenderedPageBreak/>
        <w:t xml:space="preserve">In a within-dataset resampling benchmark, the female primary panel demonstrated enhanced signal detection compared to a composition-only model derived solely from leukocyte fractions, excluding gene expression data (refer to §3.14). Specifically, the female primary panel exhibited superior performance on training data (panel: 0.831 vs. composition: 0.662, Δ = +0.169, p = 1.2 × 10⁻¹⁰) and on external blood samples (1.000 vs. 0.429, Δ = +0.571, p = 2.4 × 10⁻⁵, with flagged separation). However, its performance was only marginally better than the composition model on the internal test dataset (0.721 vs. 0.714, Δ = +0.007, p = 0.0014). The female MHC-free panel outperformed the composition model across all three datasets: training (0.812 vs. 0.662, Δ = +0.150), internal test (0.789 vs. 0.714, Δ = +0.074, p = 0.032), and external blood (0.843 vs. 0.429, Δ = +0.414, without separation flag). This makes it the sole female configuration to surpass the composition benchmark across all datasets without a separation artifact. Conversely, the male primary panel exceeded the composition model on training data (0.933 vs. 0.857, Δ = +0.076) and external blood samples (0.725 vs. 0.575, Δ = +0.150, not significant), and matched it on the degenerate, perfectly-separated internal test (1.000 vs. 0.798, Δ = +0.202). The male MHC-free panel exhibited a smaller margin on training data (0.888 vs. 0.857, Δ = +0.031) and external samples (0.700 vs. 0.575, Δ = +0.125). All male comparisons against the composition model are flagged as EXPLORATORY, and both internal and external comparisons in both panels are accompanied by a </w:t>
      </w:r>
      <w:r w:rsidRPr="00BB3549">
        <w:rPr>
          <w:b/>
          <w:bCs/>
          <w:color w:val="C00000"/>
        </w:rPr>
        <w:t>SEPARATION warning</w:t>
      </w:r>
      <w:r>
        <w:t>, which limits the reliability of the point estimates.</w:t>
      </w:r>
    </w:p>
    <w:p w14:paraId="5D16F7B4" w14:textId="77777777" w:rsidR="00BB3549" w:rsidRDefault="00BB3549" w:rsidP="00DA02A6">
      <w:pPr>
        <w:spacing w:line="360" w:lineRule="auto"/>
        <w:rPr>
          <w:b/>
          <w:bCs/>
          <w:color w:val="000000" w:themeColor="text1"/>
        </w:rPr>
      </w:pPr>
    </w:p>
    <w:p w14:paraId="1EBA572C" w14:textId="77777777" w:rsidR="00BB3549" w:rsidRDefault="00BB3549" w:rsidP="00DA02A6">
      <w:pPr>
        <w:pStyle w:val="NormalWeb"/>
        <w:spacing w:line="360" w:lineRule="auto"/>
      </w:pPr>
      <w:r>
        <w:t>3.11 Cross-tissue evaluation (synovium)</w:t>
      </w:r>
    </w:p>
    <w:p w14:paraId="6DAEE2DC" w14:textId="77777777" w:rsidR="00BB3549" w:rsidRDefault="00BB3549" w:rsidP="00DA02A6">
      <w:pPr>
        <w:pStyle w:val="NormalWeb"/>
        <w:spacing w:line="360" w:lineRule="auto"/>
      </w:pPr>
      <w:r>
        <w:t xml:space="preserve">Among the six genes in the female panel, four maintained expression and were evaluated in synovial tissue (GSE89408). The genes C6orf136, GNL1, and SMARCC2 exhibited consistent directional replication from blood to synovium, with synovial FDR values ranging from 2.1 × 10⁻²¹ to 1.1 × 10⁻³² and single-gene AUC values between 0.906 and 0.996. Conversely, ESYT1, while directionally concordant, demonstrated weak discriminative ability (AUC 0.511), and IKZF3 and MED1 showed reversed directional expression between tissues. Overall, four out of six genes in the female panel were directionally concordant between blood and synovium. In the male panel, the genes ESYT1, INPP5B, SMARCC2, and VPS52 replicated directionality (AUC 0.575–0.983), whereas HLA-DMA and MED1 exhibited reversed directionality; thus, four out of six male panel genes were directionally </w:t>
      </w:r>
      <w:r>
        <w:lastRenderedPageBreak/>
        <w:t>concordant. Re-evaluating each sex's panel independently within the synovium dataset, rather than applying blood-trained coefficients, resulted in an apparent AUC of 1.000 and a 10-fold CV AUC of 0.986 (0.969–1.000) for the female refit (n = 120: 106 RA, 14 normal), and an apparent AUC of 0.994 with a 10-fold CV AUC of 0.776 (0.573–0.978) for the male refit (n = 60: 46 RA, 14 normal). As in other instances, the male synovium result is considered exploratory due to the limited comparator group.</w:t>
      </w:r>
    </w:p>
    <w:p w14:paraId="694214BF" w14:textId="77777777" w:rsidR="00BB3549" w:rsidRDefault="00BB3549" w:rsidP="00DA02A6">
      <w:pPr>
        <w:pStyle w:val="NormalWeb"/>
        <w:spacing w:line="360" w:lineRule="auto"/>
      </w:pPr>
      <w:r>
        <w:t>3.12 Cross-ancestry evaluation</w:t>
      </w:r>
    </w:p>
    <w:p w14:paraId="2722C2C6" w14:textId="77777777" w:rsidR="00BB3549" w:rsidRDefault="00BB3549" w:rsidP="00DA02A6">
      <w:pPr>
        <w:pStyle w:val="NormalWeb"/>
        <w:spacing w:line="360" w:lineRule="auto"/>
      </w:pPr>
      <w:r>
        <w:t>Among the 32 female MR-prioritised genes tested against the East Asian (</w:t>
      </w:r>
      <w:proofErr w:type="spellStart"/>
      <w:r>
        <w:t>BioBank</w:t>
      </w:r>
      <w:proofErr w:type="spellEnd"/>
      <w:r>
        <w:t xml:space="preserve"> Japan) and ancestry-matched European replication GWAS, 23 genes replicated in the European stratum, 7 were transferable to the East Asian dataset, 2 could not be tested in the East Asian data due to the absence of a surviving instrument, and 5 were exclusive to the European dataset. Of the 25 male MR-prioritised genes tested, 18 replicated in European data, 6 were transferable to the East Asian dataset, 2 were untestable in the East Asian context, and 3 were exclusive to the European dataset.</w:t>
      </w:r>
    </w:p>
    <w:p w14:paraId="66909736" w14:textId="77777777" w:rsidR="00BB3549" w:rsidRDefault="00BB3549" w:rsidP="00DA02A6">
      <w:pPr>
        <w:pStyle w:val="NormalWeb"/>
        <w:spacing w:line="360" w:lineRule="auto"/>
      </w:pPr>
      <w:r>
        <w:t>3.13 Functional Enrichment</w:t>
      </w:r>
    </w:p>
    <w:p w14:paraId="5405CE54" w14:textId="77777777" w:rsidR="00BB3549" w:rsidRDefault="00BB3549" w:rsidP="00DA02A6">
      <w:pPr>
        <w:pStyle w:val="NormalWeb"/>
        <w:spacing w:line="360" w:lineRule="auto"/>
      </w:pPr>
      <w:r>
        <w:t xml:space="preserve">Differentially Expressed Genes. An over-representation analysis of the sex-stratified differentially expressed gene (DEG) lists identified 1,408 enriched terms for female DEGs, 1,513 for male DEGs, and 1,659 for pooled DEGs. The ranked KEGG gene-set enrichment analysis yielded a strongly directional outcome across all contrasts: 19 significant pathways were identified in the pooled analysis (18 suppressed, 1 activated), 17 in the female analysis (16 suppressed, 1 activated), and 22 in the male analysis (21 suppressed, 1 activated). The ribosome pathway was the sole activated pathway in each contrast, with a normalized enrichment score (NES) ranging from +1.82 to +1.89. Among the most suppressed pathways were ATP-dependent chromatin </w:t>
      </w:r>
      <w:proofErr w:type="spellStart"/>
      <w:r>
        <w:t>remodeling</w:t>
      </w:r>
      <w:proofErr w:type="spellEnd"/>
      <w:r>
        <w:t xml:space="preserve"> and primary immunodeficiency (pooled and female) and carbon metabolism and the citrate cycle (male).</w:t>
      </w:r>
    </w:p>
    <w:p w14:paraId="7DC952F0" w14:textId="77777777" w:rsidR="00BB3549" w:rsidRDefault="00BB3549" w:rsidP="00DA02A6">
      <w:pPr>
        <w:pStyle w:val="NormalWeb"/>
        <w:spacing w:line="360" w:lineRule="auto"/>
      </w:pPr>
      <w:r>
        <w:t xml:space="preserve">Disease-Module Genes. The over-representation analysis of the 2,586 disease-module genes (yellow + brown) against the 15,763-gene network background identified 218 Gene Ontology (GO) terms and 16 KEGG pathways at a false discovery rate (FDR) of less than 0.05. Leading terms included mRNA processing, ribonucleoprotein complex biogenesis, and RNA splicing (GO), as well as spliceosome and the citrate/TCA cycle (KEGG). Notably, </w:t>
      </w:r>
      <w:r>
        <w:lastRenderedPageBreak/>
        <w:t xml:space="preserve">spliceosome, ATP-dependent chromatin </w:t>
      </w:r>
      <w:proofErr w:type="spellStart"/>
      <w:r>
        <w:t>remodeling</w:t>
      </w:r>
      <w:proofErr w:type="spellEnd"/>
      <w:r>
        <w:t>, and carbon metabolism/TCA cycle are suppressed at the transcriptome-wide gene set enrichment analysis (GSEA) level and enriched among the down-regulated in rheumatoid arthritis (RA) brown module genes, indicating convergence of two methodologically independent analyses on the same suppressed biological processes.</w:t>
      </w:r>
    </w:p>
    <w:p w14:paraId="2F7FCD01" w14:textId="7AF0D4A9" w:rsidR="00BB3549" w:rsidRDefault="00BB3549" w:rsidP="00DA02A6">
      <w:pPr>
        <w:pStyle w:val="NormalWeb"/>
        <w:spacing w:line="360" w:lineRule="auto"/>
      </w:pPr>
      <w:r>
        <w:t>MR-Prioritised Genes. Annotation of the 32 female and 25 male MR-prioritised genes separately revealed 46 significant GO:BP terms in the female set and 45 in the male set, with KEGG analysis returning 25 pathways in the female set and 14 in the male set. The female MR-prioritised gene set is predominantly associated with antigen-presentation biology, particularly antigen processing and presentation of exogenous peptide antigen via MHC class II (4/31 genes, FDR 1.2 × 10⁻⁴) and Staphylococcus aureus infection (4/19 genes, FDR 1.4 × 10⁻³), reflecting the panel's MHC-heavy composition at this stage. Conversely, the male MR-prioritised gene set is primarily associated with lymphocyte-activation biology, notably positive regulation of T-cell activation (5/24 genes, FDR 0.018) and Herpes simplex virus 1 infection (4/16 genes, FDR 0.016). As these annotations were conducted on the MHC-retained primary MR-prioritised sets, the enrichment results reported here are not independent of the HLA region, and the female results, in particular, should be interpreted with this consideration.</w:t>
      </w:r>
    </w:p>
    <w:p w14:paraId="7ABEC9CF" w14:textId="77777777" w:rsidR="00FB7081" w:rsidRDefault="00FB7081" w:rsidP="00DA02A6">
      <w:pPr>
        <w:pStyle w:val="NormalWeb"/>
        <w:spacing w:line="360" w:lineRule="auto"/>
      </w:pPr>
      <w:r>
        <w:t>3.14 Immune Deconvolution and Composition-Adjusted Expression</w:t>
      </w:r>
    </w:p>
    <w:p w14:paraId="045114E5" w14:textId="77777777" w:rsidR="00FB7081" w:rsidRDefault="00FB7081" w:rsidP="00DA02A6">
      <w:pPr>
        <w:pStyle w:val="NormalWeb"/>
        <w:spacing w:line="360" w:lineRule="auto"/>
      </w:pPr>
      <w:r>
        <w:t xml:space="preserve">The composition of immune cells varies by disease status within each sex, exhibiting a lymphopenia pattern. In females, the fraction of CD8 T cells decreases from a mean of 0.162 in controls to 0.093 in rheumatoid arthritis (RA) patients (FDR 1.6 × 10⁻⁸), with smaller changes observed in </w:t>
      </w:r>
      <w:proofErr w:type="spellStart"/>
      <w:r>
        <w:t>γδ</w:t>
      </w:r>
      <w:proofErr w:type="spellEnd"/>
      <w:r>
        <w:t xml:space="preserve"> T cells and naive B cells. In males, CD8 T cells similarly decrease (0.154 to 0.091, FDR 0.018), accompanied by increases in </w:t>
      </w:r>
      <w:proofErr w:type="spellStart"/>
      <w:r>
        <w:t>γδ</w:t>
      </w:r>
      <w:proofErr w:type="spellEnd"/>
      <w:r>
        <w:t xml:space="preserve"> T cells and eosinophils. Across both sexes, three female and four male cell subsets show differences by disease status at FDR &lt; 0.05. Incorporating composition principal components into the within-sex differentially expressed gene (DEG) contrasts significantly reduces the number of DEGs. In females, the DEG count decreases from 5,131 to 2,709 (49.4% retained, ρ = 0.889 between adjusted and unadjusted log-fold changes**), while in males, it decreases from 5,820 to 1,450 (23.8% retained, ρ = 0.842)**. As discussed in §2.14, since leukocyte composition in RA is likely a consequence of the disease rather than a confounder, this adjustment is interpreted as removing part of the true composition-mediated disease signal rather than correcting a bias. </w:t>
      </w:r>
      <w:r>
        <w:lastRenderedPageBreak/>
        <w:t xml:space="preserve">Therefore, the unadjusted model is maintained as primary for diagnostic claims, while the adjusted model serves as the sole basis for cell-intrinsic interpretation of specific genes. When applied to the primary panel genes, 10 out of 12 gene–sex pairs retain their signal post-composition adjustment. In the male panel, VPS52 (69.6% of </w:t>
      </w:r>
      <w:proofErr w:type="spellStart"/>
      <w:r>
        <w:t>logFC</w:t>
      </w:r>
      <w:proofErr w:type="spellEnd"/>
      <w:r>
        <w:t xml:space="preserve"> retained) and INPP5B (56.7% retained) lose their association with RA after composition adjustment, suggesting that their apparent association is largely attributable to changes in leukocyte composition rather than cell-intrinsic regulation.</w:t>
      </w:r>
    </w:p>
    <w:p w14:paraId="4F21CBA2" w14:textId="77777777" w:rsidR="00BB3549" w:rsidRPr="003F49E8" w:rsidRDefault="00BB3549" w:rsidP="00DA02A6">
      <w:pPr>
        <w:spacing w:line="360" w:lineRule="auto"/>
        <w:rPr>
          <w:b/>
          <w:bCs/>
          <w:color w:val="000000" w:themeColor="text1"/>
        </w:rPr>
      </w:pPr>
    </w:p>
    <w:p w14:paraId="76CA385C" w14:textId="77777777" w:rsidR="004A3A6F" w:rsidRDefault="004A3A6F" w:rsidP="00DA02A6">
      <w:pPr>
        <w:pStyle w:val="NormalWeb"/>
        <w:spacing w:line="360" w:lineRule="auto"/>
      </w:pPr>
      <w:r>
        <w:t>3.15 Nomogram Construction and Clinical Evaluation</w:t>
      </w:r>
    </w:p>
    <w:p w14:paraId="46E110B1" w14:textId="77777777" w:rsidR="004A3A6F" w:rsidRDefault="004A3A6F" w:rsidP="00DA02A6">
      <w:pPr>
        <w:pStyle w:val="NormalWeb"/>
        <w:spacing w:line="360" w:lineRule="auto"/>
      </w:pPr>
      <w:r>
        <w:t>A penalised logistic model was applied to the consensus panel genes for each sex within the complete training cohort, subsequently converted into a nomogram, a bootstrap-corrected calibration curve, and a Vickers decision curve. The female model, comprising six genes (n = 145: 86 RA, 59 HC), demonstrated a bootstrap-corrected mean absolute calibration error of 0.036, a mean squared error of 0.00155, and a 90th-percentile absolute error of 0.053. Conversely, the male model, also consisting of six genes (n = 38: 17 RA, 21 HC), was fitted with the stabilising ridge penalty as specified in §2.15. This model exhibited a mean absolute calibration error of 0.112, a mean squared error of 0.01286, and a 90th-percentile absolute error of 0.127, indicating a notably poorer calibration compared to the female model. This outcome aligns with the small-sample caveats associated with other male-stratum results in this chapter. At a 20% risk threshold, the female panel's net benefit is 0.5069, compared to 0.4914 for treating all patients; at a 50% threshold, it is 0.3655 versus 0.1862. In the male model, the net benefit at a 20% threshold is 0.4013, compared to 0.3092 for a treat-all approach, and at a 50% threshold, it is 0.4211, contrasting with a negative treat-all net benefit of −0.1053. At high-risk thresholds, treating all male patients becomes actively detrimental under this framework, whereas the panel-guided decision remains beneficial. Across the tested threshold range (0.01–0.99), the panel's net benefit surpasses both the treat-all strategy and zero for both sexes.</w:t>
      </w:r>
    </w:p>
    <w:p w14:paraId="0BDEF06C" w14:textId="77777777" w:rsidR="005244A1" w:rsidRDefault="005244A1" w:rsidP="00DA02A6">
      <w:pPr>
        <w:spacing w:line="360" w:lineRule="auto"/>
        <w:rPr>
          <w:b/>
          <w:bCs/>
          <w:color w:val="C00000"/>
          <w:lang w:val="en-US"/>
        </w:rPr>
      </w:pPr>
    </w:p>
    <w:p w14:paraId="13BADE3F" w14:textId="77777777" w:rsidR="008F6FCA" w:rsidRDefault="008F6FCA" w:rsidP="00DA02A6">
      <w:pPr>
        <w:spacing w:line="360" w:lineRule="auto"/>
        <w:rPr>
          <w:b/>
          <w:bCs/>
          <w:color w:val="C00000"/>
        </w:rPr>
      </w:pPr>
    </w:p>
    <w:p w14:paraId="51D41B2E" w14:textId="77777777" w:rsidR="008F6FCA" w:rsidRDefault="008F6FCA" w:rsidP="00DA02A6">
      <w:pPr>
        <w:spacing w:line="360" w:lineRule="auto"/>
        <w:rPr>
          <w:b/>
          <w:bCs/>
          <w:color w:val="C00000"/>
        </w:rPr>
      </w:pPr>
    </w:p>
    <w:p w14:paraId="5CA0FB65" w14:textId="77777777" w:rsidR="008F6FCA" w:rsidRDefault="008F6FCA" w:rsidP="00DA02A6">
      <w:pPr>
        <w:spacing w:line="360" w:lineRule="auto"/>
        <w:rPr>
          <w:b/>
          <w:bCs/>
          <w:color w:val="C00000"/>
        </w:rPr>
      </w:pPr>
    </w:p>
    <w:p w14:paraId="77674F8C" w14:textId="77777777" w:rsidR="008F6FCA" w:rsidRDefault="008F6FCA" w:rsidP="00DA02A6">
      <w:pPr>
        <w:spacing w:line="360" w:lineRule="auto"/>
        <w:rPr>
          <w:b/>
          <w:bCs/>
          <w:color w:val="C00000"/>
        </w:rPr>
      </w:pPr>
    </w:p>
    <w:p w14:paraId="33D8E5C5" w14:textId="6571D2A9" w:rsidR="00762AC2" w:rsidRPr="003F49E8" w:rsidRDefault="00762AC2" w:rsidP="00DA02A6">
      <w:pPr>
        <w:spacing w:line="360" w:lineRule="auto"/>
        <w:rPr>
          <w:b/>
          <w:bCs/>
          <w:color w:val="C00000"/>
        </w:rPr>
      </w:pPr>
      <w:r w:rsidRPr="003F49E8">
        <w:rPr>
          <w:b/>
          <w:bCs/>
          <w:color w:val="C00000"/>
        </w:rPr>
        <w:t xml:space="preserve">Discussion </w:t>
      </w:r>
    </w:p>
    <w:p w14:paraId="011532F0" w14:textId="67C60019" w:rsidR="00762AC2" w:rsidRPr="003F49E8" w:rsidRDefault="00D7773C" w:rsidP="00DA02A6">
      <w:pPr>
        <w:spacing w:line="360" w:lineRule="auto"/>
        <w:rPr>
          <w:b/>
          <w:bCs/>
          <w:color w:val="C00000"/>
        </w:rPr>
      </w:pPr>
      <w:r w:rsidRPr="003F49E8">
        <w:rPr>
          <w:b/>
          <w:bCs/>
          <w:color w:val="C00000"/>
        </w:rPr>
        <w:t xml:space="preserve">Chapter summary </w:t>
      </w:r>
    </w:p>
    <w:p w14:paraId="1325BA67" w14:textId="77777777" w:rsidR="00D7773C" w:rsidRPr="003F49E8" w:rsidRDefault="00D7773C" w:rsidP="00DA02A6">
      <w:pPr>
        <w:spacing w:line="360" w:lineRule="auto"/>
        <w:rPr>
          <w:b/>
          <w:bCs/>
          <w:color w:val="C00000"/>
        </w:rPr>
      </w:pPr>
    </w:p>
    <w:p w14:paraId="4DDF9EC6" w14:textId="77777777" w:rsidR="00D7773C" w:rsidRPr="003F49E8" w:rsidRDefault="00D7773C" w:rsidP="00DA02A6">
      <w:pPr>
        <w:spacing w:line="360" w:lineRule="auto"/>
        <w:rPr>
          <w:b/>
          <w:bCs/>
          <w:color w:val="C00000"/>
        </w:rPr>
      </w:pPr>
    </w:p>
    <w:p w14:paraId="65C7CAEE" w14:textId="77777777" w:rsidR="00D7773C" w:rsidRPr="003F49E8" w:rsidRDefault="00D7773C" w:rsidP="00DA02A6">
      <w:pPr>
        <w:spacing w:line="360" w:lineRule="auto"/>
        <w:rPr>
          <w:b/>
          <w:bCs/>
          <w:color w:val="C00000"/>
        </w:rPr>
      </w:pPr>
    </w:p>
    <w:p w14:paraId="706D63E3" w14:textId="77777777" w:rsidR="00762AC2" w:rsidRPr="003F49E8" w:rsidRDefault="00762AC2" w:rsidP="00DA02A6">
      <w:pPr>
        <w:spacing w:line="360" w:lineRule="auto"/>
        <w:rPr>
          <w:b/>
          <w:bCs/>
          <w:color w:val="C00000"/>
        </w:rPr>
      </w:pPr>
    </w:p>
    <w:p w14:paraId="22CC1840" w14:textId="77777777" w:rsidR="00AF33EF" w:rsidRPr="003F49E8" w:rsidRDefault="00AF33EF" w:rsidP="00DA02A6">
      <w:pPr>
        <w:spacing w:line="360" w:lineRule="auto"/>
        <w:rPr>
          <w:b/>
          <w:bCs/>
          <w:color w:val="C00000"/>
          <w:lang w:val="en-US"/>
        </w:rPr>
      </w:pPr>
    </w:p>
    <w:p w14:paraId="68E57EFB" w14:textId="77777777" w:rsidR="005149C3" w:rsidRPr="003F49E8" w:rsidRDefault="005149C3" w:rsidP="00DA02A6">
      <w:pPr>
        <w:spacing w:line="360" w:lineRule="auto"/>
      </w:pPr>
    </w:p>
    <w:p w14:paraId="1E8D5CEE" w14:textId="77777777" w:rsidR="005149C3" w:rsidRPr="003F49E8" w:rsidRDefault="005149C3" w:rsidP="00DA02A6">
      <w:pPr>
        <w:spacing w:line="360" w:lineRule="auto"/>
      </w:pPr>
    </w:p>
    <w:p w14:paraId="07A0712E" w14:textId="77777777" w:rsidR="00210C70" w:rsidRPr="003F49E8" w:rsidRDefault="00210C70" w:rsidP="00DA02A6">
      <w:pPr>
        <w:spacing w:line="360" w:lineRule="auto"/>
        <w:rPr>
          <w:b/>
          <w:bCs/>
          <w:color w:val="C00000"/>
          <w:lang w:val="en-US"/>
        </w:rPr>
      </w:pPr>
    </w:p>
    <w:p w14:paraId="4D23E172" w14:textId="77777777" w:rsidR="007D48EC" w:rsidRPr="003F49E8" w:rsidRDefault="007D48EC" w:rsidP="00DA02A6">
      <w:pPr>
        <w:spacing w:line="360" w:lineRule="auto"/>
        <w:rPr>
          <w:b/>
          <w:bCs/>
        </w:rPr>
      </w:pPr>
    </w:p>
    <w:p w14:paraId="11BCD793" w14:textId="77777777" w:rsidR="00161F9E" w:rsidRPr="003F49E8" w:rsidRDefault="00161F9E" w:rsidP="00DA02A6">
      <w:pPr>
        <w:spacing w:line="360" w:lineRule="auto"/>
      </w:pPr>
    </w:p>
    <w:sectPr w:rsidR="00161F9E" w:rsidRPr="003F49E8" w:rsidSect="004835A0">
      <w:footerReference w:type="even" r:id="rId7"/>
      <w:footerReference w:type="default" r:id="rId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24C0B" w14:textId="77777777" w:rsidR="005E52FF" w:rsidRDefault="005E52FF" w:rsidP="004835A0">
      <w:r>
        <w:separator/>
      </w:r>
    </w:p>
  </w:endnote>
  <w:endnote w:type="continuationSeparator" w:id="0">
    <w:p w14:paraId="30832CBA" w14:textId="77777777" w:rsidR="005E52FF" w:rsidRDefault="005E52FF" w:rsidP="004835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ple-system-font">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3946209"/>
      <w:docPartObj>
        <w:docPartGallery w:val="Page Numbers (Bottom of Page)"/>
        <w:docPartUnique/>
      </w:docPartObj>
    </w:sdtPr>
    <w:sdtContent>
      <w:p w14:paraId="3619F355" w14:textId="2B9EFA22" w:rsidR="004835A0" w:rsidRDefault="004835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9F0F48" w14:textId="77777777" w:rsidR="004835A0" w:rsidRDefault="004835A0" w:rsidP="004835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7633871"/>
      <w:docPartObj>
        <w:docPartGallery w:val="Page Numbers (Bottom of Page)"/>
        <w:docPartUnique/>
      </w:docPartObj>
    </w:sdtPr>
    <w:sdtContent>
      <w:p w14:paraId="1C8739EE" w14:textId="3F86105C" w:rsidR="004835A0" w:rsidRDefault="004835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F42DA0" w14:textId="77777777" w:rsidR="004835A0" w:rsidRDefault="004835A0" w:rsidP="004835A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6D479" w14:textId="77777777" w:rsidR="005E52FF" w:rsidRDefault="005E52FF" w:rsidP="004835A0">
      <w:r>
        <w:separator/>
      </w:r>
    </w:p>
  </w:footnote>
  <w:footnote w:type="continuationSeparator" w:id="0">
    <w:p w14:paraId="02095172" w14:textId="77777777" w:rsidR="005E52FF" w:rsidRDefault="005E52FF" w:rsidP="004835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22DD0"/>
    <w:multiLevelType w:val="hybridMultilevel"/>
    <w:tmpl w:val="013824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3C13D0"/>
    <w:multiLevelType w:val="multilevel"/>
    <w:tmpl w:val="72E649F8"/>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360" w:hanging="36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720" w:hanging="72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080" w:hanging="1080"/>
      </w:pPr>
      <w:rPr>
        <w:rFonts w:hint="default"/>
        <w:color w:val="auto"/>
      </w:rPr>
    </w:lvl>
    <w:lvl w:ilvl="7">
      <w:start w:val="1"/>
      <w:numFmt w:val="decimal"/>
      <w:lvlText w:val="%1.%2.%3.%4.%5.%6.%7.%8"/>
      <w:lvlJc w:val="left"/>
      <w:pPr>
        <w:ind w:left="1080" w:hanging="1080"/>
      </w:pPr>
      <w:rPr>
        <w:rFonts w:hint="default"/>
        <w:color w:val="auto"/>
      </w:rPr>
    </w:lvl>
    <w:lvl w:ilvl="8">
      <w:start w:val="1"/>
      <w:numFmt w:val="decimal"/>
      <w:lvlText w:val="%1.%2.%3.%4.%5.%6.%7.%8.%9"/>
      <w:lvlJc w:val="left"/>
      <w:pPr>
        <w:ind w:left="1440" w:hanging="1440"/>
      </w:pPr>
      <w:rPr>
        <w:rFonts w:hint="default"/>
        <w:color w:val="auto"/>
      </w:rPr>
    </w:lvl>
  </w:abstractNum>
  <w:abstractNum w:abstractNumId="2" w15:restartNumberingAfterBreak="0">
    <w:nsid w:val="421F5A79"/>
    <w:multiLevelType w:val="hybridMultilevel"/>
    <w:tmpl w:val="013824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ECF494F"/>
    <w:multiLevelType w:val="multilevel"/>
    <w:tmpl w:val="8D3E29FA"/>
    <w:lvl w:ilvl="0">
      <w:start w:val="2"/>
      <w:numFmt w:val="decimal"/>
      <w:lvlText w:val="%1."/>
      <w:lvlJc w:val="left"/>
      <w:pPr>
        <w:ind w:left="720" w:hanging="360"/>
      </w:pPr>
      <w:rPr>
        <w:rFonts w:hint="default"/>
        <w:color w:val="auto"/>
      </w:rPr>
    </w:lvl>
    <w:lvl w:ilvl="1">
      <w:start w:val="1"/>
      <w:numFmt w:val="decimal"/>
      <w:isLgl/>
      <w:lvlText w:val="%1.%2"/>
      <w:lvlJc w:val="left"/>
      <w:pPr>
        <w:ind w:left="1080" w:hanging="360"/>
      </w:pPr>
      <w:rPr>
        <w:rFonts w:hint="default"/>
        <w:color w:val="auto"/>
      </w:rPr>
    </w:lvl>
    <w:lvl w:ilvl="2">
      <w:start w:val="1"/>
      <w:numFmt w:val="decimal"/>
      <w:isLgl/>
      <w:lvlText w:val="%1.%2.%3"/>
      <w:lvlJc w:val="left"/>
      <w:pPr>
        <w:ind w:left="1440" w:hanging="360"/>
      </w:pPr>
      <w:rPr>
        <w:rFonts w:hint="default"/>
        <w:color w:val="auto"/>
      </w:rPr>
    </w:lvl>
    <w:lvl w:ilvl="3">
      <w:start w:val="1"/>
      <w:numFmt w:val="decimal"/>
      <w:isLgl/>
      <w:lvlText w:val="%1.%2.%3.%4"/>
      <w:lvlJc w:val="left"/>
      <w:pPr>
        <w:ind w:left="2160" w:hanging="720"/>
      </w:pPr>
      <w:rPr>
        <w:rFonts w:hint="default"/>
        <w:color w:val="auto"/>
      </w:rPr>
    </w:lvl>
    <w:lvl w:ilvl="4">
      <w:start w:val="1"/>
      <w:numFmt w:val="decimal"/>
      <w:isLgl/>
      <w:lvlText w:val="%1.%2.%3.%4.%5"/>
      <w:lvlJc w:val="left"/>
      <w:pPr>
        <w:ind w:left="2520" w:hanging="720"/>
      </w:pPr>
      <w:rPr>
        <w:rFonts w:hint="default"/>
        <w:color w:val="auto"/>
      </w:rPr>
    </w:lvl>
    <w:lvl w:ilvl="5">
      <w:start w:val="1"/>
      <w:numFmt w:val="decimal"/>
      <w:isLgl/>
      <w:lvlText w:val="%1.%2.%3.%4.%5.%6"/>
      <w:lvlJc w:val="left"/>
      <w:pPr>
        <w:ind w:left="3240" w:hanging="1080"/>
      </w:pPr>
      <w:rPr>
        <w:rFonts w:hint="default"/>
        <w:color w:val="auto"/>
      </w:rPr>
    </w:lvl>
    <w:lvl w:ilvl="6">
      <w:start w:val="1"/>
      <w:numFmt w:val="decimal"/>
      <w:isLgl/>
      <w:lvlText w:val="%1.%2.%3.%4.%5.%6.%7"/>
      <w:lvlJc w:val="left"/>
      <w:pPr>
        <w:ind w:left="3600" w:hanging="1080"/>
      </w:pPr>
      <w:rPr>
        <w:rFonts w:hint="default"/>
        <w:color w:val="auto"/>
      </w:rPr>
    </w:lvl>
    <w:lvl w:ilvl="7">
      <w:start w:val="1"/>
      <w:numFmt w:val="decimal"/>
      <w:isLgl/>
      <w:lvlText w:val="%1.%2.%3.%4.%5.%6.%7.%8"/>
      <w:lvlJc w:val="left"/>
      <w:pPr>
        <w:ind w:left="3960" w:hanging="1080"/>
      </w:pPr>
      <w:rPr>
        <w:rFonts w:hint="default"/>
        <w:color w:val="auto"/>
      </w:rPr>
    </w:lvl>
    <w:lvl w:ilvl="8">
      <w:start w:val="1"/>
      <w:numFmt w:val="decimal"/>
      <w:isLgl/>
      <w:lvlText w:val="%1.%2.%3.%4.%5.%6.%7.%8.%9"/>
      <w:lvlJc w:val="left"/>
      <w:pPr>
        <w:ind w:left="4680" w:hanging="1440"/>
      </w:pPr>
      <w:rPr>
        <w:rFonts w:hint="default"/>
        <w:color w:val="auto"/>
      </w:rPr>
    </w:lvl>
  </w:abstractNum>
  <w:abstractNum w:abstractNumId="4" w15:restartNumberingAfterBreak="0">
    <w:nsid w:val="771063A3"/>
    <w:multiLevelType w:val="multilevel"/>
    <w:tmpl w:val="437C443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65762291">
    <w:abstractNumId w:val="4"/>
  </w:num>
  <w:num w:numId="2" w16cid:durableId="922226574">
    <w:abstractNumId w:val="0"/>
  </w:num>
  <w:num w:numId="3" w16cid:durableId="154995528">
    <w:abstractNumId w:val="1"/>
  </w:num>
  <w:num w:numId="4" w16cid:durableId="1340505082">
    <w:abstractNumId w:val="3"/>
  </w:num>
  <w:num w:numId="5" w16cid:durableId="511920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8EC"/>
    <w:rsid w:val="00085436"/>
    <w:rsid w:val="000B6E5F"/>
    <w:rsid w:val="000C3FC8"/>
    <w:rsid w:val="000D6D11"/>
    <w:rsid w:val="001050FB"/>
    <w:rsid w:val="00107C95"/>
    <w:rsid w:val="00111B38"/>
    <w:rsid w:val="001443ED"/>
    <w:rsid w:val="00144474"/>
    <w:rsid w:val="00154ED1"/>
    <w:rsid w:val="00156E78"/>
    <w:rsid w:val="00161F9E"/>
    <w:rsid w:val="001867BC"/>
    <w:rsid w:val="001C33C5"/>
    <w:rsid w:val="001C5A93"/>
    <w:rsid w:val="001F1C20"/>
    <w:rsid w:val="001F5DBF"/>
    <w:rsid w:val="001F6487"/>
    <w:rsid w:val="00203F3E"/>
    <w:rsid w:val="00210C70"/>
    <w:rsid w:val="00235BE3"/>
    <w:rsid w:val="00242F00"/>
    <w:rsid w:val="00263AA5"/>
    <w:rsid w:val="00266F07"/>
    <w:rsid w:val="00276E76"/>
    <w:rsid w:val="002A17B2"/>
    <w:rsid w:val="002B6161"/>
    <w:rsid w:val="002E213D"/>
    <w:rsid w:val="002E77C0"/>
    <w:rsid w:val="003103F1"/>
    <w:rsid w:val="00310C81"/>
    <w:rsid w:val="00331C68"/>
    <w:rsid w:val="003601D9"/>
    <w:rsid w:val="0036393B"/>
    <w:rsid w:val="00373093"/>
    <w:rsid w:val="00384005"/>
    <w:rsid w:val="00394A7D"/>
    <w:rsid w:val="00396AF0"/>
    <w:rsid w:val="003A00B3"/>
    <w:rsid w:val="003C5B89"/>
    <w:rsid w:val="003D6D09"/>
    <w:rsid w:val="003F1637"/>
    <w:rsid w:val="003F49E8"/>
    <w:rsid w:val="0040212E"/>
    <w:rsid w:val="00416429"/>
    <w:rsid w:val="004206D6"/>
    <w:rsid w:val="00455E36"/>
    <w:rsid w:val="00476BCC"/>
    <w:rsid w:val="004835A0"/>
    <w:rsid w:val="004A3A6F"/>
    <w:rsid w:val="004D7A20"/>
    <w:rsid w:val="004D7C15"/>
    <w:rsid w:val="004E3774"/>
    <w:rsid w:val="004F0BC6"/>
    <w:rsid w:val="005149C3"/>
    <w:rsid w:val="00514D51"/>
    <w:rsid w:val="0051549B"/>
    <w:rsid w:val="005244A1"/>
    <w:rsid w:val="00540A95"/>
    <w:rsid w:val="00562BAC"/>
    <w:rsid w:val="0057129F"/>
    <w:rsid w:val="005831A5"/>
    <w:rsid w:val="005C1DE0"/>
    <w:rsid w:val="005E52FF"/>
    <w:rsid w:val="005E6115"/>
    <w:rsid w:val="005F37AB"/>
    <w:rsid w:val="006008B7"/>
    <w:rsid w:val="00601170"/>
    <w:rsid w:val="006125D8"/>
    <w:rsid w:val="0061288B"/>
    <w:rsid w:val="00623E21"/>
    <w:rsid w:val="00630102"/>
    <w:rsid w:val="00630D4A"/>
    <w:rsid w:val="00636B10"/>
    <w:rsid w:val="00651E74"/>
    <w:rsid w:val="00663223"/>
    <w:rsid w:val="006718FE"/>
    <w:rsid w:val="006C3BD5"/>
    <w:rsid w:val="006D5241"/>
    <w:rsid w:val="006E09A8"/>
    <w:rsid w:val="006E09E6"/>
    <w:rsid w:val="006E0F17"/>
    <w:rsid w:val="007001D6"/>
    <w:rsid w:val="00712DB5"/>
    <w:rsid w:val="00714CC4"/>
    <w:rsid w:val="00717DEB"/>
    <w:rsid w:val="00736E5D"/>
    <w:rsid w:val="007514AE"/>
    <w:rsid w:val="00761FF2"/>
    <w:rsid w:val="0076250E"/>
    <w:rsid w:val="00762AC2"/>
    <w:rsid w:val="00794FBD"/>
    <w:rsid w:val="007B195A"/>
    <w:rsid w:val="007C1A6E"/>
    <w:rsid w:val="007D2A35"/>
    <w:rsid w:val="007D48EC"/>
    <w:rsid w:val="007E3BF4"/>
    <w:rsid w:val="007E4E15"/>
    <w:rsid w:val="007E4E1A"/>
    <w:rsid w:val="007F22AD"/>
    <w:rsid w:val="007F3821"/>
    <w:rsid w:val="00803385"/>
    <w:rsid w:val="008120FF"/>
    <w:rsid w:val="008152DC"/>
    <w:rsid w:val="00815B15"/>
    <w:rsid w:val="00854969"/>
    <w:rsid w:val="00857D01"/>
    <w:rsid w:val="00876F7A"/>
    <w:rsid w:val="008B7587"/>
    <w:rsid w:val="008D09C3"/>
    <w:rsid w:val="008D36FC"/>
    <w:rsid w:val="008E4733"/>
    <w:rsid w:val="008E570B"/>
    <w:rsid w:val="008F181F"/>
    <w:rsid w:val="008F2C99"/>
    <w:rsid w:val="008F6FCA"/>
    <w:rsid w:val="00901492"/>
    <w:rsid w:val="009019D2"/>
    <w:rsid w:val="00917317"/>
    <w:rsid w:val="00920CFB"/>
    <w:rsid w:val="00955CC8"/>
    <w:rsid w:val="00957D77"/>
    <w:rsid w:val="00974C22"/>
    <w:rsid w:val="00990085"/>
    <w:rsid w:val="009A3240"/>
    <w:rsid w:val="009A3A2E"/>
    <w:rsid w:val="009A6568"/>
    <w:rsid w:val="009B730B"/>
    <w:rsid w:val="009D3F3B"/>
    <w:rsid w:val="009F4C57"/>
    <w:rsid w:val="009F5FC2"/>
    <w:rsid w:val="00A012E7"/>
    <w:rsid w:val="00A26A71"/>
    <w:rsid w:val="00A27C34"/>
    <w:rsid w:val="00A42F14"/>
    <w:rsid w:val="00A72379"/>
    <w:rsid w:val="00A84252"/>
    <w:rsid w:val="00AA1360"/>
    <w:rsid w:val="00AA3F25"/>
    <w:rsid w:val="00AB43A5"/>
    <w:rsid w:val="00AC2039"/>
    <w:rsid w:val="00AF33EF"/>
    <w:rsid w:val="00AF72EA"/>
    <w:rsid w:val="00B05497"/>
    <w:rsid w:val="00B53ABF"/>
    <w:rsid w:val="00B9096B"/>
    <w:rsid w:val="00BA1059"/>
    <w:rsid w:val="00BA78F5"/>
    <w:rsid w:val="00BB0661"/>
    <w:rsid w:val="00BB3549"/>
    <w:rsid w:val="00BD1195"/>
    <w:rsid w:val="00BE19B2"/>
    <w:rsid w:val="00C06C3A"/>
    <w:rsid w:val="00C102AD"/>
    <w:rsid w:val="00C277FE"/>
    <w:rsid w:val="00C836BC"/>
    <w:rsid w:val="00CA6A36"/>
    <w:rsid w:val="00CC724A"/>
    <w:rsid w:val="00CE1FC7"/>
    <w:rsid w:val="00CE406E"/>
    <w:rsid w:val="00D13958"/>
    <w:rsid w:val="00D1623C"/>
    <w:rsid w:val="00D22CB5"/>
    <w:rsid w:val="00D26E82"/>
    <w:rsid w:val="00D434C7"/>
    <w:rsid w:val="00D455BA"/>
    <w:rsid w:val="00D7773C"/>
    <w:rsid w:val="00D8098D"/>
    <w:rsid w:val="00DA02A6"/>
    <w:rsid w:val="00DB3ACD"/>
    <w:rsid w:val="00DD124F"/>
    <w:rsid w:val="00DD1688"/>
    <w:rsid w:val="00DE1B3A"/>
    <w:rsid w:val="00DE3D17"/>
    <w:rsid w:val="00DE7946"/>
    <w:rsid w:val="00DF7573"/>
    <w:rsid w:val="00E13263"/>
    <w:rsid w:val="00E1462C"/>
    <w:rsid w:val="00E32D6B"/>
    <w:rsid w:val="00E353DB"/>
    <w:rsid w:val="00E50948"/>
    <w:rsid w:val="00E51A89"/>
    <w:rsid w:val="00E52683"/>
    <w:rsid w:val="00E55F48"/>
    <w:rsid w:val="00E615A8"/>
    <w:rsid w:val="00E71A93"/>
    <w:rsid w:val="00E801C9"/>
    <w:rsid w:val="00E90EA8"/>
    <w:rsid w:val="00EA4DDA"/>
    <w:rsid w:val="00EB0872"/>
    <w:rsid w:val="00EB28FF"/>
    <w:rsid w:val="00ED6C1A"/>
    <w:rsid w:val="00F03574"/>
    <w:rsid w:val="00F30D92"/>
    <w:rsid w:val="00F31528"/>
    <w:rsid w:val="00F37A86"/>
    <w:rsid w:val="00F476EC"/>
    <w:rsid w:val="00F61346"/>
    <w:rsid w:val="00F61B2F"/>
    <w:rsid w:val="00F744AB"/>
    <w:rsid w:val="00F841DD"/>
    <w:rsid w:val="00FB3B7C"/>
    <w:rsid w:val="00FB7081"/>
    <w:rsid w:val="00FF34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E49CFD0"/>
  <w15:chartTrackingRefBased/>
  <w15:docId w15:val="{B4A83101-EB05-0040-8C48-142F380BB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8E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D4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4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8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8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8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8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4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8EC"/>
    <w:rPr>
      <w:rFonts w:eastAsiaTheme="majorEastAsia" w:cstheme="majorBidi"/>
      <w:color w:val="272727" w:themeColor="text1" w:themeTint="D8"/>
    </w:rPr>
  </w:style>
  <w:style w:type="paragraph" w:styleId="Title">
    <w:name w:val="Title"/>
    <w:basedOn w:val="Normal"/>
    <w:next w:val="Normal"/>
    <w:link w:val="TitleChar"/>
    <w:uiPriority w:val="10"/>
    <w:qFormat/>
    <w:rsid w:val="007D48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8EC"/>
    <w:pPr>
      <w:spacing w:before="160"/>
      <w:jc w:val="center"/>
    </w:pPr>
    <w:rPr>
      <w:i/>
      <w:iCs/>
      <w:color w:val="404040" w:themeColor="text1" w:themeTint="BF"/>
    </w:rPr>
  </w:style>
  <w:style w:type="character" w:customStyle="1" w:styleId="QuoteChar">
    <w:name w:val="Quote Char"/>
    <w:basedOn w:val="DefaultParagraphFont"/>
    <w:link w:val="Quote"/>
    <w:uiPriority w:val="29"/>
    <w:rsid w:val="007D48EC"/>
    <w:rPr>
      <w:i/>
      <w:iCs/>
      <w:color w:val="404040" w:themeColor="text1" w:themeTint="BF"/>
    </w:rPr>
  </w:style>
  <w:style w:type="paragraph" w:styleId="ListParagraph">
    <w:name w:val="List Paragraph"/>
    <w:basedOn w:val="Normal"/>
    <w:uiPriority w:val="34"/>
    <w:qFormat/>
    <w:rsid w:val="007D48EC"/>
    <w:pPr>
      <w:ind w:left="720"/>
      <w:contextualSpacing/>
    </w:pPr>
  </w:style>
  <w:style w:type="character" w:styleId="IntenseEmphasis">
    <w:name w:val="Intense Emphasis"/>
    <w:basedOn w:val="DefaultParagraphFont"/>
    <w:uiPriority w:val="21"/>
    <w:qFormat/>
    <w:rsid w:val="007D48EC"/>
    <w:rPr>
      <w:i/>
      <w:iCs/>
      <w:color w:val="0F4761" w:themeColor="accent1" w:themeShade="BF"/>
    </w:rPr>
  </w:style>
  <w:style w:type="paragraph" w:styleId="IntenseQuote">
    <w:name w:val="Intense Quote"/>
    <w:basedOn w:val="Normal"/>
    <w:next w:val="Normal"/>
    <w:link w:val="IntenseQuoteChar"/>
    <w:uiPriority w:val="30"/>
    <w:qFormat/>
    <w:rsid w:val="007D4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8EC"/>
    <w:rPr>
      <w:i/>
      <w:iCs/>
      <w:color w:val="0F4761" w:themeColor="accent1" w:themeShade="BF"/>
    </w:rPr>
  </w:style>
  <w:style w:type="character" w:styleId="IntenseReference">
    <w:name w:val="Intense Reference"/>
    <w:basedOn w:val="DefaultParagraphFont"/>
    <w:uiPriority w:val="32"/>
    <w:qFormat/>
    <w:rsid w:val="007D48EC"/>
    <w:rPr>
      <w:b/>
      <w:bCs/>
      <w:smallCaps/>
      <w:color w:val="0F4761" w:themeColor="accent1" w:themeShade="BF"/>
      <w:spacing w:val="5"/>
    </w:rPr>
  </w:style>
  <w:style w:type="character" w:customStyle="1" w:styleId="apple-converted-space">
    <w:name w:val="apple-converted-space"/>
    <w:basedOn w:val="DefaultParagraphFont"/>
    <w:rsid w:val="007D48EC"/>
  </w:style>
  <w:style w:type="paragraph" w:styleId="NormalWeb">
    <w:name w:val="Normal (Web)"/>
    <w:basedOn w:val="Normal"/>
    <w:uiPriority w:val="99"/>
    <w:unhideWhenUsed/>
    <w:rsid w:val="00D26E82"/>
    <w:pPr>
      <w:spacing w:before="100" w:beforeAutospacing="1" w:after="100" w:afterAutospacing="1"/>
    </w:pPr>
  </w:style>
  <w:style w:type="paragraph" w:styleId="Footer">
    <w:name w:val="footer"/>
    <w:basedOn w:val="Normal"/>
    <w:link w:val="FooterChar"/>
    <w:uiPriority w:val="99"/>
    <w:unhideWhenUsed/>
    <w:rsid w:val="004835A0"/>
    <w:pPr>
      <w:tabs>
        <w:tab w:val="center" w:pos="4513"/>
        <w:tab w:val="right" w:pos="9026"/>
      </w:tabs>
    </w:pPr>
  </w:style>
  <w:style w:type="character" w:customStyle="1" w:styleId="FooterChar">
    <w:name w:val="Footer Char"/>
    <w:basedOn w:val="DefaultParagraphFont"/>
    <w:link w:val="Footer"/>
    <w:uiPriority w:val="99"/>
    <w:rsid w:val="004835A0"/>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4835A0"/>
  </w:style>
  <w:style w:type="character" w:styleId="Strong">
    <w:name w:val="Strong"/>
    <w:basedOn w:val="DefaultParagraphFont"/>
    <w:uiPriority w:val="22"/>
    <w:qFormat/>
    <w:rsid w:val="00E90EA8"/>
    <w:rPr>
      <w:b/>
      <w:bCs/>
    </w:rPr>
  </w:style>
  <w:style w:type="character" w:styleId="HTMLCode">
    <w:name w:val="HTML Code"/>
    <w:basedOn w:val="DefaultParagraphFont"/>
    <w:uiPriority w:val="99"/>
    <w:semiHidden/>
    <w:unhideWhenUsed/>
    <w:rsid w:val="00E90E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11557</Words>
  <Characters>65876</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sweta rai</dc:creator>
  <cp:keywords/>
  <dc:description/>
  <cp:lastModifiedBy>sweta rai</cp:lastModifiedBy>
  <cp:revision>2</cp:revision>
  <dcterms:created xsi:type="dcterms:W3CDTF">2026-09-13T14:04:00Z</dcterms:created>
  <dcterms:modified xsi:type="dcterms:W3CDTF">2026-09-13T14:04:00Z</dcterms:modified>
</cp:coreProperties>
</file>