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7C93BD"/>
          <w:sz w:val="22"/>
        </w:rPr>
        <w:t>TECHNICAL SPECIFICATION</w:t>
      </w:r>
    </w:p>
    <w:p>
      <w:pPr>
        <w:jc w:val="center"/>
      </w:pPr>
      <w:r>
        <w:rPr>
          <w:b/>
          <w:color w:val="0F2440"/>
          <w:sz w:val="64"/>
        </w:rPr>
        <w:t>Data Alchemist</w:t>
      </w:r>
    </w:p>
    <w:p>
      <w:pPr>
        <w:jc w:val="center"/>
      </w:pPr>
      <w:r>
        <w:rPr>
          <w:color w:val="556070"/>
          <w:sz w:val="26"/>
        </w:rPr>
        <w:t>Solution Architecture &amp; Technical Specification — Agentic Data Quality &amp; Trust Platform</w:t>
      </w:r>
    </w:p>
    <w:p/>
    <w:p/>
    <w:p>
      <w:pPr>
        <w:jc w:val="center"/>
      </w:pPr>
      <w:r>
        <w:rPr>
          <w:i/>
          <w:color w:val="556070"/>
          <w:sz w:val="21"/>
        </w:rPr>
        <w:t>Prepared for SCALEX Pursuit 2026 — Supporting Artefact  |  Editable working copy (Word)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color w:val="0F2440"/>
          <w:sz w:val="36"/>
        </w:rPr>
        <w:t>Table of Contents</w:t>
      </w:r>
    </w:p>
    <w:p>
      <w:pPr>
        <w:pStyle w:val="ListBullet"/>
      </w:pPr>
      <w:r>
        <w:rPr>
          <w:rFonts w:ascii="Segoe UI" w:hAnsi="Segoe UI"/>
          <w:sz w:val="22"/>
        </w:rPr>
        <w:t>1. Executive Summary</w:t>
      </w:r>
    </w:p>
    <w:p>
      <w:pPr>
        <w:pStyle w:val="ListBullet"/>
      </w:pPr>
      <w:r>
        <w:rPr>
          <w:rFonts w:ascii="Segoe UI" w:hAnsi="Segoe UI"/>
          <w:sz w:val="22"/>
        </w:rPr>
        <w:t>2. System Architecture Diagram</w:t>
      </w:r>
    </w:p>
    <w:p>
      <w:pPr>
        <w:pStyle w:val="ListBullet"/>
      </w:pPr>
      <w:r>
        <w:rPr>
          <w:rFonts w:ascii="Segoe UI" w:hAnsi="Segoe UI"/>
          <w:sz w:val="22"/>
        </w:rPr>
        <w:t>3. Layer-by-Layer Component Description</w:t>
      </w:r>
    </w:p>
    <w:p>
      <w:pPr>
        <w:pStyle w:val="ListBullet"/>
      </w:pPr>
      <w:r>
        <w:rPr>
          <w:rFonts w:ascii="Segoe UI" w:hAnsi="Segoe UI"/>
          <w:sz w:val="22"/>
        </w:rPr>
        <w:t>4. Data Model — Entity-Relationship Overview</w:t>
      </w:r>
    </w:p>
    <w:p>
      <w:pPr>
        <w:pStyle w:val="ListBullet"/>
      </w:pPr>
      <w:r>
        <w:rPr>
          <w:rFonts w:ascii="Segoe UI" w:hAnsi="Segoe UI"/>
          <w:sz w:val="22"/>
        </w:rPr>
        <w:t>5. Technology Stack</w:t>
      </w:r>
    </w:p>
    <w:p>
      <w:pPr>
        <w:pStyle w:val="ListBullet"/>
      </w:pPr>
      <w:r>
        <w:rPr>
          <w:rFonts w:ascii="Segoe UI" w:hAnsi="Segoe UI"/>
          <w:sz w:val="22"/>
        </w:rPr>
        <w:t>6. Security &amp; Compliance Posture</w:t>
      </w:r>
    </w:p>
    <w:p/>
    <w:p>
      <w:pPr>
        <w:pStyle w:val="Heading1"/>
      </w:pPr>
      <w:r>
        <w:rPr>
          <w:rFonts w:ascii="Segoe UI" w:hAnsi="Segoe UI"/>
          <w:color w:val="0F2440"/>
          <w:sz w:val="36"/>
        </w:rPr>
        <w:t>1. Executive Summary</w:t>
      </w:r>
    </w:p>
    <w:p>
      <w:pPr>
        <w:spacing w:after="160"/>
      </w:pPr>
      <w:r>
        <w:rPr>
          <w:rFonts w:ascii="Segoe UI" w:hAnsi="Segoe UI"/>
          <w:b w:val="0"/>
          <w:i w:val="0"/>
          <w:sz w:val="22"/>
        </w:rPr>
        <w:t>Data Alchemist is an agentic data quality and trust platform built on a five-layer architecture: a browser-transpiled React SPA, a FastAPI application layer, an intelligence layer combining one LangGraph multi-step agent with three governed LLM-service modules, a connector abstraction layer supporting five database platforms, and a PostgreSQL metadata store spanning 36 versioned schema migrations.</w:t>
      </w:r>
    </w:p>
    <w:p>
      <w:pPr>
        <w:spacing w:after="160"/>
      </w:pPr>
      <w:r>
        <w:rPr>
          <w:rFonts w:ascii="Segoe UI" w:hAnsi="Segoe UI"/>
          <w:b w:val="0"/>
          <w:i w:val="0"/>
          <w:sz w:val="22"/>
        </w:rPr>
        <w:t>The platform's central design decision is strict separation between AI-assisted authoring and deterministic execution: profiling, rule recommendation, and anomaly/failure explanation use an LLM (via a swappable LiteLLM gateway); rule execution and scoring are pure, deterministic SQL with no LLM involvement. Every AI output is either structurally validated before a human sees it, or requires explicit human approval before it changes system state.</w:t>
      </w:r>
    </w:p>
    <w:p>
      <w:pPr>
        <w:spacing w:after="160"/>
      </w:pPr>
      <w:r>
        <w:rPr>
          <w:rFonts w:ascii="Segoe UI" w:hAnsi="Segoe UI"/>
          <w:b/>
          <w:i w:val="0"/>
          <w:color w:val="0F2440"/>
          <w:sz w:val="22"/>
        </w:rPr>
        <w:t>Verified footprint at time of writing: 11 frontend screens · 12 API routers · 94 REST endpoints · 5 live database connectors · 4 backend agent/service modules · 36 PostgreSQL schema migrations · 30 database tables.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color w:val="0F2440"/>
          <w:sz w:val="36"/>
        </w:rPr>
        <w:t>2. System Architecture Diagram</w:t>
      </w:r>
    </w:p>
    <w:p>
      <w:r>
        <w:drawing>
          <wp:inline xmlns:a="http://schemas.openxmlformats.org/drawingml/2006/main" xmlns:pic="http://schemas.openxmlformats.org/drawingml/2006/picture">
            <wp:extent cx="6120000" cy="3234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arch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34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Segoe UI" w:hAnsi="Segoe UI"/>
          <w:color w:val="0F2440"/>
          <w:sz w:val="36"/>
        </w:rPr>
        <w:t>3. Layer-by-Layer Component Description</w:t>
      </w:r>
    </w:p>
    <w:p>
      <w:pPr>
        <w:pStyle w:val="Heading2"/>
      </w:pPr>
      <w:r>
        <w:rPr>
          <w:rFonts w:ascii="Segoe UI" w:hAnsi="Segoe UI"/>
          <w:color w:val="0F2440"/>
          <w:sz w:val="26"/>
        </w:rPr>
        <w:t>01 · Client Layer — React 18 SPA</w:t>
      </w:r>
    </w:p>
    <w:p>
      <w:pPr>
        <w:spacing w:after="160"/>
      </w:pPr>
      <w:r>
        <w:rPr>
          <w:rFonts w:ascii="Segoe UI" w:hAnsi="Segoe UI"/>
          <w:b w:val="0"/>
          <w:i w:val="0"/>
          <w:sz w:val="22"/>
        </w:rPr>
        <w:t>11 workflow screens (Profiling, Rules, Execution, Anomalies, Dashboard, Lineage/Impact, Simulator, Intel, Metadata, Connections, Tasks), transpiled in-browser via Babel — there is no frontend build step. Served through an nginx reverse proxy configured with proxy_buffering off to support real-time Server-Sent Events for long-running agent operations.</w:t>
      </w:r>
    </w:p>
    <w:p>
      <w:pPr>
        <w:pStyle w:val="Heading2"/>
      </w:pPr>
      <w:r>
        <w:rPr>
          <w:rFonts w:ascii="Segoe UI" w:hAnsi="Segoe UI"/>
          <w:color w:val="0F2440"/>
          <w:sz w:val="26"/>
        </w:rPr>
        <w:t>02 · Application Layer — FastAPI</w:t>
      </w:r>
    </w:p>
    <w:p>
      <w:pPr>
        <w:spacing w:after="160"/>
      </w:pPr>
      <w:r>
        <w:rPr>
          <w:rFonts w:ascii="Segoe UI" w:hAnsi="Segoe UI"/>
          <w:b w:val="0"/>
          <w:i w:val="0"/>
          <w:sz w:val="22"/>
        </w:rPr>
        <w:t>12 API routers exposing 94 REST endpoints. Authentication supports two paths simultaneously: local email/password (bcrypt-hashed, JWT bearer tokens) and Microsoft Entra ID SSO (OAuth2 Authorization Code + PKCE). Every table in the metadata store — with one deliberate exception (the shared simulation-scenario library) — carries a connection_id foreign key.</w:t>
      </w:r>
    </w:p>
    <w:p>
      <w:pPr>
        <w:pStyle w:val="Heading2"/>
      </w:pPr>
      <w:r>
        <w:rPr>
          <w:rFonts w:ascii="Segoe UI" w:hAnsi="Segoe UI"/>
          <w:color w:val="0F2440"/>
          <w:sz w:val="26"/>
        </w:rPr>
        <w:t>03 · Intelligence Layer — Agents &amp; Services</w:t>
      </w:r>
    </w:p>
    <w:p>
      <w:pPr>
        <w:pStyle w:val="ListBullet"/>
      </w:pPr>
      <w:r>
        <w:rPr>
          <w:rFonts w:ascii="Segoe UI" w:hAnsi="Segoe UI"/>
          <w:sz w:val="22"/>
        </w:rPr>
        <w:t>Profiling Agent — the only true LangGraph StateGraph in the codebase: an 11-node pipeline (fetch_schema → compute_null_stats → compute_distinct → check_referential_integrity → check_key_duplicates → compute_formats → compute_numerics → detect_duplicates → score_table → identify_risks → generate_summary).</w:t>
      </w:r>
    </w:p>
    <w:p>
      <w:pPr>
        <w:pStyle w:val="ListBullet"/>
      </w:pPr>
      <w:r>
        <w:rPr>
          <w:rFonts w:ascii="Segoe UI" w:hAnsi="Segoe UI"/>
          <w:sz w:val="22"/>
        </w:rPr>
        <w:t>Rule Recommendation — LLM-proposed rules in structured JSON, validated by 7 deterministic static-analysis checks before reaching a human reviewer.</w:t>
      </w:r>
    </w:p>
    <w:p>
      <w:pPr>
        <w:pStyle w:val="ListBullet"/>
      </w:pPr>
      <w:r>
        <w:rPr>
          <w:rFonts w:ascii="Segoe UI" w:hAnsi="Segoe UI"/>
          <w:sz w:val="22"/>
        </w:rPr>
        <w:t>Execution Engine — deliberately contains no LLM call; runs already-approved rules as parameterized SQL.</w:t>
      </w:r>
    </w:p>
    <w:p>
      <w:pPr>
        <w:pStyle w:val="ListBullet"/>
      </w:pPr>
      <w:r>
        <w:rPr>
          <w:rFonts w:ascii="Segoe UI" w:hAnsi="Segoe UI"/>
          <w:sz w:val="22"/>
        </w:rPr>
        <w:t>Explainability — converts technical anomaly and rule-failure records into plain-English narratives via LLM, logged to the AI usage ledger.</w:t>
      </w:r>
    </w:p>
    <w:p>
      <w:pPr>
        <w:spacing w:after="160"/>
      </w:pPr>
      <w:r>
        <w:rPr>
          <w:rFonts w:ascii="Segoe UI" w:hAnsi="Segoe UI"/>
          <w:b w:val="0"/>
          <w:i w:val="0"/>
          <w:sz w:val="22"/>
        </w:rPr>
        <w:t>LiteLLM Gateway: every LLM call routes through one abstraction layer. The active model (Claude Sonnet by default) is swapped for GPT-4o, Gemini, or a local Ollama model via a single environment variable — zero code changes at any call site.</w:t>
      </w:r>
    </w:p>
    <w:p>
      <w:pPr>
        <w:pStyle w:val="Heading2"/>
      </w:pPr>
      <w:r>
        <w:rPr>
          <w:rFonts w:ascii="Segoe UI" w:hAnsi="Segoe UI"/>
          <w:color w:val="0F2440"/>
          <w:sz w:val="26"/>
        </w:rPr>
        <w:t>04 · Connector Abstraction Layer</w:t>
      </w:r>
    </w:p>
    <w:p>
      <w:pPr>
        <w:spacing w:after="160"/>
      </w:pPr>
      <w:r>
        <w:rPr>
          <w:rFonts w:ascii="Segoe UI" w:hAnsi="Segoe UI"/>
          <w:b w:val="0"/>
          <w:i w:val="0"/>
          <w:sz w:val="22"/>
        </w:rPr>
        <w:t>A single BaseConnector interface (test · list_schemas · list_tables · describe_table · query) with five concrete implementations: SQL Server, Snowflake, Databricks, PostgreSQL, DuckDB.</w:t>
      </w:r>
    </w:p>
    <w:p>
      <w:pPr>
        <w:pStyle w:val="Heading2"/>
      </w:pPr>
      <w:r>
        <w:rPr>
          <w:rFonts w:ascii="Segoe UI" w:hAnsi="Segoe UI"/>
          <w:color w:val="0F2440"/>
          <w:sz w:val="26"/>
        </w:rPr>
        <w:t>05 · Data Source Layer</w:t>
      </w:r>
    </w:p>
    <w:p>
      <w:pPr>
        <w:spacing w:after="160"/>
      </w:pPr>
      <w:r>
        <w:rPr>
          <w:rFonts w:ascii="Segoe UI" w:hAnsi="Segoe UI"/>
          <w:b w:val="0"/>
          <w:i w:val="0"/>
          <w:sz w:val="22"/>
        </w:rPr>
        <w:t>Client warehouses are accessed read-only through the connector layer; credentials are Fernet-encrypted before they ever reach the metadata store.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color w:val="0F2440"/>
          <w:sz w:val="36"/>
        </w:rPr>
        <w:t>4. Data Model — Entity-Relationship Overview</w:t>
      </w:r>
    </w:p>
    <w:p>
      <w:r>
        <w:drawing>
          <wp:inline xmlns:a="http://schemas.openxmlformats.org/drawingml/2006/main" xmlns:pic="http://schemas.openxmlformats.org/drawingml/2006/picture">
            <wp:extent cx="6120000" cy="32210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er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21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Segoe UI" w:hAnsi="Segoe UI"/>
          <w:b w:val="0"/>
          <w:i w:val="0"/>
          <w:color w:val="556070"/>
          <w:sz w:val="19"/>
        </w:rPr>
        <w:t>Full column-level detail for every table is available in the migration files (backend/db/schemas/*.sql, 36 files, numbered and auto-applied at startup).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color w:val="0F2440"/>
          <w:sz w:val="36"/>
        </w:rPr>
        <w:t>5.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0F2440"/>
          </w:tcPr>
          <w:p>
            <w:r/>
            <w:r>
              <w:rPr>
                <w:b/>
                <w:color w:val="FFFFFF"/>
                <w:sz w:val="21"/>
              </w:rPr>
              <w:t>Layer</w:t>
            </w:r>
          </w:p>
        </w:tc>
        <w:tc>
          <w:tcPr>
            <w:tcW w:type="dxa" w:w="3289"/>
            <w:shd w:fill="0F2440"/>
          </w:tcPr>
          <w:p>
            <w:r/>
            <w:r>
              <w:rPr>
                <w:b/>
                <w:color w:val="FFFFFF"/>
                <w:sz w:val="21"/>
              </w:rPr>
              <w:t>Technology</w:t>
            </w:r>
          </w:p>
        </w:tc>
        <w:tc>
          <w:tcPr>
            <w:tcW w:type="dxa" w:w="3289"/>
            <w:shd w:fill="0F2440"/>
          </w:tcPr>
          <w:p>
            <w:r/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Frontend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React 18 + Babel (in-browser)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No bundler/build step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Reverse proxy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nginx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proxy_buffering off for SSE streaming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Backend framework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Python 3.11 · FastAPI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12 routers, 94 endpoints, OpenAPI/Swagger auto-generated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Agent orchestration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LangGraph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StateGraph used for the Profiling Agent’s 11-node pipeline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LLM abstraction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LiteLLM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Anthropic, OpenAI, Azure OpenAI, Gemini, Ollama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Metadata database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PostgreSQL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36 versioned migrations, auto-applied at startup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Auth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bcrypt + JWT · Microsoft Entra ID (OAuth2/PKCE)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Both paths supported simultaneously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Credential storage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Fernet symmetric encryption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Encrypted at rest, decrypted only in-process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Containerization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Docker Compose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postgres · backend · frontend services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Connectors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SQL Server, Snowflake, Databricks, PostgreSQL, DuckDB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Common BaseConnector interface</w:t>
            </w:r>
          </w:p>
        </w:tc>
      </w:tr>
    </w:tbl>
    <w:p/>
    <w:p>
      <w:pPr>
        <w:pStyle w:val="Heading1"/>
      </w:pPr>
      <w:r>
        <w:rPr>
          <w:rFonts w:ascii="Segoe UI" w:hAnsi="Segoe UI"/>
          <w:color w:val="0F2440"/>
          <w:sz w:val="36"/>
        </w:rPr>
        <w:t>6. Security &amp; Compliance Posture</w:t>
      </w:r>
    </w:p>
    <w:p>
      <w:pPr>
        <w:pStyle w:val="ListBullet"/>
      </w:pPr>
      <w:r>
        <w:rPr>
          <w:rFonts w:ascii="Segoe UI" w:hAnsi="Segoe UI"/>
          <w:sz w:val="22"/>
        </w:rPr>
        <w:t>Credentials: Fernet-encrypted at rest; never returned by any API response or written to logs.</w:t>
      </w:r>
    </w:p>
    <w:p>
      <w:pPr>
        <w:pStyle w:val="ListBullet"/>
      </w:pPr>
      <w:r>
        <w:rPr>
          <w:rFonts w:ascii="Segoe UI" w:hAnsi="Segoe UI"/>
          <w:sz w:val="22"/>
        </w:rPr>
        <w:t>Authentication: bcrypt password hashing, JWT bearer tokens, and Microsoft Entra ID SSO (OAuth2 + PKCE).</w:t>
      </w:r>
    </w:p>
    <w:p>
      <w:pPr>
        <w:pStyle w:val="ListBullet"/>
      </w:pPr>
      <w:r>
        <w:rPr>
          <w:rFonts w:ascii="Segoe UI" w:hAnsi="Segoe UI"/>
          <w:sz w:val="22"/>
        </w:rPr>
        <w:t>Tenant isolation: 28 of 29 satellite tables carry a connection_id foreign key.</w:t>
      </w:r>
    </w:p>
    <w:p>
      <w:pPr>
        <w:pStyle w:val="ListBullet"/>
      </w:pPr>
      <w:r>
        <w:rPr>
          <w:rFonts w:ascii="Segoe UI" w:hAnsi="Segoe UI"/>
          <w:sz w:val="22"/>
        </w:rPr>
        <w:t>Auditability: an immutable audit_trail table records every human decision with old/new value snapshots.</w:t>
      </w:r>
    </w:p>
    <w:p>
      <w:pPr>
        <w:pStyle w:val="ListBullet"/>
      </w:pPr>
      <w:r>
        <w:rPr>
          <w:rFonts w:ascii="Segoe UI" w:hAnsi="Segoe UI"/>
          <w:sz w:val="22"/>
        </w:rPr>
        <w:t>AI governance: every LLM call is logged to ai_usage_log; LLM-proposed rules pass 7 static-analysis checks.</w:t>
      </w:r>
    </w:p>
    <w:p>
      <w:pPr>
        <w:pStyle w:val="ListBullet"/>
      </w:pPr>
      <w:r>
        <w:rPr>
          <w:rFonts w:ascii="Segoe UI" w:hAnsi="Segoe UI"/>
          <w:sz w:val="22"/>
        </w:rPr>
        <w:t>Data minimization: connectors read schema metadata and bounded samples; no bulk-export path off the platform.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