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A1FA2"/>
          <w:sz w:val="22"/>
        </w:rPr>
        <w:t>PRODUCT &amp; CAPABILITY DATASHEET</w:t>
      </w:r>
    </w:p>
    <w:p>
      <w:pPr>
        <w:jc w:val="center"/>
      </w:pPr>
      <w:r>
        <w:rPr>
          <w:b/>
          <w:color w:val="0F2440"/>
          <w:sz w:val="64"/>
        </w:rPr>
        <w:t>Data Alchemist</w:t>
      </w:r>
    </w:p>
    <w:p>
      <w:pPr>
        <w:jc w:val="center"/>
      </w:pPr>
      <w:r>
        <w:rPr>
          <w:color w:val="556070"/>
          <w:sz w:val="26"/>
        </w:rPr>
        <w:t>Agentic Data Quality &amp; Trust Platform — capability, connector, and governance reference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Module-by-Module Capability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AI-assisted?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Profiling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Autonomous data quality profiling — 11-check LangGraph pipeline: nulls, duplicates (whole-row and key-based), referential orphans, schema drift, format patterns, numeric distributions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Narrative only — checks are deterministic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Rule Studio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DQ rule authoring — AI-recommended rules and natural-language-to-SQL conversion, both gated by 7 static-analysis checks and human approval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DQ Execution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Runs approved rules as deterministic SQL, computes weighted per-table quality scores, captures sample failed records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8A1F38"/>
                <w:sz w:val="20"/>
              </w:rPr>
              <w:t>No — by design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Anomaly Inbox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Volume, distribution, segment, and freshness anomaly detection with plain-English root-cause narratives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Trust Dashboard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Cross-module trust score, CDE health, and an AI usage/cost transparency panel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Aggregation only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Impact Graph (Lineage)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Table- and column-level lineage discovery (declared FK + query-log inference), downstream-impact narratives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Scenario Simulator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Sandboxed "what-if" incident injection, LLM classification of scenario type, zero writes to production tables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Pre-run Advisory / Trust Receipt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Predicted trust score before a pipeline run; a per-query data-quality "nutrition label"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Dictionary &amp; CDEs (Metadata)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AI-suggested column business descriptions with steward approve/edit/reject workflow; CDE promotion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Yes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Connections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Multi-platform connection management, Fernet-encrypted credentials, live connectivity testing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8A1F38"/>
                <w:sz w:val="20"/>
              </w:rPr>
              <w:t>No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Task Board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Human task queue linked back to the specific rule, anomaly, or CDE that generated it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8A1F38"/>
                <w:sz w:val="20"/>
              </w:rPr>
              <w:t>No</w:t>
            </w:r>
          </w:p>
        </w:tc>
      </w:tr>
    </w:tbl>
    <w:p>
      <w:pPr>
        <w:spacing w:after="160"/>
      </w:pPr>
      <w:r>
        <w:rPr>
          <w:rFonts w:ascii="Segoe UI" w:hAnsi="Segoe UI"/>
          <w:b w:val="0"/>
          <w:color w:val="556070"/>
          <w:sz w:val="19"/>
        </w:rPr>
        <w:t>"AI-assisted" reflects whether an LLM call is in the module's normal path — every module's execution and scoring logic is deterministic regardless.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Connector &amp; LLM Provider Matrix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Database Connectors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Auth Types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SQL Server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SQL auth, Windows auth, Azure AD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Supported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Snowflake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Username/password, key pair, OAuth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Supported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Databricks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Personal access token, OAuth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Supported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Username/password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Supported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DuckDB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File path or in-memory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Supported</w:t>
            </w:r>
          </w:p>
        </w:tc>
      </w:tr>
    </w:tbl>
    <w:p>
      <w:pPr>
        <w:spacing w:after="160"/>
      </w:pPr>
      <w:r>
        <w:rPr>
          <w:rFonts w:ascii="Segoe UI" w:hAnsi="Segoe UI"/>
          <w:b w:val="0"/>
          <w:sz w:val="22"/>
        </w:rPr>
        <w:t>Adding a new platform means implementing the 5-method BaseConnector interface and registering it in registry.py — no changes anywhere else in the agent, API, or UI layers.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LLM Providers (via LiteLLM gateway)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Provider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Example model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Switch method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Claude Sonnet (default)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LLM_PROVIDER=anthropic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GPT-4o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LLM_PROVIDER=openai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Azure OpenAI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Azure-hosted GPT models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LLM_PROVIDER=azure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Google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Gemini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LLM_PROVIDER=gemini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Ollama (self-hosted)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Any local open model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LLM_PROVIDER=ollama</w:t>
            </w:r>
          </w:p>
        </w:tc>
      </w:tr>
    </w:tbl>
    <w:p>
      <w:pPr>
        <w:spacing w:after="160"/>
      </w:pPr>
      <w:r>
        <w:rPr>
          <w:rFonts w:ascii="Segoe UI" w:hAnsi="Segoe UI"/>
          <w:b/>
          <w:color w:val="4A2F86"/>
          <w:sz w:val="22"/>
        </w:rPr>
        <w:t>One environment variable swaps the model platform-wide — no code changes, no redeployment of individual modules. This matters for clients with data-sovereignty or model-choice requirements.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AI Governance &amp; Security Overview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AI Governance</w:t>
      </w:r>
    </w:p>
    <w:p>
      <w:pPr>
        <w:pStyle w:val="ListBullet"/>
      </w:pPr>
      <w:r>
        <w:rPr>
          <w:rFonts w:ascii="Segoe UI" w:hAnsi="Segoe UI"/>
          <w:sz w:val="22"/>
        </w:rPr>
        <w:t>7+ explicit human decision gates across the platform — rule approve/reject, risk suppress/note, metadata dictionary decide, anomaly acknowledge, lineage edge approve/reject, task management.</w:t>
      </w:r>
    </w:p>
    <w:p>
      <w:pPr>
        <w:pStyle w:val="ListBullet"/>
      </w:pPr>
      <w:r>
        <w:rPr>
          <w:rFonts w:ascii="Segoe UI" w:hAnsi="Segoe UI"/>
          <w:sz w:val="22"/>
        </w:rPr>
        <w:t>Full cost transparency — every LLM call is logged with model, token counts, and cost to ai_usage_log, visible on the Trust Dashboard's Cost &amp; Governance panel.</w:t>
      </w:r>
    </w:p>
    <w:p>
      <w:pPr>
        <w:pStyle w:val="ListBullet"/>
      </w:pPr>
      <w:r>
        <w:rPr>
          <w:rFonts w:ascii="Segoe UI" w:hAnsi="Segoe UI"/>
          <w:sz w:val="22"/>
        </w:rPr>
        <w:t>Zero fine-tuning — all reasoning runs over live schema and profiling data pulled at request time.</w:t>
      </w:r>
    </w:p>
    <w:p>
      <w:pPr>
        <w:pStyle w:val="ListBullet"/>
      </w:pPr>
      <w:r>
        <w:rPr>
          <w:rFonts w:ascii="Segoe UI" w:hAnsi="Segoe UI"/>
          <w:sz w:val="22"/>
        </w:rPr>
        <w:t>Structural validation before human review — LLM-proposed rules pass 7 deterministic static-analysis checks before a human ever sees them.</w:t>
      </w:r>
    </w:p>
    <w:p>
      <w:pPr>
        <w:pStyle w:val="ListBullet"/>
      </w:pPr>
      <w:r>
        <w:rPr>
          <w:rFonts w:ascii="Segoe UI" w:hAnsi="Segoe UI"/>
          <w:sz w:val="22"/>
        </w:rPr>
        <w:t>Deterministic execution path — rule execution and quality scoring are 100% SQL, with no LLM in the runtime hot path.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Security &amp; Compliance</w:t>
      </w:r>
    </w:p>
    <w:p>
      <w:pPr>
        <w:pStyle w:val="ListBullet"/>
      </w:pPr>
      <w:r>
        <w:rPr>
          <w:rFonts w:ascii="Segoe UI" w:hAnsi="Segoe UI"/>
          <w:sz w:val="22"/>
        </w:rPr>
        <w:t>Credential protection: Fernet symmetric encryption at rest; credentials are never returned by any API response or written to logs.</w:t>
      </w:r>
    </w:p>
    <w:p>
      <w:pPr>
        <w:pStyle w:val="ListBullet"/>
      </w:pPr>
      <w:r>
        <w:rPr>
          <w:rFonts w:ascii="Segoe UI" w:hAnsi="Segoe UI"/>
          <w:sz w:val="22"/>
        </w:rPr>
        <w:t>Authentication: bcrypt password hashing and JWT bearer tokens for local accounts; Microsoft Entra ID SSO (OAuth2 + PKCE) for enterprise identity.</w:t>
      </w:r>
    </w:p>
    <w:p>
      <w:pPr>
        <w:pStyle w:val="ListBullet"/>
      </w:pPr>
      <w:r>
        <w:rPr>
          <w:rFonts w:ascii="Segoe UI" w:hAnsi="Segoe UI"/>
          <w:sz w:val="22"/>
        </w:rPr>
        <w:t>Tenant isolation: 28 of 29 satellite database tables carry a connection_id foreign key.</w:t>
      </w:r>
    </w:p>
    <w:p>
      <w:pPr>
        <w:pStyle w:val="ListBullet"/>
      </w:pPr>
      <w:r>
        <w:rPr>
          <w:rFonts w:ascii="Segoe UI" w:hAnsi="Segoe UI"/>
          <w:sz w:val="22"/>
        </w:rPr>
        <w:t>Auditability: an immutable audit_trail table records every human decision with before/after value snapshots.</w:t>
      </w:r>
    </w:p>
    <w:p>
      <w:pPr>
        <w:pStyle w:val="ListBullet"/>
      </w:pPr>
      <w:r>
        <w:rPr>
          <w:rFonts w:ascii="Segoe UI" w:hAnsi="Segoe UI"/>
          <w:sz w:val="22"/>
        </w:rPr>
        <w:t>Data minimization: connectors read schema metadata and bounded samples; no bulk-export path off the platform.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