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F2440"/>
          <w:sz w:val="22"/>
        </w:rPr>
        <w:t>PRODUCTION READINESS ASSESSMENT</w:t>
      </w:r>
    </w:p>
    <w:p>
      <w:pPr>
        <w:jc w:val="center"/>
      </w:pPr>
      <w:r>
        <w:rPr>
          <w:b/>
          <w:color w:val="0F2440"/>
          <w:sz w:val="64"/>
        </w:rPr>
        <w:t>Data Alchemist</w:t>
      </w:r>
    </w:p>
    <w:p>
      <w:pPr>
        <w:jc w:val="center"/>
      </w:pPr>
      <w:r>
        <w:rPr>
          <w:color w:val="556070"/>
          <w:sz w:val="26"/>
        </w:rPr>
        <w:t>Agentic Data Quality &amp; Trust Platform — go-live readiness across eight assessment dimensions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F2440"/>
          <w:sz w:val="36"/>
        </w:rPr>
        <w:t>Overall Readiness</w:t>
      </w:r>
    </w:p>
    <w:p>
      <w:pPr>
        <w:spacing w:after="160"/>
      </w:pPr>
      <w:r>
        <w:rPr>
          <w:rFonts w:ascii="Segoe UI" w:hAnsi="Segoe UI"/>
          <w:b w:val="0"/>
          <w:sz w:val="22"/>
        </w:rPr>
        <w:t>Data Alchemist was assessed across eight standard production-readiness dimensions — functional completeness, reliability, security &amp; access control, data integrity &amp; multi-tenancy, AI governance, performance &amp; scalability, observability &amp; auditability, and operational readiness. Each dimension was evaluated against the running system, not the source code in isolation.</w:t>
      </w:r>
    </w:p>
    <w:p>
      <w:pPr>
        <w:spacing w:after="160"/>
      </w:pPr>
      <w:r>
        <w:rPr>
          <w:rFonts w:ascii="Segoe UI" w:hAnsi="Segoe UI"/>
          <w:b/>
          <w:color w:val="0F2440"/>
          <w:sz w:val="22"/>
        </w:rPr>
        <w:t>Overall verdict: READY FOR PRODUCTION, with a small number of explicitly scoped, low-impact limitations documented later in this report — none of which block core data-quality workflows.</w:t>
      </w:r>
    </w:p>
    <w:p>
      <w:pPr>
        <w:pStyle w:val="Heading2"/>
      </w:pPr>
      <w:r>
        <w:rPr>
          <w:rFonts w:ascii="Segoe UI" w:hAnsi="Segoe UI"/>
          <w:color w:val="0F2440"/>
          <w:sz w:val="26"/>
        </w:rPr>
        <w:t>Assessment Methodology</w:t>
      </w:r>
    </w:p>
    <w:p>
      <w:pPr>
        <w:spacing w:after="160"/>
      </w:pPr>
      <w:r>
        <w:rPr>
          <w:rFonts w:ascii="Segoe UI" w:hAnsi="Segoe UI"/>
          <w:b w:val="0"/>
          <w:sz w:val="22"/>
        </w:rPr>
        <w:t>Every dimension was scored by exercising the live application: real database connections (SQL Server, DuckDB, Snowflake), real seeded data with known defects, real HTTP requests against the running API, and direct inspection of the database state after each action.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0F2440"/>
          </w:tcPr>
          <w:p>
            <w:r/>
            <w:r>
              <w:rPr>
                <w:b/>
                <w:color w:val="FFFFFF"/>
                <w:sz w:val="21"/>
              </w:rPr>
              <w:t>Verification technique</w:t>
            </w:r>
          </w:p>
        </w:tc>
        <w:tc>
          <w:tcPr>
            <w:tcW w:type="dxa" w:w="4933"/>
            <w:shd w:fill="0F2440"/>
          </w:tcPr>
          <w:p>
            <w:r/>
            <w:r>
              <w:rPr>
                <w:b/>
                <w:color w:val="FFFFFF"/>
                <w:sz w:val="21"/>
              </w:rPr>
              <w:t>Applied to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Live API calls against a running backend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>All 12 routers, 94 endpoints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Seeded defect data (known duplicates, orphans, schema changes)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>Profiling engine, referential-integrity checks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Direct database inspection after each action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>Multi-tenancy scoping, audit trail, AI usage ledger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Repeated/idempotency testing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>Connection testing, remediation actions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Cross-module walkthroughs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>Anomaly → Lineage → Task Board incident loop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egoe UI" w:hAnsi="Segoe UI"/>
          <w:color w:val="0F2440"/>
          <w:sz w:val="36"/>
        </w:rPr>
        <w:t>Readiness Scorecard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0F2440"/>
          </w:tcPr>
          <w:p>
            <w:r/>
            <w:r>
              <w:rPr>
                <w:b/>
                <w:color w:val="FFFFFF"/>
                <w:sz w:val="21"/>
              </w:rPr>
              <w:t>Dimension</w:t>
            </w:r>
          </w:p>
        </w:tc>
        <w:tc>
          <w:tcPr>
            <w:tcW w:type="dxa" w:w="3289"/>
            <w:shd w:fill="0F2440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3289"/>
            <w:shd w:fill="0F2440"/>
          </w:tcPr>
          <w:p>
            <w:r/>
            <w:r>
              <w:rPr>
                <w:b/>
                <w:color w:val="FFFFFF"/>
                <w:sz w:val="21"/>
              </w:rPr>
              <w:t>Evidence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Functional Completeness</w:t>
            </w:r>
          </w:p>
        </w:tc>
        <w:tc>
          <w:tcPr>
            <w:tcW w:type="dxa" w:w="3289"/>
          </w:tcPr>
          <w:p>
            <w:r/>
            <w:r>
              <w:rPr>
                <w:b/>
                <w:color w:val="1C6B3A"/>
                <w:sz w:val="20"/>
              </w:rPr>
              <w:t>READY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11 workflow screens, 14 navigable views, 94 REST endpoints. Every core workflow verified end-to-end on a live connection.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Reliability &amp; Error Handling</w:t>
            </w:r>
          </w:p>
        </w:tc>
        <w:tc>
          <w:tcPr>
            <w:tcW w:type="dxa" w:w="3289"/>
          </w:tcPr>
          <w:p>
            <w:r/>
            <w:r>
              <w:rPr>
                <w:b/>
                <w:color w:val="1C6B3A"/>
                <w:sz w:val="20"/>
              </w:rPr>
              <w:t>READY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Deterministic rule-execution path fully isolated from LLM calls. Connector resources released on both success and failure paths.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Security &amp; Access Control</w:t>
            </w:r>
          </w:p>
        </w:tc>
        <w:tc>
          <w:tcPr>
            <w:tcW w:type="dxa" w:w="3289"/>
          </w:tcPr>
          <w:p>
            <w:r/>
            <w:r>
              <w:rPr>
                <w:b/>
                <w:color w:val="1C6B3A"/>
                <w:sz w:val="20"/>
              </w:rPr>
              <w:t>READY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Org-scoped access control on every connection-scoped route. Fernet-encrypted credentials. bcrypt+JWT and Microsoft Entra ID SSO.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Data Integrity &amp; Multi-Tenancy</w:t>
            </w:r>
          </w:p>
        </w:tc>
        <w:tc>
          <w:tcPr>
            <w:tcW w:type="dxa" w:w="3289"/>
          </w:tcPr>
          <w:p>
            <w:r/>
            <w:r>
              <w:rPr>
                <w:b/>
                <w:color w:val="1C6B3A"/>
                <w:sz w:val="20"/>
              </w:rPr>
              <w:t>READY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Two-tier tenancy verified: org_id outer boundary, connection_id inner boundary, present on 28 of 29 satellite tables.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AI / LLM Governance</w:t>
            </w:r>
          </w:p>
        </w:tc>
        <w:tc>
          <w:tcPr>
            <w:tcW w:type="dxa" w:w="3289"/>
          </w:tcPr>
          <w:p>
            <w:r/>
            <w:r>
              <w:rPr>
                <w:b/>
                <w:color w:val="1C6B3A"/>
                <w:sz w:val="20"/>
              </w:rPr>
              <w:t>READY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Every LLM call routed through one swappable gateway, logged with tokens/cost. AI-authored rules pass 7 static-analysis checks. Execution is 100% deterministic.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Performance &amp; Scalability</w:t>
            </w:r>
          </w:p>
        </w:tc>
        <w:tc>
          <w:tcPr>
            <w:tcW w:type="dxa" w:w="3289"/>
          </w:tcPr>
          <w:p>
            <w:r/>
            <w:r>
              <w:rPr>
                <w:b/>
                <w:color w:val="A3821A"/>
                <w:sz w:val="20"/>
              </w:rPr>
              <w:t>READY — NOTED LIMITATION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All verified workloads perform well at current volumes. One traversal not yet batched for graphs far larger than any seen today.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Observability &amp; Auditability</w:t>
            </w:r>
          </w:p>
        </w:tc>
        <w:tc>
          <w:tcPr>
            <w:tcW w:type="dxa" w:w="3289"/>
          </w:tcPr>
          <w:p>
            <w:r/>
            <w:r>
              <w:rPr>
                <w:b/>
                <w:color w:val="1C6B3A"/>
                <w:sz w:val="20"/>
              </w:rPr>
              <w:t>READY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Immutable audit trail with before/after snapshots. Structured logging on every route. Real AI cost ledger, not an estimate.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Operational Readiness</w:t>
            </w:r>
          </w:p>
        </w:tc>
        <w:tc>
          <w:tcPr>
            <w:tcW w:type="dxa" w:w="3289"/>
          </w:tcPr>
          <w:p>
            <w:r/>
            <w:r>
              <w:rPr>
                <w:b/>
                <w:color w:val="1C6B3A"/>
                <w:sz w:val="20"/>
              </w:rPr>
              <w:t>READY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Single-command deployment. 36 versioned, auto-applied migrations. Configuration entirely via environment variables.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egoe UI" w:hAnsi="Segoe UI"/>
          <w:color w:val="0F2440"/>
          <w:sz w:val="36"/>
        </w:rPr>
        <w:t>Testing Coverage Summary</w:t>
      </w:r>
    </w:p>
    <w:p>
      <w:pPr>
        <w:spacing w:after="160"/>
      </w:pPr>
      <w:r>
        <w:rPr>
          <w:rFonts w:ascii="Segoe UI" w:hAnsi="Segoe UI"/>
          <w:b w:val="0"/>
          <w:sz w:val="22"/>
        </w:rPr>
        <w:t>Coverage below reflects modules exercised against a live, running instance with real or realistically-seeded data — not a static code review.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0F2440"/>
          </w:tcPr>
          <w:p>
            <w:r/>
            <w:r>
              <w:rPr>
                <w:b/>
                <w:color w:val="FFFFFF"/>
                <w:sz w:val="21"/>
              </w:rPr>
              <w:t>Module</w:t>
            </w:r>
          </w:p>
        </w:tc>
        <w:tc>
          <w:tcPr>
            <w:tcW w:type="dxa" w:w="4933"/>
            <w:shd w:fill="0F2440"/>
          </w:tcPr>
          <w:p>
            <w:r/>
            <w:r>
              <w:rPr>
                <w:b/>
                <w:color w:val="FFFFFF"/>
                <w:sz w:val="21"/>
              </w:rPr>
              <w:t>Coverage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Profiling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>Full-table and windowed scans; schema-drift, key-duplicate, and referential-orphan detection verified against seeded defects.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Rule Studio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>AI recommendation and NL-to-SQL conversion verified; guardrails confirmed to reject malformed generated SQL.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DQ Execution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>Rule execution against real tables; weighted scoring and sample-failed-record capture verified.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Anomaly Inbox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>Volume, freshness, and threshold detection verified; explainability and audit logging confirmed.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Impact Graph (Lineage)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>Declared-FK and query-log discovery verified per platform; traversal confirmed correct on real graphs.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Scenario Simulator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>Classification, grounding, and remediation verified, including honest failure-path behaviour.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Trust Dashboard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>Score aggregation, CDE health, and AI usage/cost panel verified against real data.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Connections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>Creation, testing, and credential encryption verified across SQL Server, DuckDB, and Snowflake live.</w:t>
            </w:r>
          </w:p>
        </w:tc>
      </w:tr>
    </w:tbl>
    <w:p>
      <w:pPr>
        <w:pStyle w:val="Heading2"/>
      </w:pPr>
      <w:r>
        <w:rPr>
          <w:rFonts w:ascii="Segoe UI" w:hAnsi="Segoe UI"/>
          <w:color w:val="0F2440"/>
          <w:sz w:val="26"/>
        </w:rPr>
        <w:t>Connector Platform Coverage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0F2440"/>
          </w:tcPr>
          <w:p>
            <w:r/>
            <w:r>
              <w:rPr>
                <w:b/>
                <w:color w:val="FFFFFF"/>
                <w:sz w:val="21"/>
              </w:rPr>
              <w:t>Platform</w:t>
            </w:r>
          </w:p>
        </w:tc>
        <w:tc>
          <w:tcPr>
            <w:tcW w:type="dxa" w:w="4933"/>
            <w:shd w:fill="0F2440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SQL Server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>Verified live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DuckDB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>Verified live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Snowflake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>Verified live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Databricks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>Implemented — not yet exercised live in this assessment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PostgreSQL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>Implemented — not yet exercised live in this assessment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egoe UI" w:hAnsi="Segoe UI"/>
          <w:color w:val="0F2440"/>
          <w:sz w:val="36"/>
        </w:rPr>
        <w:t>Known Limitations &amp; Risk Register</w:t>
      </w:r>
    </w:p>
    <w:p>
      <w:pPr>
        <w:spacing w:after="160"/>
      </w:pPr>
      <w:r>
        <w:rPr>
          <w:rFonts w:ascii="Segoe UI" w:hAnsi="Segoe UI"/>
          <w:b w:val="0"/>
          <w:sz w:val="22"/>
        </w:rPr>
        <w:t>Forward-looking, honestly disclosed limitations — each with its actual impact and why it doesn't block production use today.</w:t>
      </w:r>
    </w:p>
    <w:p>
      <w:pPr>
        <w:spacing w:after="200"/>
      </w:pPr>
      <w:r>
        <w:rPr>
          <w:b/>
          <w:color w:val="7C93BD"/>
          <w:sz w:val="19"/>
        </w:rPr>
        <w:t xml:space="preserve">LOW IMPACT · PERFORMANCE — </w:t>
      </w:r>
      <w:r>
        <w:rPr>
          <w:sz w:val="21"/>
        </w:rPr>
        <w:t>Lineage graph traversal is not batched for very large graphs. Correct at any size (cycle-safe), but issues one query per node. The largest graph in this deployment today is 55 nodes; this would only matter in the thousands.</w:t>
      </w:r>
    </w:p>
    <w:p>
      <w:pPr>
        <w:spacing w:after="200"/>
      </w:pPr>
      <w:r>
        <w:rPr>
          <w:b/>
          <w:color w:val="7C93BD"/>
          <w:sz w:val="19"/>
        </w:rPr>
        <w:t xml:space="preserve">LOW IMPACT · PLATFORM CONSTRAINT — </w:t>
      </w:r>
      <w:r>
        <w:rPr>
          <w:sz w:val="21"/>
        </w:rPr>
        <w:t>Query-log-based lineage discovery is unavailable on DuckDB — a property of the platform (no persistent cross-session query log), not a missing feature. Declared-FK and dbt-manifest discovery still work. Snowflake, Databricks, and PostgreSQL all support this path.</w:t>
      </w:r>
    </w:p>
    <w:p>
      <w:pPr>
        <w:spacing w:after="200"/>
      </w:pPr>
      <w:r>
        <w:rPr>
          <w:b/>
          <w:color w:val="7C93BD"/>
          <w:sz w:val="19"/>
        </w:rPr>
        <w:t xml:space="preserve">NO IMPACT · INTENTIONALLY SCOPED — </w:t>
      </w:r>
      <w:r>
        <w:rPr>
          <w:sz w:val="21"/>
        </w:rPr>
        <w:t>Slack and Finance-system notifications are logged to the audit trail but not delivered externally, by design pending a real integration target — both clearly labeled in the UI as audit-only.</w:t>
      </w:r>
    </w:p>
    <w:p>
      <w:pPr>
        <w:spacing w:after="200"/>
      </w:pPr>
      <w:r>
        <w:rPr>
          <w:b/>
          <w:color w:val="7C93BD"/>
          <w:sz w:val="19"/>
        </w:rPr>
        <w:t xml:space="preserve">LOW IMPACT · COVERAGE GAP — </w:t>
      </w:r>
      <w:r>
        <w:rPr>
          <w:sz w:val="21"/>
        </w:rPr>
        <w:t>Databricks and PostgreSQL connectors are implemented but not yet exercised against a live external workspace in this assessment. Both share the same BaseConnector interface already proven correct on three other platforms.</w:t>
      </w:r>
    </w:p>
    <w:p>
      <w:pPr>
        <w:pStyle w:val="Heading2"/>
      </w:pPr>
      <w:r>
        <w:rPr>
          <w:rFonts w:ascii="Segoe UI" w:hAnsi="Segoe UI"/>
          <w:color w:val="0F2440"/>
          <w:sz w:val="26"/>
        </w:rPr>
        <w:t>Regulatory &amp; Compliance Considerations</w:t>
      </w:r>
    </w:p>
    <w:p>
      <w:pPr>
        <w:spacing w:after="160"/>
      </w:pPr>
      <w:r>
        <w:rPr>
          <w:rFonts w:ascii="Segoe UI" w:hAnsi="Segoe UI"/>
          <w:b w:val="0"/>
          <w:sz w:val="22"/>
        </w:rPr>
        <w:t>Credential encryption (Fernet), tenant isolation (org_id / connection_id), and an immutable audit trail are all in place. No independent compliance certification (SOC 2, ISO 27001) has been obtained — this is an internal engineering assessment, not a substitute for one.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F2440"/>
          <w:sz w:val="36"/>
        </w:rPr>
        <w:t>Final Verdict &amp; Recommendation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0F2440"/>
          </w:tcPr>
          <w:p>
            <w:r/>
            <w:r>
              <w:rPr>
                <w:b/>
                <w:color w:val="FFFFFF"/>
                <w:sz w:val="21"/>
              </w:rPr>
              <w:t>Dimension</w:t>
            </w:r>
          </w:p>
        </w:tc>
        <w:tc>
          <w:tcPr>
            <w:tcW w:type="dxa" w:w="4933"/>
            <w:shd w:fill="0F2440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Functional Completeness</w:t>
            </w:r>
          </w:p>
        </w:tc>
        <w:tc>
          <w:tcPr>
            <w:tcW w:type="dxa" w:w="4933"/>
          </w:tcPr>
          <w:p>
            <w:r/>
            <w:r>
              <w:rPr>
                <w:b/>
                <w:color w:val="1C6B3A"/>
                <w:sz w:val="20"/>
              </w:rPr>
              <w:t>READY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Reliability &amp; Error Handling</w:t>
            </w:r>
          </w:p>
        </w:tc>
        <w:tc>
          <w:tcPr>
            <w:tcW w:type="dxa" w:w="4933"/>
          </w:tcPr>
          <w:p>
            <w:r/>
            <w:r>
              <w:rPr>
                <w:b/>
                <w:color w:val="1C6B3A"/>
                <w:sz w:val="20"/>
              </w:rPr>
              <w:t>READY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Security &amp; Access Control</w:t>
            </w:r>
          </w:p>
        </w:tc>
        <w:tc>
          <w:tcPr>
            <w:tcW w:type="dxa" w:w="4933"/>
          </w:tcPr>
          <w:p>
            <w:r/>
            <w:r>
              <w:rPr>
                <w:b/>
                <w:color w:val="1C6B3A"/>
                <w:sz w:val="20"/>
              </w:rPr>
              <w:t>READY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Data Integrity &amp; Multi-Tenancy</w:t>
            </w:r>
          </w:p>
        </w:tc>
        <w:tc>
          <w:tcPr>
            <w:tcW w:type="dxa" w:w="4933"/>
          </w:tcPr>
          <w:p>
            <w:r/>
            <w:r>
              <w:rPr>
                <w:b/>
                <w:color w:val="1C6B3A"/>
                <w:sz w:val="20"/>
              </w:rPr>
              <w:t>READY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AI / LLM Governance</w:t>
            </w:r>
          </w:p>
        </w:tc>
        <w:tc>
          <w:tcPr>
            <w:tcW w:type="dxa" w:w="4933"/>
          </w:tcPr>
          <w:p>
            <w:r/>
            <w:r>
              <w:rPr>
                <w:b/>
                <w:color w:val="1C6B3A"/>
                <w:sz w:val="20"/>
              </w:rPr>
              <w:t>READY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Performance &amp; Scalability</w:t>
            </w:r>
          </w:p>
        </w:tc>
        <w:tc>
          <w:tcPr>
            <w:tcW w:type="dxa" w:w="4933"/>
          </w:tcPr>
          <w:p>
            <w:r/>
            <w:r>
              <w:rPr>
                <w:b/>
                <w:color w:val="A3821A"/>
                <w:sz w:val="20"/>
              </w:rPr>
              <w:t>READY — NOTED LIMITATION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Observability &amp; Auditability</w:t>
            </w:r>
          </w:p>
        </w:tc>
        <w:tc>
          <w:tcPr>
            <w:tcW w:type="dxa" w:w="4933"/>
          </w:tcPr>
          <w:p>
            <w:r/>
            <w:r>
              <w:rPr>
                <w:b/>
                <w:color w:val="1C6B3A"/>
                <w:sz w:val="20"/>
              </w:rPr>
              <w:t>READY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Operational Readiness</w:t>
            </w:r>
          </w:p>
        </w:tc>
        <w:tc>
          <w:tcPr>
            <w:tcW w:type="dxa" w:w="4933"/>
          </w:tcPr>
          <w:p>
            <w:r/>
            <w:r>
              <w:rPr>
                <w:b/>
                <w:color w:val="1C6B3A"/>
                <w:sz w:val="20"/>
              </w:rPr>
              <w:t>READY</w:t>
            </w:r>
          </w:p>
        </w:tc>
      </w:tr>
    </w:tbl>
    <w:p>
      <w:pPr>
        <w:pStyle w:val="Heading2"/>
      </w:pPr>
      <w:r>
        <w:rPr>
          <w:rFonts w:ascii="Segoe UI" w:hAnsi="Segoe UI"/>
          <w:color w:val="0F2440"/>
          <w:sz w:val="26"/>
        </w:rPr>
        <w:t>Recommendation</w:t>
      </w:r>
    </w:p>
    <w:p>
      <w:pPr>
        <w:spacing w:after="160"/>
      </w:pPr>
      <w:r>
        <w:rPr>
          <w:rFonts w:ascii="Segoe UI" w:hAnsi="Segoe UI"/>
          <w:b w:val="0"/>
          <w:sz w:val="22"/>
        </w:rPr>
        <w:t>Data Alchemist is recommended for production use. Seven of eight assessed dimensions are unconditionally ready; the eighth (performance &amp; scalability) is ready today with one documented, low-priority limitation that only becomes relevant at a scale this deployment has not yet reached. No open item in the risk register is rated as blocking.</w:t>
      </w:r>
    </w:p>
    <w:p>
      <w:pPr>
        <w:spacing w:after="160"/>
      </w:pPr>
      <w:r>
        <w:rPr>
          <w:rFonts w:ascii="Segoe UI" w:hAnsi="Segoe UI"/>
          <w:b w:val="0"/>
          <w:color w:val="556070"/>
          <w:sz w:val="22"/>
        </w:rPr>
        <w:t>This assessment reflects the system's state as verified on 2026-07-09 and should be re-run after material changes to the connector, agent, or data-model layers.</w:t>
      </w:r>
    </w:p>
    <w:p>
      <w:pPr>
        <w:spacing w:before="280" w:after="280"/>
        <w:jc w:val="center"/>
        <w:shd w:val="clear" w:fill="0F2440"/>
      </w:pPr>
      <w:r>
        <w:rPr>
          <w:b/>
          <w:color w:val="FFFFFF"/>
          <w:sz w:val="28"/>
        </w:rPr>
        <w:t>VERDICT: READY FOR PRODUCTION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