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A6E4A"/>
          <w:sz w:val="22"/>
        </w:rPr>
        <w:t>BUSINESS CASE &amp; ROI ANALYSIS</w:t>
      </w:r>
    </w:p>
    <w:p>
      <w:pPr>
        <w:jc w:val="center"/>
      </w:pPr>
      <w:r>
        <w:rPr>
          <w:b/>
          <w:color w:val="0F2440"/>
          <w:sz w:val="64"/>
        </w:rPr>
        <w:t>Data Alchemist</w:t>
      </w:r>
    </w:p>
    <w:p>
      <w:pPr>
        <w:jc w:val="center"/>
      </w:pPr>
      <w:r>
        <w:rPr>
          <w:color w:val="556070"/>
          <w:sz w:val="26"/>
        </w:rPr>
        <w:t>What it costs to run, what it's worth, and the assumptions behind every number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0F2440"/>
          <w:sz w:val="36"/>
        </w:rPr>
        <w:t>What's Verified vs. What's Projected</w:t>
      </w:r>
    </w:p>
    <w:p>
      <w:pPr>
        <w:spacing w:after="160"/>
      </w:pPr>
      <w:r>
        <w:rPr>
          <w:rFonts w:ascii="Segoe UI" w:hAnsi="Segoe UI"/>
          <w:b w:val="0"/>
          <w:i w:val="0"/>
          <w:sz w:val="22"/>
        </w:rPr>
        <w:t>This document deliberately separates two kinds of numbers. The first kind is counted directly from the source repository — module counts, endpoint counts, table counts — and is not in dispute. The second kind is a projected business-impact estimate, built on stated assumptions about a typical mid-size data team, and should be read as a reasoned estimate, not a measured result from a paying customer.</w:t>
      </w:r>
    </w:p>
    <w:p>
      <w:pPr>
        <w:pStyle w:val="Heading2"/>
      </w:pPr>
      <w:r>
        <w:rPr>
          <w:rFonts w:ascii="Segoe UI" w:hAnsi="Segoe UI"/>
          <w:color w:val="0F2440"/>
          <w:sz w:val="26"/>
        </w:rPr>
        <w:t>Verified (hard counts, not estimates)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0F2440"/>
          </w:tcPr>
          <w:p>
            <w:r/>
            <w:r>
              <w:rPr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4933"/>
            <w:shd w:fill="0F2440"/>
          </w:tcPr>
          <w:p>
            <w:r/>
            <w:r>
              <w:rPr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Checks per profiling run</w:t>
            </w:r>
          </w:p>
        </w:tc>
        <w:tc>
          <w:tcPr>
            <w:tcW w:type="dxa" w:w="4933"/>
          </w:tcPr>
          <w:p>
            <w:r/>
            <w:r>
              <w:rPr>
                <w:sz w:val="20"/>
              </w:rPr>
              <w:t>11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Live database connectors</w:t>
            </w:r>
          </w:p>
        </w:tc>
        <w:tc>
          <w:tcPr>
            <w:tcW w:type="dxa" w:w="4933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REST endpoints</w:t>
            </w:r>
          </w:p>
        </w:tc>
        <w:tc>
          <w:tcPr>
            <w:tcW w:type="dxa" w:w="4933"/>
          </w:tcPr>
          <w:p>
            <w:r/>
            <w:r>
              <w:rPr>
                <w:sz w:val="20"/>
              </w:rPr>
              <w:t>94</w:t>
            </w:r>
          </w:p>
        </w:tc>
      </w:tr>
      <w:tr>
        <w:tc>
          <w:tcPr>
            <w:tcW w:type="dxa" w:w="4933"/>
          </w:tcPr>
          <w:p>
            <w:r/>
            <w:r>
              <w:rPr>
                <w:sz w:val="20"/>
              </w:rPr>
              <w:t>Model training cost</w:t>
            </w:r>
          </w:p>
        </w:tc>
        <w:tc>
          <w:tcPr>
            <w:tcW w:type="dxa" w:w="4933"/>
          </w:tcPr>
          <w:p>
            <w:r/>
            <w:r>
              <w:rPr>
                <w:sz w:val="20"/>
              </w:rPr>
              <w:t>$0</w:t>
            </w:r>
          </w:p>
        </w:tc>
      </w:tr>
    </w:tbl>
    <w:p>
      <w:pPr>
        <w:pStyle w:val="Heading2"/>
      </w:pPr>
      <w:r>
        <w:rPr>
          <w:rFonts w:ascii="Segoe UI" w:hAnsi="Segoe UI"/>
          <w:color w:val="0F2440"/>
          <w:sz w:val="26"/>
        </w:rPr>
        <w:t>Projected (Section 3, assumptions disclosed)</w:t>
      </w:r>
    </w:p>
    <w:p>
      <w:pPr>
        <w:spacing w:after="160"/>
      </w:pPr>
      <w:r>
        <w:rPr>
          <w:rFonts w:ascii="Segoe UI" w:hAnsi="Segoe UI"/>
          <w:b w:val="0"/>
          <w:i w:val="0"/>
          <w:sz w:val="22"/>
        </w:rPr>
        <w:t>Time-to-detect reduction, manual-effort reduction, and rule-authoring speedup are modeled against a stated baseline for a mid-size data team — not measured from a production deployment, since this is a competition build rather than a live customer engagement.</w:t>
      </w:r>
    </w:p>
    <w:p>
      <w:pPr>
        <w:spacing w:after="160"/>
      </w:pPr>
      <w:r>
        <w:rPr>
          <w:rFonts w:ascii="Segoe UI" w:hAnsi="Segoe UI"/>
          <w:b w:val="0"/>
          <w:i/>
          <w:color w:val="556070"/>
          <w:sz w:val="22"/>
        </w:rPr>
        <w:t>Why disclose this so explicitly: a business case that hides which numbers are measured and which are estimated is not trustworthy even when the estimates are reasonable. We'd rather be checked than believed.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0F2440"/>
          <w:sz w:val="36"/>
        </w:rPr>
        <w:t>Baseline vs. Projected Business Impact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fill="0F2440"/>
          </w:tcPr>
          <w:p>
            <w:r/>
            <w:r>
              <w:rPr>
                <w:b/>
                <w:color w:val="FFFFFF"/>
                <w:sz w:val="21"/>
              </w:rPr>
              <w:t>Metric</w:t>
            </w:r>
          </w:p>
        </w:tc>
        <w:tc>
          <w:tcPr>
            <w:tcW w:type="dxa" w:w="2466"/>
            <w:shd w:fill="0F2440"/>
          </w:tcPr>
          <w:p>
            <w:r/>
            <w:r>
              <w:rPr>
                <w:b/>
                <w:color w:val="FFFFFF"/>
                <w:sz w:val="21"/>
              </w:rPr>
              <w:t>Baseline (typical, unassisted)</w:t>
            </w:r>
          </w:p>
        </w:tc>
        <w:tc>
          <w:tcPr>
            <w:tcW w:type="dxa" w:w="2466"/>
            <w:shd w:fill="0F2440"/>
          </w:tcPr>
          <w:p>
            <w:r/>
            <w:r>
              <w:rPr>
                <w:b/>
                <w:color w:val="FFFFFF"/>
                <w:sz w:val="21"/>
              </w:rPr>
              <w:t>With Data Alchemist</w:t>
            </w:r>
          </w:p>
        </w:tc>
        <w:tc>
          <w:tcPr>
            <w:tcW w:type="dxa" w:w="2466"/>
            <w:shd w:fill="0F2440"/>
          </w:tcPr>
          <w:p>
            <w:r/>
            <w:r>
              <w:rPr>
                <w:b/>
                <w:color w:val="FFFFFF"/>
                <w:sz w:val="21"/>
              </w:rPr>
              <w:t>Delta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20"/>
              </w:rPr>
              <w:t>Time to detect a DQ issue</w:t>
            </w:r>
          </w:p>
        </w:tc>
        <w:tc>
          <w:tcPr>
            <w:tcW w:type="dxa" w:w="2466"/>
          </w:tcPr>
          <w:p>
            <w:r/>
            <w:r>
              <w:rPr>
                <w:sz w:val="20"/>
              </w:rPr>
              <w:t>Discovered downstream, often days later</w:t>
            </w:r>
          </w:p>
        </w:tc>
        <w:tc>
          <w:tcPr>
            <w:tcW w:type="dxa" w:w="2466"/>
          </w:tcPr>
          <w:p>
            <w:r/>
            <w:r>
              <w:rPr>
                <w:sz w:val="20"/>
              </w:rPr>
              <w:t>Flagged at the next profiling run</w:t>
            </w:r>
          </w:p>
        </w:tc>
        <w:tc>
          <w:tcPr>
            <w:tcW w:type="dxa" w:w="2466"/>
          </w:tcPr>
          <w:p>
            <w:r/>
            <w:r>
              <w:rPr>
                <w:sz w:val="20"/>
              </w:rPr>
              <w:t>Order-of-magnitude faster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20"/>
              </w:rPr>
              <w:t>Manual profiling effort/table</w:t>
            </w:r>
          </w:p>
        </w:tc>
        <w:tc>
          <w:tcPr>
            <w:tcW w:type="dxa" w:w="2466"/>
          </w:tcPr>
          <w:p>
            <w:r/>
            <w:r>
              <w:rPr>
                <w:sz w:val="20"/>
              </w:rPr>
              <w:t>~2-3 hrs hand-written SQL</w:t>
            </w:r>
          </w:p>
        </w:tc>
        <w:tc>
          <w:tcPr>
            <w:tcW w:type="dxa" w:w="2466"/>
          </w:tcPr>
          <w:p>
            <w:r/>
            <w:r>
              <w:rPr>
                <w:sz w:val="20"/>
              </w:rPr>
              <w:t>Automated agent run</w:t>
            </w:r>
          </w:p>
        </w:tc>
        <w:tc>
          <w:tcPr>
            <w:tcW w:type="dxa" w:w="2466"/>
          </w:tcPr>
          <w:p>
            <w:r/>
            <w:r>
              <w:rPr>
                <w:sz w:val="20"/>
              </w:rPr>
              <w:t>~60-70% reduction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20"/>
              </w:rPr>
              <w:t>DQ rule authoring</w:t>
            </w:r>
          </w:p>
        </w:tc>
        <w:tc>
          <w:tcPr>
            <w:tcW w:type="dxa" w:w="2466"/>
          </w:tcPr>
          <w:p>
            <w:r/>
            <w:r>
              <w:rPr>
                <w:sz w:val="20"/>
              </w:rPr>
              <w:t>Fully manual, tribal knowledge</w:t>
            </w:r>
          </w:p>
        </w:tc>
        <w:tc>
          <w:tcPr>
            <w:tcW w:type="dxa" w:w="2466"/>
          </w:tcPr>
          <w:p>
            <w:r/>
            <w:r>
              <w:rPr>
                <w:sz w:val="20"/>
              </w:rPr>
              <w:t>AI-recommended, human-approved</w:t>
            </w:r>
          </w:p>
        </w:tc>
        <w:tc>
          <w:tcPr>
            <w:tcW w:type="dxa" w:w="2466"/>
          </w:tcPr>
          <w:p>
            <w:r/>
            <w:r>
              <w:rPr>
                <w:sz w:val="20"/>
              </w:rPr>
              <w:t>3-5x faster to first draft</w:t>
            </w:r>
          </w:p>
        </w:tc>
      </w:tr>
      <w:tr>
        <w:tc>
          <w:tcPr>
            <w:tcW w:type="dxa" w:w="2466"/>
          </w:tcPr>
          <w:p>
            <w:r/>
            <w:r>
              <w:rPr>
                <w:sz w:val="20"/>
              </w:rPr>
              <w:t>Data trust visibility</w:t>
            </w:r>
          </w:p>
        </w:tc>
        <w:tc>
          <w:tcPr>
            <w:tcW w:type="dxa" w:w="2466"/>
          </w:tcPr>
          <w:p>
            <w:r/>
            <w:r>
              <w:rPr>
                <w:sz w:val="20"/>
              </w:rPr>
              <w:t>No single score</w:t>
            </w:r>
          </w:p>
        </w:tc>
        <w:tc>
          <w:tcPr>
            <w:tcW w:type="dxa" w:w="2466"/>
          </w:tcPr>
          <w:p>
            <w:r/>
            <w:r>
              <w:rPr>
                <w:sz w:val="20"/>
              </w:rPr>
              <w:t>Trust score + full audit log</w:t>
            </w:r>
          </w:p>
        </w:tc>
        <w:tc>
          <w:tcPr>
            <w:tcW w:type="dxa" w:w="2466"/>
          </w:tcPr>
          <w:p>
            <w:r/>
            <w:r>
              <w:rPr>
                <w:sz w:val="20"/>
              </w:rPr>
              <w:t>New capability</w:t>
            </w:r>
          </w:p>
        </w:tc>
      </w:tr>
    </w:tbl>
    <w:p>
      <w:pPr>
        <w:spacing w:after="160"/>
      </w:pPr>
      <w:r>
        <w:rPr>
          <w:rFonts w:ascii="Segoe UI" w:hAnsi="Segoe UI"/>
          <w:b/>
          <w:i w:val="0"/>
          <w:sz w:val="22"/>
        </w:rPr>
        <w:t>Assumptions behind this table: mid-size warehouse (50-200 tables), profiling agent run time of ~30-90 seconds per table as observed in this build, and DQ rule activation remaining human-gated by design.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0F2440"/>
          <w:sz w:val="36"/>
        </w:rPr>
        <w:t>Cost Model &amp; Reusability Value</w:t>
      </w:r>
    </w:p>
    <w:p>
      <w:pPr>
        <w:pStyle w:val="Heading2"/>
      </w:pPr>
      <w:r>
        <w:rPr>
          <w:rFonts w:ascii="Segoe UI" w:hAnsi="Segoe UI"/>
          <w:color w:val="0F2440"/>
          <w:sz w:val="26"/>
        </w:rPr>
        <w:t>What It Costs to Run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9"/>
            <w:shd w:fill="0F2440"/>
          </w:tcPr>
          <w:p>
            <w:r/>
            <w:r>
              <w:rPr>
                <w:b/>
                <w:color w:val="FFFFFF"/>
                <w:sz w:val="21"/>
              </w:rPr>
              <w:t>Cost item</w:t>
            </w:r>
          </w:p>
        </w:tc>
        <w:tc>
          <w:tcPr>
            <w:tcW w:type="dxa" w:w="3289"/>
            <w:shd w:fill="0F2440"/>
          </w:tcPr>
          <w:p>
            <w:r/>
            <w:r>
              <w:rPr>
                <w:b/>
                <w:color w:val="FFFFFF"/>
                <w:sz w:val="21"/>
              </w:rPr>
              <w:t>Driver</w:t>
            </w:r>
          </w:p>
        </w:tc>
        <w:tc>
          <w:tcPr>
            <w:tcW w:type="dxa" w:w="3289"/>
            <w:shd w:fill="0F2440"/>
          </w:tcPr>
          <w:p>
            <w:r/>
            <w:r>
              <w:rPr>
                <w:b/>
                <w:color w:val="FFFFFF"/>
                <w:sz w:val="21"/>
              </w:rPr>
              <w:t>Notes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LLM API usage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Per-call, tracked in ai_usage_log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Only profiling/rules/explainability call an LLM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Compute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Docker Compose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No GPU requirement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Database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PostgreSQL metadata store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36 lightweight metadata/results migrations</w:t>
            </w:r>
          </w:p>
        </w:tc>
      </w:tr>
      <w:tr>
        <w:tc>
          <w:tcPr>
            <w:tcW w:type="dxa" w:w="3289"/>
          </w:tcPr>
          <w:p>
            <w:r/>
            <w:r>
              <w:rPr>
                <w:sz w:val="20"/>
              </w:rPr>
              <w:t>Model licensing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Whichever LLM provider is configured</w:t>
            </w:r>
          </w:p>
        </w:tc>
        <w:tc>
          <w:tcPr>
            <w:tcW w:type="dxa" w:w="3289"/>
          </w:tcPr>
          <w:p>
            <w:r/>
            <w:r>
              <w:rPr>
                <w:sz w:val="20"/>
              </w:rPr>
              <w:t>Swap via one environment variable</w:t>
            </w:r>
          </w:p>
        </w:tc>
      </w:tr>
    </w:tbl>
    <w:p>
      <w:pPr>
        <w:pStyle w:val="Heading2"/>
      </w:pPr>
      <w:r>
        <w:rPr>
          <w:rFonts w:ascii="Segoe UI" w:hAnsi="Segoe UI"/>
          <w:color w:val="0F2440"/>
          <w:sz w:val="26"/>
        </w:rPr>
        <w:t>Reusability &amp; Accelerator Value</w:t>
      </w:r>
    </w:p>
    <w:p>
      <w:pPr>
        <w:pStyle w:val="ListBullet"/>
      </w:pPr>
      <w:r>
        <w:rPr>
          <w:rFonts w:ascii="Segoe UI" w:hAnsi="Segoe UI"/>
          <w:sz w:val="22"/>
        </w:rPr>
        <w:t>Cross-client reuse: a new data source is a 5-method connector implementation, not a rebuild.</w:t>
      </w:r>
    </w:p>
    <w:p>
      <w:pPr>
        <w:pStyle w:val="ListBullet"/>
      </w:pPr>
      <w:r>
        <w:rPr>
          <w:rFonts w:ascii="Segoe UI" w:hAnsi="Segoe UI"/>
          <w:sz w:val="22"/>
        </w:rPr>
        <w:t>Cross-team reuse: the same instance already isolates five database platforms by connection_id.</w:t>
      </w:r>
    </w:p>
    <w:p>
      <w:pPr>
        <w:pStyle w:val="ListBullet"/>
      </w:pPr>
      <w:r>
        <w:rPr>
          <w:rFonts w:ascii="Segoe UI" w:hAnsi="Segoe UI"/>
          <w:sz w:val="22"/>
        </w:rPr>
        <w:t>Faster follow-on engagements: profiling, rule authoring, and lineage discovery become a docker compose up away.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color w:val="0F2440"/>
          <w:sz w:val="36"/>
        </w:rPr>
        <w:t>Bottom Line</w:t>
      </w:r>
    </w:p>
    <w:p>
      <w:pPr>
        <w:spacing w:after="160"/>
      </w:pPr>
      <w:r>
        <w:rPr>
          <w:rFonts w:ascii="Segoe UI" w:hAnsi="Segoe UI"/>
          <w:b w:val="0"/>
          <w:i w:val="0"/>
          <w:sz w:val="22"/>
        </w:rPr>
        <w:t>Data Alchemist replaces ad hoc, per-table SQL scripts and tribal knowledge with a repeatable agentic pipeline: profile automatically, recommend rules from evidence, explain anomalies in plain English, and keep a human in the loop on every decision that matters. The verified footprint (94 endpoints, 5 connectors, 11 automated checks per table, 36 schema migrations) demonstrates this is a working system, not a slide deck.</w:t>
      </w:r>
    </w:p>
    <w:p>
      <w:pPr>
        <w:spacing w:after="160"/>
      </w:pPr>
      <w:r>
        <w:rPr>
          <w:rFonts w:ascii="Segoe UI" w:hAnsi="Segoe UI"/>
          <w:b w:val="0"/>
          <w:i/>
          <w:sz w:val="22"/>
        </w:rPr>
        <w:t>The honest framing throughout this document is itself part of the value proposition: a platform whose central purpose is trust in data should not ask for blind trust in its own pitch.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