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c3f6e" w:val="clear"/>
        <w:spacing w:after="0" w:before="0" w:lineRule="auto"/>
        <w:rPr/>
      </w:pPr>
      <w:r w:rsidDel="00000000" w:rsidR="00000000" w:rsidRPr="00000000">
        <w:rPr>
          <w:rFonts w:ascii="Calibri" w:cs="Calibri" w:eastAsia="Calibri" w:hAnsi="Calibri"/>
          <w:b w:val="1"/>
          <w:bCs w:val="1"/>
          <w:color w:val="b0c8e8"/>
          <w:sz w:val="16"/>
          <w:szCs w:val="16"/>
          <w:rtl w:val="0"/>
        </w:rPr>
        <w:t xml:space="preserve">  SUMMERVILLE CREDIT UNION  ·  CONSOLIDATED MEMBER GUIDE  ·  CSUM-03 of 30</w:t>
      </w:r>
      <w:r w:rsidDel="00000000" w:rsidR="00000000" w:rsidRPr="00000000">
        <w:rPr>
          <w:rtl w:val="0"/>
        </w:rPr>
      </w:r>
    </w:p>
    <w:p w:rsidR="00000000" w:rsidDel="00000000" w:rsidP="00000000" w:rsidRDefault="00000000" w:rsidRPr="00000000" w14:paraId="00000002">
      <w:pPr>
        <w:spacing w:after="40" w:before="160" w:lineRule="auto"/>
        <w:rPr/>
      </w:pPr>
      <w:r w:rsidDel="00000000" w:rsidR="00000000" w:rsidRPr="00000000">
        <w:rPr>
          <w:rFonts w:ascii="Calibri" w:cs="Calibri" w:eastAsia="Calibri" w:hAnsi="Calibri"/>
          <w:b w:val="1"/>
          <w:bCs w:val="1"/>
          <w:color w:val="1c3f6e"/>
          <w:sz w:val="44"/>
          <w:szCs w:val="44"/>
          <w:rtl w:val="0"/>
        </w:rPr>
        <w:t xml:space="preserve">Account Overview &amp; Transaction History</w:t>
      </w:r>
      <w:r w:rsidDel="00000000" w:rsidR="00000000" w:rsidRPr="00000000">
        <w:rPr>
          <w:rtl w:val="0"/>
        </w:rPr>
      </w:r>
    </w:p>
    <w:p w:rsidR="00000000" w:rsidDel="00000000" w:rsidP="00000000" w:rsidRDefault="00000000" w:rsidRPr="00000000" w14:paraId="00000003">
      <w:pPr>
        <w:pBdr>
          <w:bottom w:color="e08c3c" w:space="0" w:sz="18" w:val="single"/>
        </w:pBdr>
        <w:spacing w:after="200" w:before="0" w:lineRule="auto"/>
        <w:rPr/>
      </w:pPr>
      <w:r w:rsidDel="00000000" w:rsidR="00000000" w:rsidRPr="00000000">
        <w:rPr>
          <w:rtl w:val="0"/>
        </w:rPr>
      </w:r>
    </w:p>
    <w:p w:rsidR="00000000" w:rsidDel="00000000" w:rsidP="00000000" w:rsidRDefault="00000000" w:rsidRPr="00000000" w14:paraId="00000004">
      <w:pPr>
        <w:spacing w:after="80" w:before="0" w:lineRule="auto"/>
        <w:rPr/>
      </w:pPr>
      <w:r w:rsidDel="00000000" w:rsidR="00000000" w:rsidRPr="00000000">
        <w:rPr>
          <w:rFonts w:ascii="Calibri" w:cs="Calibri" w:eastAsia="Calibri" w:hAnsi="Calibri"/>
          <w:color w:val="555555"/>
          <w:sz w:val="18"/>
          <w:szCs w:val="18"/>
          <w:rtl w:val="0"/>
        </w:rPr>
        <w:t xml:space="preserve">Module: nFinia Digital Banking &gt; Accounts</w:t>
      </w:r>
      <w:r w:rsidDel="00000000" w:rsidR="00000000" w:rsidRPr="00000000">
        <w:rPr>
          <w:rtl w:val="0"/>
        </w:rPr>
      </w:r>
    </w:p>
    <w:p w:rsidR="00000000" w:rsidDel="00000000" w:rsidP="00000000" w:rsidRDefault="00000000" w:rsidRPr="00000000" w14:paraId="00000005">
      <w:pPr>
        <w:spacing w:after="160" w:before="0" w:lineRule="auto"/>
        <w:rPr/>
      </w:pPr>
      <w:r w:rsidDel="00000000" w:rsidR="00000000" w:rsidRPr="00000000">
        <w:rPr>
          <w:rFonts w:ascii="Calibri" w:cs="Calibri" w:eastAsia="Calibri" w:hAnsi="Calibri"/>
          <w:i w:val="1"/>
          <w:iCs w:val="1"/>
          <w:color w:val="777777"/>
          <w:sz w:val="16"/>
          <w:szCs w:val="16"/>
          <w:rtl w:val="0"/>
        </w:rPr>
        <w:t xml:space="preserve">Sources: Summerville Reports Series A (36 docs) + Series B (25 docs) | Features: nFinia Documentation Features Spreadsheet</w:t>
      </w:r>
      <w:r w:rsidDel="00000000" w:rsidR="00000000" w:rsidRPr="00000000">
        <w:rPr>
          <w:rtl w:val="0"/>
        </w:rPr>
      </w:r>
    </w:p>
    <w:p w:rsidR="00000000" w:rsidDel="00000000" w:rsidP="00000000" w:rsidRDefault="00000000" w:rsidRPr="00000000" w14:paraId="00000006">
      <w:pPr>
        <w:shd w:fill="1c3f6e" w:val="clear"/>
        <w:spacing w:after="120" w:before="280" w:lineRule="auto"/>
        <w:ind w:left="216" w:firstLine="0"/>
        <w:rPr/>
      </w:pPr>
      <w:r w:rsidDel="00000000" w:rsidR="00000000" w:rsidRPr="00000000">
        <w:rPr>
          <w:rFonts w:ascii="Calibri" w:cs="Calibri" w:eastAsia="Calibri" w:hAnsi="Calibri"/>
          <w:b w:val="1"/>
          <w:bCs w:val="1"/>
          <w:color w:val="ffffff"/>
          <w:sz w:val="26"/>
          <w:szCs w:val="26"/>
          <w:rtl w:val="0"/>
        </w:rPr>
        <w:t xml:space="preserve">  01  PRODUCT SUMMARY</w:t>
      </w:r>
      <w:r w:rsidDel="00000000" w:rsidR="00000000" w:rsidRPr="00000000">
        <w:rPr>
          <w:rtl w:val="0"/>
        </w:rPr>
      </w:r>
    </w:p>
    <w:p w:rsidR="00000000" w:rsidDel="00000000" w:rsidP="00000000" w:rsidRDefault="00000000" w:rsidRPr="00000000" w14:paraId="00000007">
      <w:pPr>
        <w:spacing w:after="80" w:before="0" w:lineRule="auto"/>
        <w:rPr/>
      </w:pPr>
      <w:r w:rsidDel="00000000" w:rsidR="00000000" w:rsidRPr="00000000">
        <w:rPr>
          <w:rtl w:val="0"/>
        </w:rPr>
      </w:r>
    </w:p>
    <w:p w:rsidR="00000000" w:rsidDel="00000000" w:rsidP="00000000" w:rsidRDefault="00000000" w:rsidRPr="00000000" w14:paraId="00000008">
      <w:pPr>
        <w:spacing w:after="140" w:before="0" w:lineRule="auto"/>
        <w:rPr/>
      </w:pPr>
      <w:r w:rsidDel="00000000" w:rsidR="00000000" w:rsidRPr="00000000">
        <w:rPr>
          <w:rFonts w:ascii="Calibri" w:cs="Calibri" w:eastAsia="Calibri" w:hAnsi="Calibri"/>
          <w:color w:val="333333"/>
          <w:sz w:val="20"/>
          <w:szCs w:val="20"/>
          <w:rtl w:val="0"/>
        </w:rPr>
        <w:t xml:space="preserve">The Account Overview is Summerville Credit Union members' consolidated portfolio view within the nFinia digital banking platform. Accessed by clicking 'Accounts' from the top navigation on the Dashboard, this page displays all of the member's active accounts — Checking, Savings, Loans, Certificates of Deposit, Lines of Credit, and Membership accounts — as a structured list. Each entry presents the account name, masked account number, current balance, and available balance.</w:t>
      </w:r>
      <w:r w:rsidDel="00000000" w:rsidR="00000000" w:rsidRPr="00000000">
        <w:rPr>
          <w:rtl w:val="0"/>
        </w:rPr>
      </w:r>
    </w:p>
    <w:p w:rsidR="00000000" w:rsidDel="00000000" w:rsidP="00000000" w:rsidRDefault="00000000" w:rsidRPr="00000000" w14:paraId="00000009">
      <w:pPr>
        <w:spacing w:after="140" w:before="0" w:lineRule="auto"/>
        <w:rPr/>
      </w:pPr>
      <w:r w:rsidDel="00000000" w:rsidR="00000000" w:rsidRPr="00000000">
        <w:rPr>
          <w:rFonts w:ascii="Calibri" w:cs="Calibri" w:eastAsia="Calibri" w:hAnsi="Calibri"/>
          <w:color w:val="333333"/>
          <w:sz w:val="20"/>
          <w:szCs w:val="20"/>
          <w:rtl w:val="0"/>
        </w:rPr>
        <w:t xml:space="preserve">Clicking any account tile navigates to the full Account Detail page for that account. From the Account Detail, members can view complete transaction history, search and filter transactions by date, amount, or description, export or print history, and access related services like eStatements, scheduled transfers, and stop payment requests.</w:t>
      </w:r>
      <w:r w:rsidDel="00000000" w:rsidR="00000000" w:rsidRPr="00000000">
        <w:rPr>
          <w:rtl w:val="0"/>
        </w:rPr>
      </w:r>
    </w:p>
    <w:p w:rsidR="00000000" w:rsidDel="00000000" w:rsidP="00000000" w:rsidRDefault="00000000" w:rsidRPr="00000000" w14:paraId="0000000A">
      <w:pPr>
        <w:spacing w:after="140" w:before="0" w:lineRule="auto"/>
        <w:rPr/>
      </w:pPr>
      <w:r w:rsidDel="00000000" w:rsidR="00000000" w:rsidRPr="00000000">
        <w:rPr>
          <w:rFonts w:ascii="Calibri" w:cs="Calibri" w:eastAsia="Calibri" w:hAnsi="Calibri"/>
          <w:color w:val="333333"/>
          <w:sz w:val="20"/>
          <w:szCs w:val="20"/>
          <w:rtl w:val="0"/>
        </w:rPr>
        <w:t xml:space="preserve">The Transaction Search feature allows members to find specific transactions across all accounts using criteria including date range, amount range, transaction type, and text search of descriptions. Search results can be exported to CSV for record-keeping or accounting purposes.</w:t>
      </w:r>
      <w:r w:rsidDel="00000000" w:rsidR="00000000" w:rsidRPr="00000000">
        <w:rPr>
          <w:rtl w:val="0"/>
        </w:rPr>
      </w:r>
    </w:p>
    <w:p w:rsidR="00000000" w:rsidDel="00000000" w:rsidP="00000000" w:rsidRDefault="00000000" w:rsidRPr="00000000" w14:paraId="0000000B">
      <w:pPr>
        <w:spacing w:after="80" w:before="0" w:lineRule="auto"/>
        <w:rPr/>
      </w:pPr>
      <w:r w:rsidDel="00000000" w:rsidR="00000000" w:rsidRPr="00000000">
        <w:rPr>
          <w:rtl w:val="0"/>
        </w:rPr>
      </w:r>
    </w:p>
    <w:p w:rsidR="00000000" w:rsidDel="00000000" w:rsidP="00000000" w:rsidRDefault="00000000" w:rsidRPr="00000000" w14:paraId="0000000C">
      <w:pPr>
        <w:pBdr>
          <w:bottom w:color="1c3f6e" w:space="0" w:sz="4" w:val="single"/>
        </w:pBdr>
        <w:spacing w:after="80" w:before="240" w:lineRule="auto"/>
        <w:rPr/>
      </w:pPr>
      <w:r w:rsidDel="00000000" w:rsidR="00000000" w:rsidRPr="00000000">
        <w:rPr>
          <w:rFonts w:ascii="Calibri" w:cs="Calibri" w:eastAsia="Calibri" w:hAnsi="Calibri"/>
          <w:b w:val="1"/>
          <w:bCs w:val="1"/>
          <w:color w:val="1c3f6e"/>
          <w:sz w:val="22"/>
          <w:szCs w:val="22"/>
          <w:rtl w:val="0"/>
        </w:rPr>
        <w:t xml:space="preserve">At a Glance</w:t>
      </w:r>
      <w:r w:rsidDel="00000000" w:rsidR="00000000" w:rsidRPr="00000000">
        <w:rPr>
          <w:rtl w:val="0"/>
        </w:rPr>
      </w:r>
    </w:p>
    <w:p w:rsidR="00000000" w:rsidDel="00000000" w:rsidP="00000000" w:rsidRDefault="00000000" w:rsidRPr="00000000" w14:paraId="0000000D">
      <w:pPr>
        <w:spacing w:after="60" w:before="0" w:lineRule="auto"/>
        <w:rPr/>
      </w:pPr>
      <w:r w:rsidDel="00000000" w:rsidR="00000000" w:rsidRPr="00000000">
        <w:rPr>
          <w:rtl w:val="0"/>
        </w:rPr>
      </w:r>
    </w:p>
    <w:tbl>
      <w:tblPr>
        <w:tblStyle w:val="Table1"/>
        <w:tblW w:w="9360.0" w:type="dxa"/>
        <w:jc w:val="left"/>
        <w:tblInd w:w="-120.0" w:type="dxa"/>
        <w:tblBorders>
          <w:top w:color="d0d7e8" w:space="0" w:sz="4" w:val="single"/>
          <w:left w:color="d0d7e8" w:space="0" w:sz="4" w:val="single"/>
          <w:bottom w:color="d0d7e8" w:space="0" w:sz="4" w:val="single"/>
          <w:right w:color="d0d7e8" w:space="0" w:sz="4" w:val="single"/>
          <w:insideH w:color="d0d7e8" w:space="0" w:sz="4" w:val="single"/>
          <w:insideV w:color="d0d7e8"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ffffff"/>
                <w:sz w:val="18"/>
                <w:szCs w:val="18"/>
                <w:rtl w:val="0"/>
              </w:rPr>
              <w:t xml:space="preserve">Attribute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Calibri" w:cs="Calibri" w:eastAsia="Calibri" w:hAnsi="Calibri"/>
                <w:color w:val="333333"/>
                <w:sz w:val="18"/>
                <w:szCs w:val="18"/>
                <w:rtl w:val="0"/>
              </w:rPr>
              <w:t xml:space="preserve">Module</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Calibri" w:cs="Calibri" w:eastAsia="Calibri" w:hAnsi="Calibri"/>
                <w:color w:val="333333"/>
                <w:sz w:val="18"/>
                <w:szCs w:val="18"/>
                <w:rtl w:val="0"/>
              </w:rPr>
              <w:t xml:space="preserve">nFinia Digital Banking &gt; Accounts</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Calibri" w:cs="Calibri" w:eastAsia="Calibri" w:hAnsi="Calibri"/>
                <w:color w:val="333333"/>
                <w:sz w:val="18"/>
                <w:szCs w:val="18"/>
                <w:rtl w:val="0"/>
              </w:rPr>
              <w:t xml:space="preserve">Account Types Shown</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Calibri" w:cs="Calibri" w:eastAsia="Calibri" w:hAnsi="Calibri"/>
                <w:color w:val="333333"/>
                <w:sz w:val="18"/>
                <w:szCs w:val="18"/>
                <w:rtl w:val="0"/>
              </w:rPr>
              <w:t xml:space="preserve">Checking, Savings, Dividends, Money Market, CD, Loans, Lines of Credit</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Calibri" w:cs="Calibri" w:eastAsia="Calibri" w:hAnsi="Calibri"/>
                <w:color w:val="333333"/>
                <w:sz w:val="18"/>
                <w:szCs w:val="18"/>
                <w:rtl w:val="0"/>
              </w:rPr>
              <w:t xml:space="preserve">Transaction History</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Calibri" w:cs="Calibri" w:eastAsia="Calibri" w:hAnsi="Calibri"/>
                <w:color w:val="333333"/>
                <w:sz w:val="18"/>
                <w:szCs w:val="18"/>
                <w:rtl w:val="0"/>
              </w:rPr>
              <w:t xml:space="preserve">Searchable, filterable, exportable</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Calibri" w:cs="Calibri" w:eastAsia="Calibri" w:hAnsi="Calibri"/>
                <w:color w:val="333333"/>
                <w:sz w:val="18"/>
                <w:szCs w:val="18"/>
                <w:rtl w:val="0"/>
              </w:rPr>
              <w:t xml:space="preserve">Account Actions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Calibri" w:cs="Calibri" w:eastAsia="Calibri" w:hAnsi="Calibri"/>
                <w:color w:val="333333"/>
                <w:sz w:val="18"/>
                <w:szCs w:val="18"/>
                <w:rtl w:val="0"/>
              </w:rPr>
              <w:t xml:space="preserve">Check Deposit, Stop Payment, eStatements, Direct Deposit Form</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Calibri" w:cs="Calibri" w:eastAsia="Calibri" w:hAnsi="Calibri"/>
                <w:color w:val="333333"/>
                <w:sz w:val="18"/>
                <w:szCs w:val="18"/>
                <w:rtl w:val="0"/>
              </w:rPr>
              <w:t xml:space="preserve">Related Links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Calibri" w:cs="Calibri" w:eastAsia="Calibri" w:hAnsi="Calibri"/>
                <w:color w:val="333333"/>
                <w:sz w:val="18"/>
                <w:szCs w:val="18"/>
                <w:rtl w:val="0"/>
              </w:rPr>
              <w:t xml:space="preserve">eStatements, Scheduled Transfers, Change Password, Download Statements</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Calibri" w:cs="Calibri" w:eastAsia="Calibri" w:hAnsi="Calibri"/>
                <w:color w:val="333333"/>
                <w:sz w:val="18"/>
                <w:szCs w:val="18"/>
                <w:rtl w:val="0"/>
              </w:rPr>
              <w:t xml:space="preserve">Related Reports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Calibri" w:cs="Calibri" w:eastAsia="Calibri" w:hAnsi="Calibri"/>
                <w:color w:val="333333"/>
                <w:sz w:val="18"/>
                <w:szCs w:val="18"/>
                <w:rtl w:val="0"/>
              </w:rPr>
              <w:t xml:space="preserve">CSUM-04 (Account Detail), CSUM-05 (eDocuments), CSUM-19 (Online Forms)</w:t>
            </w:r>
            <w:r w:rsidDel="00000000" w:rsidR="00000000" w:rsidRPr="00000000">
              <w:rPr>
                <w:rtl w:val="0"/>
              </w:rPr>
            </w:r>
          </w:p>
        </w:tc>
      </w:tr>
    </w:tbl>
    <w:p w:rsidR="00000000" w:rsidDel="00000000" w:rsidP="00000000" w:rsidRDefault="00000000" w:rsidRPr="00000000" w14:paraId="0000001C">
      <w:pPr>
        <w:spacing w:after="200" w:before="0" w:lineRule="auto"/>
        <w:rPr/>
      </w:pPr>
      <w:r w:rsidDel="00000000" w:rsidR="00000000" w:rsidRPr="00000000">
        <w:rPr>
          <w:rtl w:val="0"/>
        </w:rPr>
      </w:r>
    </w:p>
    <w:p w:rsidR="00000000" w:rsidDel="00000000" w:rsidP="00000000" w:rsidRDefault="00000000" w:rsidRPr="00000000" w14:paraId="0000001D">
      <w:pPr>
        <w:shd w:fill="1c3f6e" w:val="clear"/>
        <w:spacing w:after="120" w:before="280" w:lineRule="auto"/>
        <w:ind w:left="216" w:firstLine="0"/>
        <w:rPr/>
      </w:pPr>
      <w:r w:rsidDel="00000000" w:rsidR="00000000" w:rsidRPr="00000000">
        <w:rPr>
          <w:rFonts w:ascii="Calibri" w:cs="Calibri" w:eastAsia="Calibri" w:hAnsi="Calibri"/>
          <w:b w:val="1"/>
          <w:bCs w:val="1"/>
          <w:color w:val="ffffff"/>
          <w:sz w:val="26"/>
          <w:szCs w:val="26"/>
          <w:rtl w:val="0"/>
        </w:rPr>
        <w:t xml:space="preserve">  02  KEY USE CASES</w:t>
      </w:r>
      <w:r w:rsidDel="00000000" w:rsidR="00000000" w:rsidRPr="00000000">
        <w:rPr>
          <w:rtl w:val="0"/>
        </w:rPr>
      </w:r>
    </w:p>
    <w:p w:rsidR="00000000" w:rsidDel="00000000" w:rsidP="00000000" w:rsidRDefault="00000000" w:rsidRPr="00000000" w14:paraId="0000001E">
      <w:pPr>
        <w:spacing w:after="80" w:before="0" w:lineRule="auto"/>
        <w:rPr/>
      </w:pPr>
      <w:r w:rsidDel="00000000" w:rsidR="00000000" w:rsidRPr="00000000">
        <w:rPr>
          <w:rtl w:val="0"/>
        </w:rPr>
      </w:r>
    </w:p>
    <w:tbl>
      <w:tblPr>
        <w:tblStyle w:val="Table2"/>
        <w:tblW w:w="9360.0" w:type="dxa"/>
        <w:jc w:val="left"/>
        <w:tblInd w:w="-120.0" w:type="dxa"/>
        <w:tblBorders>
          <w:top w:color="d0d7e8" w:space="0" w:sz="4" w:val="single"/>
          <w:left w:color="d0d7e8" w:space="0" w:sz="4" w:val="single"/>
          <w:bottom w:color="d0d7e8" w:space="0" w:sz="4" w:val="single"/>
          <w:right w:color="d0d7e8" w:space="0" w:sz="4" w:val="single"/>
          <w:insideH w:color="d0d7e8" w:space="0" w:sz="4" w:val="single"/>
          <w:insideV w:color="d0d7e8" w:space="0" w:sz="4" w:val="single"/>
        </w:tblBorders>
        <w:tblLayout w:type="fixed"/>
        <w:tblLook w:val="0000"/>
      </w:tblPr>
      <w:tblGrid>
        <w:gridCol w:w="1800"/>
        <w:gridCol w:w="1600"/>
        <w:gridCol w:w="3000"/>
        <w:gridCol w:w="2960"/>
        <w:tblGridChange w:id="0">
          <w:tblGrid>
            <w:gridCol w:w="1800"/>
            <w:gridCol w:w="1600"/>
            <w:gridCol w:w="3000"/>
            <w:gridCol w:w="29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Calibri" w:cs="Calibri" w:eastAsia="Calibri" w:hAnsi="Calibri"/>
                <w:b w:val="1"/>
                <w:bCs w:val="1"/>
                <w:color w:val="ffffff"/>
                <w:sz w:val="18"/>
                <w:szCs w:val="18"/>
                <w:rtl w:val="0"/>
              </w:rPr>
              <w:t xml:space="preserve">Use Case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Calibri" w:cs="Calibri" w:eastAsia="Calibri" w:hAnsi="Calibri"/>
                <w:b w:val="1"/>
                <w:bCs w:val="1"/>
                <w:color w:val="ffffff"/>
                <w:sz w:val="18"/>
                <w:szCs w:val="18"/>
                <w:rtl w:val="0"/>
              </w:rPr>
              <w:t xml:space="preserve">Who Uses It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Calibri" w:cs="Calibri" w:eastAsia="Calibri" w:hAnsi="Calibri"/>
                <w:b w:val="1"/>
                <w:bCs w:val="1"/>
                <w:color w:val="ffffff"/>
                <w:sz w:val="18"/>
                <w:szCs w:val="18"/>
                <w:rtl w:val="0"/>
              </w:rPr>
              <w:t xml:space="preserve">What They Do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Calibri" w:cs="Calibri" w:eastAsia="Calibri" w:hAnsi="Calibri"/>
                <w:b w:val="1"/>
                <w:bCs w:val="1"/>
                <w:color w:val="ffffff"/>
                <w:sz w:val="18"/>
                <w:szCs w:val="18"/>
                <w:rtl w:val="0"/>
              </w:rPr>
              <w:t xml:space="preserve">Business Value</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Calibri" w:cs="Calibri" w:eastAsia="Calibri" w:hAnsi="Calibri"/>
                <w:color w:val="333333"/>
                <w:sz w:val="18"/>
                <w:szCs w:val="18"/>
                <w:rtl w:val="0"/>
              </w:rPr>
              <w:t xml:space="preserve">View All Balances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Calibri" w:cs="Calibri" w:eastAsia="Calibri" w:hAnsi="Calibri"/>
                <w:color w:val="333333"/>
                <w:sz w:val="18"/>
                <w:szCs w:val="18"/>
                <w:rtl w:val="0"/>
              </w:rPr>
              <w:t xml:space="preserve">Members checking all account balances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Calibri" w:cs="Calibri" w:eastAsia="Calibri" w:hAnsi="Calibri"/>
                <w:color w:val="333333"/>
                <w:sz w:val="18"/>
                <w:szCs w:val="18"/>
                <w:rtl w:val="0"/>
              </w:rPr>
              <w:t xml:space="preserve">Navigate to Accounts to see all account balances at once</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Calibri" w:cs="Calibri" w:eastAsia="Calibri" w:hAnsi="Calibri"/>
                <w:color w:val="333333"/>
                <w:sz w:val="18"/>
                <w:szCs w:val="18"/>
                <w:rtl w:val="0"/>
              </w:rPr>
              <w:t xml:space="preserve">Single screen replaces multiple branch inquiries</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Calibri" w:cs="Calibri" w:eastAsia="Calibri" w:hAnsi="Calibri"/>
                <w:color w:val="333333"/>
                <w:sz w:val="18"/>
                <w:szCs w:val="18"/>
                <w:rtl w:val="0"/>
              </w:rPr>
              <w:t xml:space="preserve">Find a Transaction</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Calibri" w:cs="Calibri" w:eastAsia="Calibri" w:hAnsi="Calibri"/>
                <w:color w:val="333333"/>
                <w:sz w:val="18"/>
                <w:szCs w:val="18"/>
                <w:rtl w:val="0"/>
              </w:rPr>
              <w:t xml:space="preserve">Members researching specific charge</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Calibri" w:cs="Calibri" w:eastAsia="Calibri" w:hAnsi="Calibri"/>
                <w:color w:val="333333"/>
                <w:sz w:val="18"/>
                <w:szCs w:val="18"/>
                <w:rtl w:val="0"/>
              </w:rPr>
              <w:t xml:space="preserve">Open account detail, use Transaction Search with description or amount</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Calibri" w:cs="Calibri" w:eastAsia="Calibri" w:hAnsi="Calibri"/>
                <w:color w:val="333333"/>
                <w:sz w:val="18"/>
                <w:szCs w:val="18"/>
                <w:rtl w:val="0"/>
              </w:rPr>
              <w:t xml:space="preserve">Self-service transaction research eliminates support calls</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Calibri" w:cs="Calibri" w:eastAsia="Calibri" w:hAnsi="Calibri"/>
                <w:color w:val="333333"/>
                <w:sz w:val="18"/>
                <w:szCs w:val="18"/>
                <w:rtl w:val="0"/>
              </w:rPr>
              <w:t xml:space="preserve">Export Transaction History</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Calibri" w:cs="Calibri" w:eastAsia="Calibri" w:hAnsi="Calibri"/>
                <w:color w:val="333333"/>
                <w:sz w:val="18"/>
                <w:szCs w:val="18"/>
                <w:rtl w:val="0"/>
              </w:rPr>
              <w:t xml:space="preserve">Members needing data for taxes or budgeting</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Calibri" w:cs="Calibri" w:eastAsia="Calibri" w:hAnsi="Calibri"/>
                <w:color w:val="333333"/>
                <w:sz w:val="18"/>
                <w:szCs w:val="18"/>
                <w:rtl w:val="0"/>
              </w:rPr>
              <w:t xml:space="preserve">Use Export Feature to download CSV of transaction history</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Calibri" w:cs="Calibri" w:eastAsia="Calibri" w:hAnsi="Calibri"/>
                <w:color w:val="333333"/>
                <w:sz w:val="18"/>
                <w:szCs w:val="18"/>
                <w:rtl w:val="0"/>
              </w:rPr>
              <w:t xml:space="preserve">Provides machine-readable data for external accounting tools</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Calibri" w:cs="Calibri" w:eastAsia="Calibri" w:hAnsi="Calibri"/>
                <w:color w:val="333333"/>
                <w:sz w:val="18"/>
                <w:szCs w:val="18"/>
                <w:rtl w:val="0"/>
              </w:rPr>
              <w:t xml:space="preserve">Check Account Numbers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Calibri" w:cs="Calibri" w:eastAsia="Calibri" w:hAnsi="Calibri"/>
                <w:color w:val="333333"/>
                <w:sz w:val="18"/>
                <w:szCs w:val="18"/>
                <w:rtl w:val="0"/>
              </w:rPr>
              <w:t xml:space="preserve">Members needing routing/account number</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Calibri" w:cs="Calibri" w:eastAsia="Calibri" w:hAnsi="Calibri"/>
                <w:color w:val="333333"/>
                <w:sz w:val="18"/>
                <w:szCs w:val="18"/>
                <w:rtl w:val="0"/>
              </w:rPr>
              <w:t xml:space="preserve">Open account detail to see masked and full account info</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Calibri" w:cs="Calibri" w:eastAsia="Calibri" w:hAnsi="Calibri"/>
                <w:color w:val="333333"/>
                <w:sz w:val="18"/>
                <w:szCs w:val="18"/>
                <w:rtl w:val="0"/>
              </w:rPr>
              <w:t xml:space="preserve">On-demand access to banking numbers without calling the CU</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Calibri" w:cs="Calibri" w:eastAsia="Calibri" w:hAnsi="Calibri"/>
                <w:color w:val="333333"/>
                <w:sz w:val="18"/>
                <w:szCs w:val="18"/>
                <w:rtl w:val="0"/>
              </w:rPr>
              <w:t xml:space="preserve">Manage Certificate CD</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Calibri" w:cs="Calibri" w:eastAsia="Calibri" w:hAnsi="Calibri"/>
                <w:color w:val="333333"/>
                <w:sz w:val="18"/>
                <w:szCs w:val="18"/>
                <w:rtl w:val="0"/>
              </w:rPr>
              <w:t xml:space="preserve">Members with maturing certificates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Calibri" w:cs="Calibri" w:eastAsia="Calibri" w:hAnsi="Calibri"/>
                <w:color w:val="333333"/>
                <w:sz w:val="18"/>
                <w:szCs w:val="18"/>
                <w:rtl w:val="0"/>
              </w:rPr>
              <w:t xml:space="preserve">Access certificate account detail to renew, close, or change terms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Calibri" w:cs="Calibri" w:eastAsia="Calibri" w:hAnsi="Calibri"/>
                <w:color w:val="333333"/>
                <w:sz w:val="18"/>
                <w:szCs w:val="18"/>
                <w:rtl w:val="0"/>
              </w:rPr>
              <w:t xml:space="preserve">Self-service certificate management without branch visit</w:t>
            </w:r>
            <w:r w:rsidDel="00000000" w:rsidR="00000000" w:rsidRPr="00000000">
              <w:rPr>
                <w:rtl w:val="0"/>
              </w:rPr>
            </w:r>
          </w:p>
        </w:tc>
      </w:tr>
    </w:tbl>
    <w:p w:rsidR="00000000" w:rsidDel="00000000" w:rsidP="00000000" w:rsidRDefault="00000000" w:rsidRPr="00000000" w14:paraId="00000037">
      <w:pPr>
        <w:spacing w:after="200" w:before="0" w:lineRule="auto"/>
        <w:rPr/>
      </w:pPr>
      <w:r w:rsidDel="00000000" w:rsidR="00000000" w:rsidRPr="00000000">
        <w:rPr>
          <w:rtl w:val="0"/>
        </w:rPr>
      </w:r>
    </w:p>
    <w:p w:rsidR="00000000" w:rsidDel="00000000" w:rsidP="00000000" w:rsidRDefault="00000000" w:rsidRPr="00000000" w14:paraId="00000038">
      <w:pPr>
        <w:shd w:fill="1c3f6e" w:val="clear"/>
        <w:spacing w:after="120" w:before="280" w:lineRule="auto"/>
        <w:ind w:left="216" w:firstLine="0"/>
        <w:rPr/>
      </w:pPr>
      <w:r w:rsidDel="00000000" w:rsidR="00000000" w:rsidRPr="00000000">
        <w:rPr>
          <w:rFonts w:ascii="Calibri" w:cs="Calibri" w:eastAsia="Calibri" w:hAnsi="Calibri"/>
          <w:b w:val="1"/>
          <w:bCs w:val="1"/>
          <w:color w:val="ffffff"/>
          <w:sz w:val="26"/>
          <w:szCs w:val="26"/>
          <w:rtl w:val="0"/>
        </w:rPr>
        <w:t xml:space="preserve">  03  STEP-BY-STEP GUIDE</w:t>
      </w:r>
      <w:r w:rsidDel="00000000" w:rsidR="00000000" w:rsidRPr="00000000">
        <w:rPr>
          <w:rtl w:val="0"/>
        </w:rPr>
      </w:r>
    </w:p>
    <w:p w:rsidR="00000000" w:rsidDel="00000000" w:rsidP="00000000" w:rsidRDefault="00000000" w:rsidRPr="00000000" w14:paraId="00000039">
      <w:pPr>
        <w:spacing w:after="60" w:before="0" w:lineRule="auto"/>
        <w:rPr/>
      </w:pPr>
      <w:r w:rsidDel="00000000" w:rsidR="00000000" w:rsidRPr="00000000">
        <w:rPr>
          <w:rtl w:val="0"/>
        </w:rPr>
      </w:r>
    </w:p>
    <w:p w:rsidR="00000000" w:rsidDel="00000000" w:rsidP="00000000" w:rsidRDefault="00000000" w:rsidRPr="00000000" w14:paraId="0000003A">
      <w:pPr>
        <w:spacing w:after="60" w:before="0" w:lineRule="auto"/>
        <w:ind w:left="360" w:firstLine="0"/>
        <w:rPr/>
      </w:pPr>
      <w:r w:rsidDel="00000000" w:rsidR="00000000" w:rsidRPr="00000000">
        <w:rPr>
          <w:rFonts w:ascii="Calibri" w:cs="Calibri" w:eastAsia="Calibri" w:hAnsi="Calibri"/>
          <w:i w:val="1"/>
          <w:iCs w:val="1"/>
          <w:color w:val="555555"/>
          <w:sz w:val="18"/>
          <w:szCs w:val="18"/>
          <w:rtl w:val="0"/>
        </w:rPr>
        <w:t xml:space="preserve">Navigation: Dashboard &gt; 'Accounts' link in top navigation bar.</w:t>
      </w:r>
      <w:r w:rsidDel="00000000" w:rsidR="00000000" w:rsidRPr="00000000">
        <w:rPr>
          <w:rtl w:val="0"/>
        </w:rPr>
      </w:r>
    </w:p>
    <w:p w:rsidR="00000000" w:rsidDel="00000000" w:rsidP="00000000" w:rsidRDefault="00000000" w:rsidRPr="00000000" w14:paraId="0000003B">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C">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1 — Start from Dashboard</w:t>
      </w:r>
      <w:r w:rsidDel="00000000" w:rsidR="00000000" w:rsidRPr="00000000">
        <w:rPr>
          <w:rtl w:val="0"/>
        </w:rPr>
      </w:r>
    </w:p>
    <w:p w:rsidR="00000000" w:rsidDel="00000000" w:rsidP="00000000" w:rsidRDefault="00000000" w:rsidRPr="00000000" w14:paraId="0000003D">
      <w:pPr>
        <w:spacing w:after="100" w:before="60" w:lineRule="auto"/>
        <w:rPr/>
      </w:pPr>
      <w:r w:rsidDel="00000000" w:rsidR="00000000" w:rsidRPr="00000000">
        <w:rPr>
          <w:rFonts w:ascii="Calibri" w:cs="Calibri" w:eastAsia="Calibri" w:hAnsi="Calibri"/>
          <w:color w:val="333333"/>
          <w:sz w:val="20"/>
          <w:szCs w:val="20"/>
          <w:rtl w:val="0"/>
        </w:rPr>
        <w:t xml:space="preserve">The member begins at the Dashboard after logging in. The Dashboard displays all account balances, upcoming payments, quick-action tiles, and the top navigation bar with links to Accounts, Move Money, and More.</w:t>
      </w:r>
      <w:r w:rsidDel="00000000" w:rsidR="00000000" w:rsidRPr="00000000">
        <w:rPr>
          <w:rtl w:val="0"/>
        </w:rPr>
      </w:r>
    </w:p>
    <w:p w:rsidR="00000000" w:rsidDel="00000000" w:rsidP="00000000" w:rsidRDefault="00000000" w:rsidRPr="00000000" w14:paraId="0000003E">
      <w:pPr>
        <w:spacing w:after="60" w:before="100" w:lineRule="auto"/>
        <w:jc w:val="center"/>
        <w:rPr/>
      </w:pPr>
      <w:r w:rsidDel="00000000" w:rsidR="00000000" w:rsidRPr="00000000">
        <w:rPr/>
        <w:drawing>
          <wp:inline distB="0" distT="0" distL="114300" distR="114300">
            <wp:extent cx="5486400" cy="6879431"/>
            <wp:effectExtent b="0" l="0" r="0" t="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86400" cy="6879431"/>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1: Start from Dashboard</w:t>
      </w:r>
      <w:r w:rsidDel="00000000" w:rsidR="00000000" w:rsidRPr="00000000">
        <w:rPr>
          <w:rtl w:val="0"/>
        </w:rPr>
      </w:r>
    </w:p>
    <w:p w:rsidR="00000000" w:rsidDel="00000000" w:rsidP="00000000" w:rsidRDefault="00000000" w:rsidRPr="00000000" w14:paraId="00000040">
      <w:pPr>
        <w:spacing w:after="80" w:before="0" w:lineRule="auto"/>
        <w:rPr/>
      </w:pPr>
      <w:r w:rsidDel="00000000" w:rsidR="00000000" w:rsidRPr="00000000">
        <w:rPr>
          <w:rtl w:val="0"/>
        </w:rPr>
      </w:r>
    </w:p>
    <w:p w:rsidR="00000000" w:rsidDel="00000000" w:rsidP="00000000" w:rsidRDefault="00000000" w:rsidRPr="00000000" w14:paraId="00000041">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2">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2 — Open the More Menu</w:t>
      </w:r>
      <w:r w:rsidDel="00000000" w:rsidR="00000000" w:rsidRPr="00000000">
        <w:rPr>
          <w:rtl w:val="0"/>
        </w:rPr>
      </w:r>
    </w:p>
    <w:p w:rsidR="00000000" w:rsidDel="00000000" w:rsidP="00000000" w:rsidRDefault="00000000" w:rsidRPr="00000000" w14:paraId="00000043">
      <w:pPr>
        <w:spacing w:after="100" w:before="60" w:lineRule="auto"/>
        <w:rPr/>
      </w:pPr>
      <w:r w:rsidDel="00000000" w:rsidR="00000000" w:rsidRPr="00000000">
        <w:rPr>
          <w:rFonts w:ascii="Calibri" w:cs="Calibri" w:eastAsia="Calibri" w:hAnsi="Calibri"/>
          <w:color w:val="333333"/>
          <w:sz w:val="20"/>
          <w:szCs w:val="20"/>
          <w:rtl w:val="0"/>
        </w:rPr>
        <w:t xml:space="preserve">The member clicks ‘More’ in the top navigation bar. The More options panel expands to show additional features: Check Deposit, User ID and Password, eDocuments, Account Alerts, General Alerts, Password, Forms, One-Time Passcode, Skip A Pay, Do-Not-Disturb, Manage Devices, My Insights, Alert Settings, Recent Activities, and Card Services.</w:t>
      </w:r>
      <w:r w:rsidDel="00000000" w:rsidR="00000000" w:rsidRPr="00000000">
        <w:rPr>
          <w:rtl w:val="0"/>
        </w:rPr>
      </w:r>
    </w:p>
    <w:p w:rsidR="00000000" w:rsidDel="00000000" w:rsidP="00000000" w:rsidRDefault="00000000" w:rsidRPr="00000000" w14:paraId="00000044">
      <w:pPr>
        <w:spacing w:after="60" w:before="100" w:lineRule="auto"/>
        <w:jc w:val="center"/>
        <w:rPr/>
      </w:pPr>
      <w:r w:rsidDel="00000000" w:rsidR="00000000" w:rsidRPr="00000000">
        <w:rPr/>
        <w:drawing>
          <wp:inline distB="0" distT="0" distL="114300" distR="114300">
            <wp:extent cx="5486400" cy="4101981"/>
            <wp:effectExtent b="0" l="0" r="0" t="0"/>
            <wp:docPr id="1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86400" cy="4101981"/>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2: More Menu</w:t>
      </w:r>
      <w:r w:rsidDel="00000000" w:rsidR="00000000" w:rsidRPr="00000000">
        <w:rPr>
          <w:rtl w:val="0"/>
        </w:rPr>
      </w:r>
    </w:p>
    <w:p w:rsidR="00000000" w:rsidDel="00000000" w:rsidP="00000000" w:rsidRDefault="00000000" w:rsidRPr="00000000" w14:paraId="00000046">
      <w:pPr>
        <w:spacing w:after="80" w:before="0" w:lineRule="auto"/>
        <w:rPr/>
      </w:pPr>
      <w:r w:rsidDel="00000000" w:rsidR="00000000" w:rsidRPr="00000000">
        <w:rPr>
          <w:rtl w:val="0"/>
        </w:rPr>
      </w:r>
    </w:p>
    <w:p w:rsidR="00000000" w:rsidDel="00000000" w:rsidP="00000000" w:rsidRDefault="00000000" w:rsidRPr="00000000" w14:paraId="00000047">
      <w:pPr>
        <w:spacing w:after="80" w:before="0" w:lineRule="auto"/>
        <w:rPr/>
      </w:pPr>
      <w:r w:rsidDel="00000000" w:rsidR="00000000" w:rsidRPr="00000000">
        <w:rPr>
          <w:rtl w:val="0"/>
        </w:rPr>
      </w:r>
    </w:p>
    <w:p w:rsidR="00000000" w:rsidDel="00000000" w:rsidP="00000000" w:rsidRDefault="00000000" w:rsidRPr="00000000" w14:paraId="00000048">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9">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3 — Navigate from Dashboard to Accounts</w:t>
      </w:r>
      <w:r w:rsidDel="00000000" w:rsidR="00000000" w:rsidRPr="00000000">
        <w:rPr>
          <w:rtl w:val="0"/>
        </w:rPr>
      </w:r>
    </w:p>
    <w:p w:rsidR="00000000" w:rsidDel="00000000" w:rsidP="00000000" w:rsidRDefault="00000000" w:rsidRPr="00000000" w14:paraId="0000004A">
      <w:pPr>
        <w:spacing w:after="100" w:before="60" w:lineRule="auto"/>
        <w:rPr/>
      </w:pPr>
      <w:r w:rsidDel="00000000" w:rsidR="00000000" w:rsidRPr="00000000">
        <w:rPr>
          <w:rFonts w:ascii="Calibri" w:cs="Calibri" w:eastAsia="Calibri" w:hAnsi="Calibri"/>
          <w:color w:val="333333"/>
          <w:sz w:val="20"/>
          <w:szCs w:val="20"/>
          <w:rtl w:val="0"/>
        </w:rPr>
        <w:t xml:space="preserve">The Account Overview page is displayed showing a compact list of account cards. Each card shows the account name and current balance in a condensed view.</w:t>
      </w:r>
      <w:r w:rsidDel="00000000" w:rsidR="00000000" w:rsidRPr="00000000">
        <w:rPr>
          <w:rtl w:val="0"/>
        </w:rPr>
      </w:r>
    </w:p>
    <w:p w:rsidR="00000000" w:rsidDel="00000000" w:rsidP="00000000" w:rsidRDefault="00000000" w:rsidRPr="00000000" w14:paraId="0000004B">
      <w:pPr>
        <w:spacing w:after="60" w:before="100" w:lineRule="auto"/>
        <w:jc w:val="center"/>
        <w:rPr/>
      </w:pPr>
      <w:r w:rsidDel="00000000" w:rsidR="00000000" w:rsidRPr="00000000">
        <w:rPr/>
        <w:drawing>
          <wp:inline distB="0" distT="0" distL="114300" distR="114300">
            <wp:extent cx="2696248" cy="8020050"/>
            <wp:effectExtent b="0" l="0" r="0" t="0"/>
            <wp:docPr id="9"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2696248" cy="802005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3: Navigate from Dashboard to Accounts</w:t>
      </w:r>
      <w:r w:rsidDel="00000000" w:rsidR="00000000" w:rsidRPr="00000000">
        <w:rPr>
          <w:rtl w:val="0"/>
        </w:rPr>
      </w:r>
    </w:p>
    <w:p w:rsidR="00000000" w:rsidDel="00000000" w:rsidP="00000000" w:rsidRDefault="00000000" w:rsidRPr="00000000" w14:paraId="0000004D">
      <w:pPr>
        <w:spacing w:after="80" w:before="0" w:lineRule="auto"/>
        <w:rPr/>
      </w:pPr>
      <w:r w:rsidDel="00000000" w:rsidR="00000000" w:rsidRPr="00000000">
        <w:rPr>
          <w:rtl w:val="0"/>
        </w:rPr>
      </w:r>
    </w:p>
    <w:p w:rsidR="00000000" w:rsidDel="00000000" w:rsidP="00000000" w:rsidRDefault="00000000" w:rsidRPr="00000000" w14:paraId="0000004E">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4 — Scroll Full Account List</w:t>
      </w:r>
      <w:r w:rsidDel="00000000" w:rsidR="00000000" w:rsidRPr="00000000">
        <w:rPr>
          <w:rtl w:val="0"/>
        </w:rPr>
      </w:r>
    </w:p>
    <w:p w:rsidR="00000000" w:rsidDel="00000000" w:rsidP="00000000" w:rsidRDefault="00000000" w:rsidRPr="00000000" w14:paraId="0000004F">
      <w:pPr>
        <w:spacing w:after="100" w:before="60" w:lineRule="auto"/>
        <w:rPr/>
      </w:pPr>
      <w:r w:rsidDel="00000000" w:rsidR="00000000" w:rsidRPr="00000000">
        <w:rPr>
          <w:rFonts w:ascii="Calibri" w:cs="Calibri" w:eastAsia="Calibri" w:hAnsi="Calibri"/>
          <w:color w:val="333333"/>
          <w:sz w:val="20"/>
          <w:szCs w:val="20"/>
          <w:rtl w:val="0"/>
        </w:rPr>
        <w:t xml:space="preserve">The complete Accounts page is shown with all account types organized by category — checking, savings, credit cards, and loans — each displaying their current balances and action links.</w:t>
      </w:r>
      <w:r w:rsidDel="00000000" w:rsidR="00000000" w:rsidRPr="00000000">
        <w:rPr>
          <w:rtl w:val="0"/>
        </w:rPr>
      </w:r>
    </w:p>
    <w:p w:rsidR="00000000" w:rsidDel="00000000" w:rsidP="00000000" w:rsidRDefault="00000000" w:rsidRPr="00000000" w14:paraId="00000050">
      <w:pPr>
        <w:spacing w:after="60" w:before="100" w:lineRule="auto"/>
        <w:jc w:val="center"/>
        <w:rPr/>
      </w:pPr>
      <w:r w:rsidDel="00000000" w:rsidR="00000000" w:rsidRPr="00000000">
        <w:rPr/>
        <w:drawing>
          <wp:inline distB="0" distT="0" distL="114300" distR="114300">
            <wp:extent cx="4395646" cy="7491413"/>
            <wp:effectExtent b="0" l="0" r="0" t="0"/>
            <wp:docPr id="1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395646" cy="7491413"/>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4: Scroll Full Account List</w:t>
      </w:r>
      <w:r w:rsidDel="00000000" w:rsidR="00000000" w:rsidRPr="00000000">
        <w:rPr>
          <w:rtl w:val="0"/>
        </w:rPr>
      </w:r>
    </w:p>
    <w:p w:rsidR="00000000" w:rsidDel="00000000" w:rsidP="00000000" w:rsidRDefault="00000000" w:rsidRPr="00000000" w14:paraId="00000052">
      <w:pPr>
        <w:spacing w:after="80" w:before="0" w:lineRule="auto"/>
        <w:rPr/>
      </w:pPr>
      <w:r w:rsidDel="00000000" w:rsidR="00000000" w:rsidRPr="00000000">
        <w:rPr>
          <w:rtl w:val="0"/>
        </w:rPr>
      </w:r>
    </w:p>
    <w:p w:rsidR="00000000" w:rsidDel="00000000" w:rsidP="00000000" w:rsidRDefault="00000000" w:rsidRPr="00000000" w14:paraId="00000053">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5 — Open Checking Account Detail</w:t>
      </w:r>
      <w:r w:rsidDel="00000000" w:rsidR="00000000" w:rsidRPr="00000000">
        <w:rPr>
          <w:rtl w:val="0"/>
        </w:rPr>
      </w:r>
    </w:p>
    <w:p w:rsidR="00000000" w:rsidDel="00000000" w:rsidP="00000000" w:rsidRDefault="00000000" w:rsidRPr="00000000" w14:paraId="00000054">
      <w:pPr>
        <w:spacing w:after="100" w:before="60" w:lineRule="auto"/>
        <w:rPr/>
      </w:pPr>
      <w:r w:rsidDel="00000000" w:rsidR="00000000" w:rsidRPr="00000000">
        <w:rPr>
          <w:rFonts w:ascii="Calibri" w:cs="Calibri" w:eastAsia="Calibri" w:hAnsi="Calibri"/>
          <w:color w:val="333333"/>
          <w:sz w:val="20"/>
          <w:szCs w:val="20"/>
          <w:rtl w:val="0"/>
        </w:rPr>
        <w:t xml:space="preserve">The Retail Checking Account detail page is displayed, showing the available and current balance, ACH number, and a transaction list with multiple entries including dates, descriptions, amounts, and running balances.</w:t>
      </w:r>
      <w:r w:rsidDel="00000000" w:rsidR="00000000" w:rsidRPr="00000000">
        <w:rPr>
          <w:rtl w:val="0"/>
        </w:rPr>
      </w:r>
    </w:p>
    <w:p w:rsidR="00000000" w:rsidDel="00000000" w:rsidP="00000000" w:rsidRDefault="00000000" w:rsidRPr="00000000" w14:paraId="00000055">
      <w:pPr>
        <w:spacing w:after="60" w:before="100" w:lineRule="auto"/>
        <w:jc w:val="center"/>
        <w:rPr/>
      </w:pPr>
      <w:r w:rsidDel="00000000" w:rsidR="00000000" w:rsidRPr="00000000">
        <w:rPr/>
        <w:drawing>
          <wp:inline distB="0" distT="0" distL="114300" distR="114300">
            <wp:extent cx="4721086" cy="7138988"/>
            <wp:effectExtent b="0" l="0" r="0" t="0"/>
            <wp:docPr id="1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721086" cy="7138988"/>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5: Open Checking Account Detail</w:t>
      </w:r>
      <w:r w:rsidDel="00000000" w:rsidR="00000000" w:rsidRPr="00000000">
        <w:rPr>
          <w:rtl w:val="0"/>
        </w:rPr>
      </w:r>
    </w:p>
    <w:p w:rsidR="00000000" w:rsidDel="00000000" w:rsidP="00000000" w:rsidRDefault="00000000" w:rsidRPr="00000000" w14:paraId="00000057">
      <w:pPr>
        <w:spacing w:after="80" w:before="0" w:lineRule="auto"/>
        <w:rPr/>
      </w:pPr>
      <w:r w:rsidDel="00000000" w:rsidR="00000000" w:rsidRPr="00000000">
        <w:rPr>
          <w:rtl w:val="0"/>
        </w:rPr>
      </w:r>
    </w:p>
    <w:p w:rsidR="00000000" w:rsidDel="00000000" w:rsidP="00000000" w:rsidRDefault="00000000" w:rsidRPr="00000000" w14:paraId="00000058">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6 — Open Savings / Dividends Account Detail</w:t>
      </w:r>
      <w:r w:rsidDel="00000000" w:rsidR="00000000" w:rsidRPr="00000000">
        <w:rPr>
          <w:rtl w:val="0"/>
        </w:rPr>
      </w:r>
    </w:p>
    <w:p w:rsidR="00000000" w:rsidDel="00000000" w:rsidP="00000000" w:rsidRDefault="00000000" w:rsidRPr="00000000" w14:paraId="00000059">
      <w:pPr>
        <w:spacing w:after="100" w:before="60" w:lineRule="auto"/>
        <w:rPr/>
      </w:pPr>
      <w:r w:rsidDel="00000000" w:rsidR="00000000" w:rsidRPr="00000000">
        <w:rPr>
          <w:rFonts w:ascii="Calibri" w:cs="Calibri" w:eastAsia="Calibri" w:hAnsi="Calibri"/>
          <w:color w:val="333333"/>
          <w:sz w:val="20"/>
          <w:szCs w:val="20"/>
          <w:rtl w:val="0"/>
        </w:rPr>
        <w:t xml:space="preserve">The checking account detail page continues, showing the transaction list with transfer and deposit transactions. Each entry displays the date, description, amount, and running balance.</w:t>
      </w:r>
      <w:r w:rsidDel="00000000" w:rsidR="00000000" w:rsidRPr="00000000">
        <w:rPr>
          <w:rtl w:val="0"/>
        </w:rPr>
      </w:r>
    </w:p>
    <w:p w:rsidR="00000000" w:rsidDel="00000000" w:rsidP="00000000" w:rsidRDefault="00000000" w:rsidRPr="00000000" w14:paraId="0000005A">
      <w:pPr>
        <w:spacing w:after="60" w:before="100" w:lineRule="auto"/>
        <w:jc w:val="center"/>
        <w:rPr/>
      </w:pPr>
      <w:r w:rsidDel="00000000" w:rsidR="00000000" w:rsidRPr="00000000">
        <w:rPr/>
        <w:drawing>
          <wp:inline distB="0" distT="0" distL="114300" distR="114300">
            <wp:extent cx="4514850" cy="6803628"/>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514850" cy="6803628"/>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6: Open Savings / Dividends Account Detail</w:t>
      </w:r>
      <w:r w:rsidDel="00000000" w:rsidR="00000000" w:rsidRPr="00000000">
        <w:rPr>
          <w:rtl w:val="0"/>
        </w:rPr>
      </w:r>
    </w:p>
    <w:p w:rsidR="00000000" w:rsidDel="00000000" w:rsidP="00000000" w:rsidRDefault="00000000" w:rsidRPr="00000000" w14:paraId="0000005C">
      <w:pPr>
        <w:spacing w:after="80" w:before="0" w:lineRule="auto"/>
        <w:rPr/>
      </w:pPr>
      <w:r w:rsidDel="00000000" w:rsidR="00000000" w:rsidRPr="00000000">
        <w:rPr>
          <w:rtl w:val="0"/>
        </w:rPr>
      </w:r>
    </w:p>
    <w:p w:rsidR="00000000" w:rsidDel="00000000" w:rsidP="00000000" w:rsidRDefault="00000000" w:rsidRPr="00000000" w14:paraId="0000005D">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E">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7 — View All Account Types Overview</w:t>
      </w:r>
      <w:r w:rsidDel="00000000" w:rsidR="00000000" w:rsidRPr="00000000">
        <w:rPr>
          <w:rtl w:val="0"/>
        </w:rPr>
      </w:r>
    </w:p>
    <w:p w:rsidR="00000000" w:rsidDel="00000000" w:rsidP="00000000" w:rsidRDefault="00000000" w:rsidRPr="00000000" w14:paraId="0000005F">
      <w:pPr>
        <w:spacing w:after="100" w:before="60" w:lineRule="auto"/>
        <w:rPr/>
      </w:pPr>
      <w:r w:rsidDel="00000000" w:rsidR="00000000" w:rsidRPr="00000000">
        <w:rPr>
          <w:rFonts w:ascii="Calibri" w:cs="Calibri" w:eastAsia="Calibri" w:hAnsi="Calibri"/>
          <w:color w:val="333333"/>
          <w:sz w:val="20"/>
          <w:szCs w:val="20"/>
          <w:rtl w:val="0"/>
        </w:rPr>
        <w:t xml:space="preserve">The Account Overview page shows all account types grouped by category — checking, savings, credit card, and loan — with balances and quick action buttons displayed for each account.</w:t>
      </w:r>
      <w:r w:rsidDel="00000000" w:rsidR="00000000" w:rsidRPr="00000000">
        <w:rPr>
          <w:rtl w:val="0"/>
        </w:rPr>
      </w:r>
    </w:p>
    <w:p w:rsidR="00000000" w:rsidDel="00000000" w:rsidP="00000000" w:rsidRDefault="00000000" w:rsidRPr="00000000" w14:paraId="00000060">
      <w:pPr>
        <w:spacing w:after="60" w:before="100" w:lineRule="auto"/>
        <w:jc w:val="center"/>
        <w:rPr/>
      </w:pPr>
      <w:r w:rsidDel="00000000" w:rsidR="00000000" w:rsidRPr="00000000">
        <w:rPr/>
        <w:drawing>
          <wp:inline distB="0" distT="0" distL="114300" distR="114300">
            <wp:extent cx="4724400" cy="7193227"/>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724400" cy="7193227"/>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7: View All Account Types Overview</w:t>
      </w:r>
      <w:r w:rsidDel="00000000" w:rsidR="00000000" w:rsidRPr="00000000">
        <w:rPr>
          <w:rtl w:val="0"/>
        </w:rPr>
      </w:r>
    </w:p>
    <w:p w:rsidR="00000000" w:rsidDel="00000000" w:rsidP="00000000" w:rsidRDefault="00000000" w:rsidRPr="00000000" w14:paraId="00000062">
      <w:pPr>
        <w:spacing w:after="80" w:before="0" w:lineRule="auto"/>
        <w:rPr/>
      </w:pPr>
      <w:r w:rsidDel="00000000" w:rsidR="00000000" w:rsidRPr="00000000">
        <w:rPr>
          <w:rtl w:val="0"/>
        </w:rPr>
      </w:r>
    </w:p>
    <w:p w:rsidR="00000000" w:rsidDel="00000000" w:rsidP="00000000" w:rsidRDefault="00000000" w:rsidRPr="00000000" w14:paraId="00000063">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4">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8 — Access Related Links &amp; Services</w:t>
      </w:r>
      <w:r w:rsidDel="00000000" w:rsidR="00000000" w:rsidRPr="00000000">
        <w:rPr>
          <w:rtl w:val="0"/>
        </w:rPr>
      </w:r>
    </w:p>
    <w:p w:rsidR="00000000" w:rsidDel="00000000" w:rsidP="00000000" w:rsidRDefault="00000000" w:rsidRPr="00000000" w14:paraId="00000065">
      <w:pPr>
        <w:spacing w:after="100" w:before="60" w:lineRule="auto"/>
        <w:rPr/>
      </w:pPr>
      <w:r w:rsidDel="00000000" w:rsidR="00000000" w:rsidRPr="00000000">
        <w:rPr>
          <w:rFonts w:ascii="Calibri" w:cs="Calibri" w:eastAsia="Calibri" w:hAnsi="Calibri"/>
          <w:color w:val="333333"/>
          <w:sz w:val="20"/>
          <w:szCs w:val="20"/>
          <w:rtl w:val="0"/>
        </w:rPr>
        <w:t xml:space="preserve">The full-page account overview is shown with all account categories, a promotional messaging banner, and a right sidebar containing Related Links and upcoming payments information.</w:t>
      </w:r>
      <w:r w:rsidDel="00000000" w:rsidR="00000000" w:rsidRPr="00000000">
        <w:rPr>
          <w:rtl w:val="0"/>
        </w:rPr>
      </w:r>
    </w:p>
    <w:p w:rsidR="00000000" w:rsidDel="00000000" w:rsidP="00000000" w:rsidRDefault="00000000" w:rsidRPr="00000000" w14:paraId="00000066">
      <w:pPr>
        <w:spacing w:after="60" w:before="100" w:lineRule="auto"/>
        <w:jc w:val="center"/>
        <w:rPr/>
      </w:pPr>
      <w:r w:rsidDel="00000000" w:rsidR="00000000" w:rsidRPr="00000000">
        <w:rPr/>
        <w:drawing>
          <wp:inline distB="0" distT="0" distL="114300" distR="114300">
            <wp:extent cx="2700911" cy="8039100"/>
            <wp:effectExtent b="0" l="0" r="0" t="0"/>
            <wp:docPr id="4"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2700911" cy="80391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8: Access Related Links &amp; Services</w:t>
      </w:r>
      <w:r w:rsidDel="00000000" w:rsidR="00000000" w:rsidRPr="00000000">
        <w:rPr>
          <w:rtl w:val="0"/>
        </w:rPr>
      </w:r>
    </w:p>
    <w:p w:rsidR="00000000" w:rsidDel="00000000" w:rsidP="00000000" w:rsidRDefault="00000000" w:rsidRPr="00000000" w14:paraId="00000068">
      <w:pPr>
        <w:spacing w:after="80" w:before="0" w:lineRule="auto"/>
        <w:rPr/>
      </w:pPr>
      <w:r w:rsidDel="00000000" w:rsidR="00000000" w:rsidRPr="00000000">
        <w:rPr>
          <w:rtl w:val="0"/>
        </w:rPr>
      </w:r>
    </w:p>
    <w:p w:rsidR="00000000" w:rsidDel="00000000" w:rsidP="00000000" w:rsidRDefault="00000000" w:rsidRPr="00000000" w14:paraId="00000069">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9 — Check Deposit from Account Detail</w:t>
      </w:r>
      <w:r w:rsidDel="00000000" w:rsidR="00000000" w:rsidRPr="00000000">
        <w:rPr>
          <w:rtl w:val="0"/>
        </w:rPr>
      </w:r>
    </w:p>
    <w:p w:rsidR="00000000" w:rsidDel="00000000" w:rsidP="00000000" w:rsidRDefault="00000000" w:rsidRPr="00000000" w14:paraId="0000006A">
      <w:pPr>
        <w:spacing w:after="100" w:before="60" w:lineRule="auto"/>
        <w:rPr/>
      </w:pPr>
      <w:r w:rsidDel="00000000" w:rsidR="00000000" w:rsidRPr="00000000">
        <w:rPr>
          <w:rFonts w:ascii="Calibri" w:cs="Calibri" w:eastAsia="Calibri" w:hAnsi="Calibri"/>
          <w:color w:val="333333"/>
          <w:sz w:val="20"/>
          <w:szCs w:val="20"/>
          <w:rtl w:val="0"/>
        </w:rPr>
        <w:t xml:space="preserve">The Check Deposit page is displayed with a 'Check Deposit' header and a blue informational banner promoting direct deposit services. The deposit interface is accessible from this screen.</w:t>
      </w:r>
      <w:r w:rsidDel="00000000" w:rsidR="00000000" w:rsidRPr="00000000">
        <w:rPr>
          <w:rtl w:val="0"/>
        </w:rPr>
      </w:r>
    </w:p>
    <w:p w:rsidR="00000000" w:rsidDel="00000000" w:rsidP="00000000" w:rsidRDefault="00000000" w:rsidRPr="00000000" w14:paraId="0000006B">
      <w:pPr>
        <w:spacing w:after="60" w:before="100" w:lineRule="auto"/>
        <w:jc w:val="center"/>
        <w:rPr/>
      </w:pPr>
      <w:r w:rsidDel="00000000" w:rsidR="00000000" w:rsidRPr="00000000">
        <w:rPr/>
        <w:drawing>
          <wp:inline distB="0" distT="0" distL="114300" distR="114300">
            <wp:extent cx="5486400" cy="4151870"/>
            <wp:effectExtent b="0" l="0" r="0" t="0"/>
            <wp:docPr id="3"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486400" cy="415187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9: Check Deposit from Account Detail</w:t>
      </w:r>
      <w:r w:rsidDel="00000000" w:rsidR="00000000" w:rsidRPr="00000000">
        <w:rPr>
          <w:rtl w:val="0"/>
        </w:rPr>
      </w:r>
    </w:p>
    <w:p w:rsidR="00000000" w:rsidDel="00000000" w:rsidP="00000000" w:rsidRDefault="00000000" w:rsidRPr="00000000" w14:paraId="0000006D">
      <w:pPr>
        <w:spacing w:after="80" w:before="0" w:lineRule="auto"/>
        <w:rPr/>
      </w:pPr>
      <w:r w:rsidDel="00000000" w:rsidR="00000000" w:rsidRPr="00000000">
        <w:rPr>
          <w:rtl w:val="0"/>
        </w:rPr>
      </w:r>
    </w:p>
    <w:p w:rsidR="00000000" w:rsidDel="00000000" w:rsidP="00000000" w:rsidRDefault="00000000" w:rsidRPr="00000000" w14:paraId="0000006E">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F">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10 — Check Deposit — Select Membership</w:t>
      </w:r>
      <w:r w:rsidDel="00000000" w:rsidR="00000000" w:rsidRPr="00000000">
        <w:rPr>
          <w:rtl w:val="0"/>
        </w:rPr>
      </w:r>
    </w:p>
    <w:p w:rsidR="00000000" w:rsidDel="00000000" w:rsidP="00000000" w:rsidRDefault="00000000" w:rsidRPr="00000000" w14:paraId="00000070">
      <w:pPr>
        <w:spacing w:after="100" w:before="60" w:lineRule="auto"/>
        <w:rPr/>
      </w:pPr>
      <w:r w:rsidDel="00000000" w:rsidR="00000000" w:rsidRPr="00000000">
        <w:rPr>
          <w:rFonts w:ascii="Calibri" w:cs="Calibri" w:eastAsia="Calibri" w:hAnsi="Calibri"/>
          <w:color w:val="333333"/>
          <w:sz w:val="20"/>
          <w:szCs w:val="20"/>
          <w:rtl w:val="0"/>
        </w:rPr>
        <w:t xml:space="preserve">The Check Deposit page shows a membership selection dropdown listing multiple membership accounts, each identified by number and name, for the member to select before depositing a check.</w:t>
      </w:r>
      <w:r w:rsidDel="00000000" w:rsidR="00000000" w:rsidRPr="00000000">
        <w:rPr>
          <w:rtl w:val="0"/>
        </w:rPr>
      </w:r>
    </w:p>
    <w:p w:rsidR="00000000" w:rsidDel="00000000" w:rsidP="00000000" w:rsidRDefault="00000000" w:rsidRPr="00000000" w14:paraId="00000071">
      <w:pPr>
        <w:spacing w:after="60" w:before="100" w:lineRule="auto"/>
        <w:jc w:val="center"/>
        <w:rPr/>
      </w:pPr>
      <w:r w:rsidDel="00000000" w:rsidR="00000000" w:rsidRPr="00000000">
        <w:rPr/>
        <w:drawing>
          <wp:inline distB="0" distT="0" distL="114300" distR="114300">
            <wp:extent cx="5486400" cy="3901694"/>
            <wp:effectExtent b="0" l="0" r="0" t="0"/>
            <wp:docPr id="7"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486400" cy="3901694"/>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10: Check Deposit — Select Membership</w:t>
      </w:r>
      <w:r w:rsidDel="00000000" w:rsidR="00000000" w:rsidRPr="00000000">
        <w:rPr>
          <w:rtl w:val="0"/>
        </w:rPr>
      </w:r>
    </w:p>
    <w:p w:rsidR="00000000" w:rsidDel="00000000" w:rsidP="00000000" w:rsidRDefault="00000000" w:rsidRPr="00000000" w14:paraId="00000073">
      <w:pPr>
        <w:spacing w:after="80" w:before="0" w:lineRule="auto"/>
        <w:rPr/>
      </w:pPr>
      <w:r w:rsidDel="00000000" w:rsidR="00000000" w:rsidRPr="00000000">
        <w:rPr>
          <w:rtl w:val="0"/>
        </w:rPr>
      </w:r>
    </w:p>
    <w:p w:rsidR="00000000" w:rsidDel="00000000" w:rsidP="00000000" w:rsidRDefault="00000000" w:rsidRPr="00000000" w14:paraId="00000074">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75">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11 — Check Deposit — Ensenta Welcome</w:t>
      </w:r>
      <w:r w:rsidDel="00000000" w:rsidR="00000000" w:rsidRPr="00000000">
        <w:rPr>
          <w:rtl w:val="0"/>
        </w:rPr>
      </w:r>
    </w:p>
    <w:p w:rsidR="00000000" w:rsidDel="00000000" w:rsidP="00000000" w:rsidRDefault="00000000" w:rsidRPr="00000000" w14:paraId="00000076">
      <w:pPr>
        <w:spacing w:after="100" w:before="60" w:lineRule="auto"/>
        <w:rPr/>
      </w:pPr>
      <w:r w:rsidDel="00000000" w:rsidR="00000000" w:rsidRPr="00000000">
        <w:rPr>
          <w:rFonts w:ascii="Calibri" w:cs="Calibri" w:eastAsia="Calibri" w:hAnsi="Calibri"/>
          <w:color w:val="333333"/>
          <w:sz w:val="20"/>
          <w:szCs w:val="20"/>
          <w:rtl w:val="0"/>
        </w:rPr>
        <w:t xml:space="preserve">The Ensenta remote deposit welcome screen is displayed, explaining the three-step deposit process: Select Account, Upload Check Images, and Confirm Deposit.</w:t>
      </w:r>
      <w:r w:rsidDel="00000000" w:rsidR="00000000" w:rsidRPr="00000000">
        <w:rPr>
          <w:rtl w:val="0"/>
        </w:rPr>
      </w:r>
    </w:p>
    <w:p w:rsidR="00000000" w:rsidDel="00000000" w:rsidP="00000000" w:rsidRDefault="00000000" w:rsidRPr="00000000" w14:paraId="00000077">
      <w:pPr>
        <w:spacing w:after="60" w:before="100" w:lineRule="auto"/>
        <w:jc w:val="center"/>
        <w:rPr/>
      </w:pPr>
      <w:r w:rsidDel="00000000" w:rsidR="00000000" w:rsidRPr="00000000">
        <w:rPr/>
        <w:drawing>
          <wp:inline distB="0" distT="0" distL="114300" distR="114300">
            <wp:extent cx="5486400" cy="4533363"/>
            <wp:effectExtent b="0" l="0" r="0" t="0"/>
            <wp:docPr id="5"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486400" cy="4533363"/>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11: Check Deposit — Ensenta Welcome</w:t>
      </w:r>
      <w:r w:rsidDel="00000000" w:rsidR="00000000" w:rsidRPr="00000000">
        <w:rPr>
          <w:rtl w:val="0"/>
        </w:rPr>
      </w:r>
    </w:p>
    <w:p w:rsidR="00000000" w:rsidDel="00000000" w:rsidP="00000000" w:rsidRDefault="00000000" w:rsidRPr="00000000" w14:paraId="00000079">
      <w:pPr>
        <w:spacing w:after="80" w:before="0" w:lineRule="auto"/>
        <w:rPr/>
      </w:pPr>
      <w:r w:rsidDel="00000000" w:rsidR="00000000" w:rsidRPr="00000000">
        <w:rPr>
          <w:rtl w:val="0"/>
        </w:rPr>
      </w:r>
    </w:p>
    <w:p w:rsidR="00000000" w:rsidDel="00000000" w:rsidP="00000000" w:rsidRDefault="00000000" w:rsidRPr="00000000" w14:paraId="0000007A">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7B">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12 — Check Deposit — Enter Amount &amp; Upload Images</w:t>
      </w:r>
      <w:r w:rsidDel="00000000" w:rsidR="00000000" w:rsidRPr="00000000">
        <w:rPr>
          <w:rtl w:val="0"/>
        </w:rPr>
      </w:r>
    </w:p>
    <w:p w:rsidR="00000000" w:rsidDel="00000000" w:rsidP="00000000" w:rsidRDefault="00000000" w:rsidRPr="00000000" w14:paraId="0000007C">
      <w:pPr>
        <w:spacing w:after="100" w:before="60" w:lineRule="auto"/>
        <w:rPr/>
      </w:pPr>
      <w:r w:rsidDel="00000000" w:rsidR="00000000" w:rsidRPr="00000000">
        <w:rPr>
          <w:rFonts w:ascii="Calibri" w:cs="Calibri" w:eastAsia="Calibri" w:hAnsi="Calibri"/>
          <w:color w:val="333333"/>
          <w:sz w:val="20"/>
          <w:szCs w:val="20"/>
          <w:rtl w:val="0"/>
        </w:rPr>
        <w:t xml:space="preserve">The check deposit form is shown with fields for selecting the account and entering the check amount, plus upload areas for capturing the check front and back images.</w:t>
      </w:r>
      <w:r w:rsidDel="00000000" w:rsidR="00000000" w:rsidRPr="00000000">
        <w:rPr>
          <w:rtl w:val="0"/>
        </w:rPr>
      </w:r>
    </w:p>
    <w:p w:rsidR="00000000" w:rsidDel="00000000" w:rsidP="00000000" w:rsidRDefault="00000000" w:rsidRPr="00000000" w14:paraId="0000007D">
      <w:pPr>
        <w:spacing w:after="60" w:before="100" w:lineRule="auto"/>
        <w:jc w:val="center"/>
        <w:rPr/>
      </w:pPr>
      <w:r w:rsidDel="00000000" w:rsidR="00000000" w:rsidRPr="00000000">
        <w:rPr/>
        <w:drawing>
          <wp:inline distB="0" distT="0" distL="114300" distR="114300">
            <wp:extent cx="5486400" cy="2772279"/>
            <wp:effectExtent b="0" l="0" r="0" t="0"/>
            <wp:docPr id="6"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486400" cy="2772279"/>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12: Check Deposit — Enter Amount &amp; Upload Images</w:t>
      </w:r>
      <w:r w:rsidDel="00000000" w:rsidR="00000000" w:rsidRPr="00000000">
        <w:rPr>
          <w:rtl w:val="0"/>
        </w:rPr>
      </w:r>
    </w:p>
    <w:p w:rsidR="00000000" w:rsidDel="00000000" w:rsidP="00000000" w:rsidRDefault="00000000" w:rsidRPr="00000000" w14:paraId="0000007F">
      <w:pPr>
        <w:spacing w:after="80" w:before="0" w:lineRule="auto"/>
        <w:rPr/>
      </w:pPr>
      <w:r w:rsidDel="00000000" w:rsidR="00000000" w:rsidRPr="00000000">
        <w:rPr>
          <w:rtl w:val="0"/>
        </w:rPr>
      </w:r>
    </w:p>
    <w:sectPr>
      <w:pgSz w:h="15840" w:w="12240" w:orient="portrait"/>
      <w:pgMar w:bottom="1080" w:top="1080" w:left="1080" w:right="108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6.png"/><Relationship Id="rId14" Type="http://schemas.openxmlformats.org/officeDocument/2006/relationships/image" Target="media/image11.png"/><Relationship Id="rId17" Type="http://schemas.openxmlformats.org/officeDocument/2006/relationships/image" Target="media/image8.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12.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kHYQnh+IwbF4kEeNkQu2zXotRA==">CgMxLjA4AHIhMWI4UG5IUnZ0ZGZCeGFJLXRYU2JPV2pIbGw2ZzNteVNh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