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CSUM-09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b w:val="1"/>
          <w:bCs w:val="1"/>
          <w:color w:val="1c3f6e"/>
          <w:sz w:val="44"/>
          <w:szCs w:val="44"/>
          <w:rtl w:val="0"/>
        </w:rPr>
        <w:t xml:space="preserve">Transaction History</w:t>
      </w:r>
      <w:r w:rsidDel="00000000" w:rsidR="00000000" w:rsidRPr="00000000">
        <w:rPr>
          <w:rtl w:val="0"/>
        </w:rPr>
      </w:r>
    </w:p>
    <w:p w:rsidR="00000000" w:rsidDel="00000000" w:rsidP="00000000" w:rsidRDefault="00000000" w:rsidRPr="00000000" w14:paraId="00000003">
      <w:pPr>
        <w:pBdr>
          <w:bottom w:color="e08c3c" w:space="0" w:sz="18" w:val="single"/>
        </w:pBdr>
        <w:spacing w:after="20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Move Money &gt; </w:t>
      </w:r>
      <w:r w:rsidDel="00000000" w:rsidR="00000000" w:rsidRPr="00000000">
        <w:rPr>
          <w:color w:val="555555"/>
          <w:sz w:val="18"/>
          <w:szCs w:val="18"/>
          <w:rtl w:val="0"/>
        </w:rPr>
        <w:t xml:space="preserve">Transaction</w:t>
      </w:r>
      <w:r w:rsidDel="00000000" w:rsidR="00000000" w:rsidRPr="00000000">
        <w:rPr>
          <w:rFonts w:ascii="Calibri" w:cs="Calibri" w:eastAsia="Calibri" w:hAnsi="Calibri"/>
          <w:color w:val="555555"/>
          <w:sz w:val="18"/>
          <w:szCs w:val="18"/>
          <w:rtl w:val="0"/>
        </w:rPr>
        <w:t xml:space="preserve"> History</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w:t>
      </w:r>
      <w:r w:rsidDel="00000000" w:rsidR="00000000" w:rsidRPr="00000000">
        <w:rPr>
          <w:b w:val="1"/>
          <w:bCs w:val="1"/>
          <w:color w:val="ffffff"/>
          <w:sz w:val="26"/>
          <w:szCs w:val="26"/>
          <w:rtl w:val="0"/>
        </w:rPr>
        <w:t xml:space="preserve">1</w:t>
      </w:r>
      <w:r w:rsidDel="00000000" w:rsidR="00000000" w:rsidRPr="00000000">
        <w:rPr>
          <w:rFonts w:ascii="Calibri" w:cs="Calibri" w:eastAsia="Calibri" w:hAnsi="Calibri"/>
          <w:b w:val="1"/>
          <w:bCs w:val="1"/>
          <w:color w:val="ffffff"/>
          <w:sz w:val="26"/>
          <w:szCs w:val="26"/>
          <w:rtl w:val="0"/>
        </w:rPr>
        <w:t xml:space="preserve">  STEP-BY-STEP GUIDE</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tl w:val="0"/>
        </w:rPr>
      </w:r>
    </w:p>
    <w:p w:rsidR="00000000" w:rsidDel="00000000" w:rsidP="00000000" w:rsidRDefault="00000000" w:rsidRPr="00000000" w14:paraId="00000008">
      <w:pPr>
        <w:spacing w:after="60" w:before="0" w:lineRule="auto"/>
        <w:ind w:left="360" w:firstLine="0"/>
        <w:rPr>
          <w:i w:val="1"/>
          <w:iCs w:val="1"/>
          <w:color w:val="555555"/>
          <w:sz w:val="18"/>
          <w:szCs w:val="18"/>
        </w:rPr>
      </w:pPr>
      <w:r w:rsidDel="00000000" w:rsidR="00000000" w:rsidRPr="00000000">
        <w:rPr>
          <w:rFonts w:ascii="Calibri" w:cs="Calibri" w:eastAsia="Calibri" w:hAnsi="Calibri"/>
          <w:i w:val="1"/>
          <w:iCs w:val="1"/>
          <w:color w:val="555555"/>
          <w:sz w:val="18"/>
          <w:szCs w:val="18"/>
          <w:rtl w:val="0"/>
        </w:rPr>
        <w:t xml:space="preserve">Navigation: Dashboard &gt; Move Money &gt;</w:t>
      </w:r>
      <w:r w:rsidDel="00000000" w:rsidR="00000000" w:rsidRPr="00000000">
        <w:rPr>
          <w:i w:val="1"/>
          <w:iCs w:val="1"/>
          <w:color w:val="555555"/>
          <w:sz w:val="18"/>
          <w:szCs w:val="18"/>
          <w:rtl w:val="0"/>
        </w:rPr>
        <w:t xml:space="preserve"> Transaction History</w:t>
      </w:r>
    </w:p>
    <w:p w:rsidR="00000000" w:rsidDel="00000000" w:rsidP="00000000" w:rsidRDefault="00000000" w:rsidRPr="00000000" w14:paraId="00000009">
      <w:pPr>
        <w:spacing w:after="60" w:before="0" w:lineRule="auto"/>
        <w:ind w:left="0" w:firstLine="0"/>
        <w:rPr>
          <w:i w:val="1"/>
          <w:iCs w:val="1"/>
          <w:color w:val="555555"/>
          <w:sz w:val="18"/>
          <w:szCs w:val="18"/>
        </w:rPr>
      </w:pPr>
      <w:r w:rsidDel="00000000" w:rsidR="00000000" w:rsidRPr="00000000">
        <w:rPr>
          <w:rtl w:val="0"/>
        </w:rPr>
      </w:r>
    </w:p>
    <w:p w:rsidR="00000000" w:rsidDel="00000000" w:rsidP="00000000" w:rsidRDefault="00000000" w:rsidRPr="00000000" w14:paraId="0000000A">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0B">
      <w:pPr>
        <w:spacing w:after="100" w:before="60" w:lineRule="auto"/>
        <w:rPr/>
      </w:pPr>
      <w:r w:rsidDel="00000000" w:rsidR="00000000" w:rsidRPr="00000000">
        <w:rPr>
          <w:rFonts w:ascii="Calibri" w:cs="Calibri" w:eastAsia="Calibri" w:hAnsi="Calibri"/>
          <w:color w:val="333333"/>
          <w:sz w:val="20"/>
          <w:szCs w:val="20"/>
          <w:rtl w:val="0"/>
        </w:rPr>
        <w:t xml:space="preserve">After authentication, the member lands on the Dashboard, which surfaces real-time account balances, the Quick Transfer widget, and upcoming payment obligations in a single consolidated view. To review Instant Pay transfer activity, the member selects Move Money from the top navigation bar.</w:t>
      </w:r>
      <w:r w:rsidDel="00000000" w:rsidR="00000000" w:rsidRPr="00000000">
        <w:rPr>
          <w:rtl w:val="0"/>
        </w:rPr>
      </w:r>
    </w:p>
    <w:p w:rsidR="00000000" w:rsidDel="00000000" w:rsidP="00000000" w:rsidRDefault="00000000" w:rsidRPr="00000000" w14:paraId="0000000C">
      <w:pPr>
        <w:spacing w:after="60" w:before="100" w:lineRule="auto"/>
        <w:jc w:val="center"/>
        <w:rPr/>
      </w:pPr>
      <w:r w:rsidDel="00000000" w:rsidR="00000000" w:rsidRPr="00000000">
        <w:rPr/>
        <w:drawing>
          <wp:inline distB="0" distT="0" distL="0" distR="0">
            <wp:extent cx="4572000" cy="7219950"/>
            <wp:effectExtent b="0" l="0" r="0" t="0"/>
            <wp:docPr descr="Screenshot 1" id="1" name="image1.png"/>
            <a:graphic>
              <a:graphicData uri="http://schemas.openxmlformats.org/drawingml/2006/picture">
                <pic:pic>
                  <pic:nvPicPr>
                    <pic:cNvPr descr="Screenshot 1" id="0" name="image1.png"/>
                    <pic:cNvPicPr preferRelativeResize="0"/>
                  </pic:nvPicPr>
                  <pic:blipFill>
                    <a:blip r:embed="rId7"/>
                    <a:srcRect b="0" l="0" r="0" t="0"/>
                    <a:stretch>
                      <a:fillRect/>
                    </a:stretch>
                  </pic:blipFill>
                  <pic:spPr>
                    <a:xfrm>
                      <a:off x="0" y="0"/>
                      <a:ext cx="4572000" cy="72199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80" w:before="40" w:lineRule="auto"/>
        <w:jc w:val="center"/>
        <w:rPr/>
      </w:pPr>
      <w:r w:rsidDel="00000000" w:rsidR="00000000" w:rsidRPr="00000000">
        <w:rPr>
          <w:rFonts w:ascii="Calibri" w:cs="Calibri" w:eastAsia="Calibri" w:hAnsi="Calibri"/>
          <w:i w:val="1"/>
          <w:iCs w:val="1"/>
          <w:color w:val="555555"/>
          <w:sz w:val="16"/>
          <w:szCs w:val="16"/>
          <w:rtl w:val="0"/>
        </w:rPr>
        <w:t xml:space="preserve">Step 1: Start from </w:t>
      </w:r>
      <w:r w:rsidDel="00000000" w:rsidR="00000000" w:rsidRPr="00000000">
        <w:rPr>
          <w:i w:val="1"/>
          <w:iCs w:val="1"/>
          <w:color w:val="555555"/>
          <w:sz w:val="16"/>
          <w:szCs w:val="16"/>
          <w:rtl w:val="0"/>
        </w:rPr>
        <w:t xml:space="preserve">the </w:t>
      </w:r>
      <w:r w:rsidDel="00000000" w:rsidR="00000000" w:rsidRPr="00000000">
        <w:rPr>
          <w:rFonts w:ascii="Calibri" w:cs="Calibri" w:eastAsia="Calibri" w:hAnsi="Calibri"/>
          <w:i w:val="1"/>
          <w:iCs w:val="1"/>
          <w:color w:val="555555"/>
          <w:sz w:val="16"/>
          <w:szCs w:val="16"/>
          <w:rtl w:val="0"/>
        </w:rPr>
        <w:t xml:space="preserve">Dashboard</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11">
      <w:pPr>
        <w:spacing w:after="100" w:before="60" w:lineRule="auto"/>
        <w:rPr/>
      </w:pPr>
      <w:r w:rsidDel="00000000" w:rsidR="00000000" w:rsidRPr="00000000">
        <w:rPr>
          <w:rFonts w:ascii="Calibri" w:cs="Calibri" w:eastAsia="Calibri" w:hAnsi="Calibri"/>
          <w:color w:val="333333"/>
          <w:sz w:val="20"/>
          <w:szCs w:val="20"/>
          <w:rtl w:val="0"/>
        </w:rPr>
        <w:t xml:space="preserve">The Move Money Hub consolidates all payment and transfer workflows into a tile-based screen </w:t>
      </w:r>
      <w:r w:rsidDel="00000000" w:rsidR="00000000" w:rsidRPr="00000000">
        <w:rPr>
          <w:rtl w:val="0"/>
        </w:rPr>
        <w:t xml:space="preserve">organised</w:t>
      </w:r>
      <w:r w:rsidDel="00000000" w:rsidR="00000000" w:rsidRPr="00000000">
        <w:rPr>
          <w:rFonts w:ascii="Calibri" w:cs="Calibri" w:eastAsia="Calibri" w:hAnsi="Calibri"/>
          <w:color w:val="333333"/>
          <w:sz w:val="20"/>
          <w:szCs w:val="20"/>
          <w:rtl w:val="0"/>
        </w:rPr>
        <w:t xml:space="preserve"> under Pay and Transfers categories. The member selects the</w:t>
      </w:r>
      <w:r w:rsidDel="00000000" w:rsidR="00000000" w:rsidRPr="00000000">
        <w:rPr>
          <w:rtl w:val="0"/>
        </w:rPr>
        <w:t xml:space="preserve"> Transaction History</w:t>
      </w:r>
      <w:r w:rsidDel="00000000" w:rsidR="00000000" w:rsidRPr="00000000">
        <w:rPr>
          <w:rFonts w:ascii="Calibri" w:cs="Calibri" w:eastAsia="Calibri" w:hAnsi="Calibri"/>
          <w:color w:val="333333"/>
          <w:sz w:val="20"/>
          <w:szCs w:val="20"/>
          <w:rtl w:val="0"/>
        </w:rPr>
        <w:t xml:space="preserve"> tile to access transfer histo</w:t>
      </w:r>
      <w:r w:rsidDel="00000000" w:rsidR="00000000" w:rsidRPr="00000000">
        <w:rPr>
          <w:rtl w:val="0"/>
        </w:rPr>
        <w:t xml:space="preserve">ry. </w:t>
      </w:r>
    </w:p>
    <w:p w:rsidR="00000000" w:rsidDel="00000000" w:rsidP="00000000" w:rsidRDefault="00000000" w:rsidRPr="00000000" w14:paraId="00000012">
      <w:pPr>
        <w:spacing w:after="100" w:before="60" w:lineRule="auto"/>
        <w:rPr/>
      </w:pPr>
      <w:r w:rsidDel="00000000" w:rsidR="00000000" w:rsidRPr="00000000">
        <w:rPr/>
        <w:drawing>
          <wp:inline distB="0" distT="0" distL="0" distR="0">
            <wp:extent cx="4572000" cy="5372100"/>
            <wp:effectExtent b="0" l="0" r="0" t="0"/>
            <wp:docPr descr="Screenshot 2" id="3" name="image2.png"/>
            <a:graphic>
              <a:graphicData uri="http://schemas.openxmlformats.org/drawingml/2006/picture">
                <pic:pic>
                  <pic:nvPicPr>
                    <pic:cNvPr descr="Screenshot 2" id="0" name="image2.png"/>
                    <pic:cNvPicPr preferRelativeResize="0"/>
                  </pic:nvPicPr>
                  <pic:blipFill>
                    <a:blip r:embed="rId8"/>
                    <a:srcRect b="0" l="0" r="0" t="0"/>
                    <a:stretch>
                      <a:fillRect/>
                    </a:stretch>
                  </pic:blipFill>
                  <pic:spPr>
                    <a:xfrm>
                      <a:off x="0" y="0"/>
                      <a:ext cx="45720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80" w:before="4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Review </w:t>
      </w:r>
      <w:r w:rsidDel="00000000" w:rsidR="00000000" w:rsidRPr="00000000">
        <w:rPr>
          <w:b w:val="1"/>
          <w:bCs w:val="1"/>
          <w:color w:val="1c3f6e"/>
          <w:sz w:val="22"/>
          <w:szCs w:val="22"/>
          <w:rtl w:val="0"/>
        </w:rPr>
        <w:t xml:space="preserve">Transaction</w:t>
      </w:r>
      <w:r w:rsidDel="00000000" w:rsidR="00000000" w:rsidRPr="00000000">
        <w:rPr>
          <w:rFonts w:ascii="Calibri" w:cs="Calibri" w:eastAsia="Calibri" w:hAnsi="Calibri"/>
          <w:b w:val="1"/>
          <w:bCs w:val="1"/>
          <w:color w:val="1c3f6e"/>
          <w:sz w:val="22"/>
          <w:szCs w:val="22"/>
          <w:rtl w:val="0"/>
        </w:rPr>
        <w:t xml:space="preserve"> History</w:t>
      </w:r>
      <w:r w:rsidDel="00000000" w:rsidR="00000000" w:rsidRPr="00000000">
        <w:rPr>
          <w:rtl w:val="0"/>
        </w:rPr>
      </w:r>
    </w:p>
    <w:p w:rsidR="00000000" w:rsidDel="00000000" w:rsidP="00000000" w:rsidRDefault="00000000" w:rsidRPr="00000000" w14:paraId="00000017">
      <w:pPr>
        <w:spacing w:after="100" w:before="60" w:lineRule="auto"/>
        <w:rPr/>
      </w:pPr>
      <w:r w:rsidDel="00000000" w:rsidR="00000000" w:rsidRPr="00000000">
        <w:rPr>
          <w:rFonts w:ascii="Calibri" w:cs="Calibri" w:eastAsia="Calibri" w:hAnsi="Calibri"/>
          <w:color w:val="333333"/>
          <w:sz w:val="20"/>
          <w:szCs w:val="20"/>
          <w:rtl w:val="0"/>
        </w:rPr>
        <w:t xml:space="preserve">With Transfer Type set to Instant Pay, the Scheduled Transfers screen surfaces the full FedNow transaction history for the member — each entry showing the recipient, source account, destination institution, transaction ID, amount, status, and failure reason where applicable. This view allows members to quickly identify and investigate failed Instant Pay transactions, such as those that timed out during processing at the receiving institution.</w:t>
      </w:r>
      <w:r w:rsidDel="00000000" w:rsidR="00000000" w:rsidRPr="00000000">
        <w:rPr>
          <w:rtl w:val="0"/>
        </w:rPr>
      </w:r>
    </w:p>
    <w:p w:rsidR="00000000" w:rsidDel="00000000" w:rsidP="00000000" w:rsidRDefault="00000000" w:rsidRPr="00000000" w14:paraId="00000018">
      <w:pPr>
        <w:spacing w:after="60" w:before="100" w:lineRule="auto"/>
        <w:jc w:val="center"/>
        <w:rPr/>
      </w:pPr>
      <w:r w:rsidDel="00000000" w:rsidR="00000000" w:rsidRPr="00000000">
        <w:rPr/>
        <w:drawing>
          <wp:inline distB="0" distT="0" distL="0" distR="0">
            <wp:extent cx="4572000" cy="6581775"/>
            <wp:effectExtent b="0" l="0" r="0" t="0"/>
            <wp:docPr descr="Screenshot 3" id="2" name="image3.png"/>
            <a:graphic>
              <a:graphicData uri="http://schemas.openxmlformats.org/drawingml/2006/picture">
                <pic:pic>
                  <pic:nvPicPr>
                    <pic:cNvPr descr="Screenshot 3" id="0" name="image3.png"/>
                    <pic:cNvPicPr preferRelativeResize="0"/>
                  </pic:nvPicPr>
                  <pic:blipFill>
                    <a:blip r:embed="rId9"/>
                    <a:srcRect b="0" l="0" r="0" t="0"/>
                    <a:stretch>
                      <a:fillRect/>
                    </a:stretch>
                  </pic:blipFill>
                  <pic:spPr>
                    <a:xfrm>
                      <a:off x="0" y="0"/>
                      <a:ext cx="4572000"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80" w:before="40" w:lineRule="auto"/>
        <w:jc w:val="center"/>
        <w:rPr/>
      </w:pPr>
      <w:r w:rsidDel="00000000" w:rsidR="00000000" w:rsidRPr="00000000">
        <w:rPr>
          <w:rFonts w:ascii="Calibri" w:cs="Calibri" w:eastAsia="Calibri" w:hAnsi="Calibri"/>
          <w:i w:val="1"/>
          <w:iCs w:val="1"/>
          <w:color w:val="555555"/>
          <w:sz w:val="16"/>
          <w:szCs w:val="16"/>
          <w:rtl w:val="0"/>
        </w:rPr>
        <w:t xml:space="preserve">Step 3: Scheduled Transfers — Instant Pay history (FedNow)</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tl w:val="0"/>
        </w:rPr>
      </w:r>
    </w:p>
    <w:sectPr>
      <w:footerReference r:id="rId1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right"/>
      <w:rPr/>
    </w:pPr>
    <w:r w:rsidDel="00000000" w:rsidR="00000000" w:rsidRPr="00000000">
      <w:rPr>
        <w:rFonts w:ascii="Calibri" w:cs="Calibri" w:eastAsia="Calibri" w:hAnsi="Calibri"/>
        <w:color w:val="555555"/>
        <w:sz w:val="16"/>
        <w:szCs w:val="16"/>
        <w:rtl w:val="0"/>
      </w:rPr>
      <w:t xml:space="preserve">Summerville Credit Union  |  CSUM-09  |  Page </w:t>
    </w:r>
    <w:r w:rsidDel="00000000" w:rsidR="00000000" w:rsidRPr="00000000">
      <w:rPr>
        <w:rFonts w:ascii="Calibri" w:cs="Calibri" w:eastAsia="Calibri" w:hAnsi="Calibri"/>
        <w:color w:val="555555"/>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55555"/>
        <w:sz w:val="16"/>
        <w:szCs w:val="16"/>
        <w:rtl w:val="0"/>
      </w:rPr>
      <w:t xml:space="preserve"> of </w:t>
    </w:r>
    <w:r w:rsidDel="00000000" w:rsidR="00000000" w:rsidRPr="00000000">
      <w:rPr>
        <w:rFonts w:ascii="Calibri" w:cs="Calibri" w:eastAsia="Calibri" w:hAnsi="Calibri"/>
        <w:color w:val="555555"/>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9upV3kwGB2ACQIxepJfWkE4gTw==">CgMxLjA4AHIhMWYtVHdDMWRjeG1tN0JsdmdqRFBtSHJFU2s0TkRPeDRN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