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>
  <w:body>
    <w:p>
      <w:pPr>
        <w:spacing w:before="0" w:after="0"/>
        <w:shd w:val="clear" w:color="auto" w:fill="1C3F6E"/>
      </w:pPr>
      <w:r>
        <w:rPr>
          <w:rFonts w:ascii="Calibri" w:hAnsi="Calibri"/>
          <w:b/>
          <w:bCs/>
          <w:color w:val="B0C8E8"/>
          <w:sz w:val="16"/>
          <w:szCs w:val="16"/>
        </w:rPr>
        <w:t xml:space="preserve">  SUMMERVILLE CREDIT UNION  ·  CONSOLIDATED MEMBER GUIDE  ·  CSUM-21 of 30</w:t>
      </w:r>
    </w:p>
    <w:p>
      <w:pPr>
        <w:spacing w:before="160" w:after="40"/>
      </w:pPr>
      <w:r>
        <w:rPr>
          <w:rFonts w:ascii="Calibri" w:hAnsi="Calibri"/>
          <w:b/>
          <w:bCs/>
          <w:color w:val="1C3F6E"/>
          <w:sz w:val="44"/>
          <w:szCs w:val="44"/>
        </w:rPr>
        <w:t xml:space="preserve">Skip-A-Pay</w:t>
      </w:r>
    </w:p>
    <w:p>
      <w:pPr>
        <w:spacing w:before="0" w:after="200"/>
        <w:pBdr>
          <w:bottom w:val="single" w:sz="18" w:color="E08C3C"/>
        </w:pBdr>
      </w:pPr>
    </w:p>
    <w:p>
      <w:pPr>
        <w:spacing w:before="0" w:after="80"/>
      </w:pPr>
      <w:r>
        <w:rPr>
          <w:rFonts w:ascii="Calibri" w:hAnsi="Calibri"/>
          <w:color w:val="555555"/>
          <w:sz w:val="18"/>
          <w:szCs w:val="18"/>
        </w:rPr>
        <w:t xml:space="preserve">Module: nFinia Digital Banking &gt; More &gt; Skip A Pay</w:t>
      </w:r>
    </w:p>
    <w:p>
      <w:pPr>
        <w:spacing w:before="0" w:after="160"/>
      </w:pPr>
      <w:r>
        <w:rPr>
          <w:rFonts w:ascii="Calibri" w:hAnsi="Calibri"/>
          <w:i/>
          <w:color w:val="777777"/>
          <w:sz w:val="16"/>
          <w:szCs w:val="16"/>
        </w:rPr>
        <w:t xml:space="preserve">Sources: Summerville Reports Series A (36 docs) + Series B (25 docs) | Features: nFinia Documentation Features Spreadsheet</w:t>
      </w:r>
    </w:p>
    <w:p>
      <w:pPr>
        <w:spacing w:before="280" w:after="120"/>
        <w:shd w:val="clear" w:color="auto" w:fill="1C3F6E"/>
        <w:ind w:left="216"/>
      </w:pPr>
      <w:r>
        <w:rPr>
          <w:rFonts w:ascii="Calibri" w:hAnsi="Calibri"/>
          <w:b/>
          <w:bCs/>
          <w:color w:val="FFFFFF"/>
          <w:sz w:val="26"/>
          <w:szCs w:val="26"/>
        </w:rPr>
        <w:t xml:space="preserve">  01  PRODUCT SUMMARY</w:t>
      </w:r>
    </w:p>
    <w:p>
      <w:pPr>
        <w:spacing w:before="0" w:after="80"/>
      </w:pPr>
    </w:p>
    <w:p>
      <w:pPr>
        <w:spacing w:before="0" w:after="140"/>
      </w:pPr>
      <w:r>
        <w:rPr>
          <w:rFonts w:ascii="Calibri" w:hAnsi="Calibri"/>
          <w:color w:val="333333"/>
          <w:sz w:val="20"/>
          <w:szCs w:val="20"/>
        </w:rPr>
        <w:t xml:space="preserve">Skip-A-Pay is a member financial relief feature that allows eligible members to formally defer one loan payment per eligible period without incurring a late fee. The deferred payment is posted to the loan account, the loan term is extended by one month, and interest continues to accrue during the skipped month.</w:t>
      </w:r>
    </w:p>
    <w:p>
      <w:pPr>
        <w:spacing w:before="0" w:after="140"/>
      </w:pPr>
      <w:r>
        <w:rPr>
          <w:rFonts w:ascii="Calibri" w:hAnsi="Calibri"/>
          <w:color w:val="333333"/>
          <w:sz w:val="20"/>
          <w:szCs w:val="20"/>
        </w:rPr>
        <w:t xml:space="preserve">The digital Skip-A-Pay workflow replaces paper or phone requests with a fully self-service in-app process. Members select the eligible loan, review the terms of the deferral, accept the agreement, and submit — all within a few steps. The Skip Payment Form in the Online Forms section provides an alternative access path for members who prefer the forms workflow.</w:t>
      </w:r>
    </w:p>
    <w:p>
      <w:pPr>
        <w:spacing w:before="0" w:after="80"/>
      </w:pPr>
    </w:p>
    <w:p>
      <w:pPr>
        <w:spacing w:before="240" w:after="80"/>
        <w:pBdr>
          <w:bottom w:val="single" w:sz="4" w:color="1C3F6E"/>
        </w:pBdr>
      </w:pPr>
      <w:r>
        <w:rPr>
          <w:rFonts w:ascii="Calibri" w:hAnsi="Calibri"/>
          <w:b/>
          <w:bCs/>
          <w:color w:val="1C3F6E"/>
          <w:sz w:val="22"/>
          <w:szCs w:val="22"/>
        </w:rPr>
        <w:t xml:space="preserve">At a Glance</w:t>
      </w:r>
    </w:p>
    <w:p>
      <w:pPr>
        <w:spacing w:before="0" w:after="60"/>
      </w:pPr>
    </w:p>
    <w:tbl>
      <w:tblPr>
        <w:tblW w:type="dxa" w:w="9360"/>
        <w:tblBorders>
          <w:top w:val="single" w:sz="4" w:color="D0D7E8"/>
          <w:left w:val="single" w:sz="4" w:color="D0D7E8"/>
          <w:bottom w:val="single" w:sz="4" w:color="D0D7E8"/>
          <w:right w:val="single" w:sz="4" w:color="D0D7E8"/>
          <w:insideH w:val="single" w:sz="4" w:color="D0D7E8"/>
          <w:insideV w:val="single" w:sz="4" w:color="D0D7E8"/>
        </w:tblBorders>
      </w:tblPr>
      <w:tblGrid>
        <w:gridCol w:w="2800"/>
        <w:gridCol w:w="6560"/>
      </w:tblGrid>
      <w:tr>
        <w:tc>
          <w:tcPr>
            <w:tcW w:type="dxa" w:w="2800"/>
            <w:shd w:val="clear" w:color="auto" w:fill="1C3F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560"/>
            <w:shd w:val="clear" w:color="auto" w:fill="1C3F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shd w:val="clear" w:color="auto" w:fill="EBF2FB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Module</w:t>
            </w:r>
          </w:p>
        </w:tc>
        <w:tc>
          <w:tcPr>
            <w:tcW w:type="dxa" w:w="6560"/>
            <w:shd w:val="clear" w:color="auto" w:fill="EBF2FB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More &gt; Skip A Pay</w:t>
            </w:r>
          </w:p>
        </w:tc>
      </w:tr>
      <w:tr>
        <w:tc>
          <w:tcPr>
            <w:tcW w:type="dxa" w:w="2800"/>
            <w:shd w:val="clear" w:color="auto" w:fill="FFFFFF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Eligible Loans</w:t>
            </w:r>
          </w:p>
        </w:tc>
        <w:tc>
          <w:tcPr>
            <w:tcW w:type="dxa" w:w="6560"/>
            <w:shd w:val="clear" w:color="auto" w:fill="FFFFFF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Qualifying consumer and auto loans per CU eligibility rules</w:t>
            </w:r>
          </w:p>
        </w:tc>
      </w:tr>
      <w:tr>
        <w:tc>
          <w:tcPr>
            <w:tcW w:type="dxa" w:w="2800"/>
            <w:shd w:val="clear" w:color="auto" w:fill="EBF2FB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Effect on Loan</w:t>
            </w:r>
          </w:p>
        </w:tc>
        <w:tc>
          <w:tcPr>
            <w:tcW w:type="dxa" w:w="6560"/>
            <w:shd w:val="clear" w:color="auto" w:fill="EBF2FB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One payment deferred; interest continues to accrue; term extended</w:t>
            </w:r>
          </w:p>
        </w:tc>
      </w:tr>
      <w:tr>
        <w:tc>
          <w:tcPr>
            <w:tcW w:type="dxa" w:w="2800"/>
            <w:shd w:val="clear" w:color="auto" w:fill="FFFFFF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Fee</w:t>
            </w:r>
          </w:p>
        </w:tc>
        <w:tc>
          <w:tcPr>
            <w:tcW w:type="dxa" w:w="6560"/>
            <w:shd w:val="clear" w:color="auto" w:fill="FFFFFF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Nominal processing fee may apply per CU policy</w:t>
            </w:r>
          </w:p>
        </w:tc>
      </w:tr>
      <w:tr>
        <w:tc>
          <w:tcPr>
            <w:tcW w:type="dxa" w:w="2800"/>
            <w:shd w:val="clear" w:color="auto" w:fill="EBF2FB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Frequency</w:t>
            </w:r>
          </w:p>
        </w:tc>
        <w:tc>
          <w:tcPr>
            <w:tcW w:type="dxa" w:w="6560"/>
            <w:shd w:val="clear" w:color="auto" w:fill="EBF2FB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Once per eligible period per loan (typically once per 12 months)</w:t>
            </w:r>
          </w:p>
        </w:tc>
      </w:tr>
      <w:tr>
        <w:tc>
          <w:tcPr>
            <w:tcW w:type="dxa" w:w="2800"/>
            <w:shd w:val="clear" w:color="auto" w:fill="FFFFFF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Related Reports</w:t>
            </w:r>
          </w:p>
        </w:tc>
        <w:tc>
          <w:tcPr>
            <w:tcW w:type="dxa" w:w="6560"/>
            <w:shd w:val="clear" w:color="auto" w:fill="FFFFFF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CSUM-14 (Loan Payments), CSUM-18 (Online Forms)</w:t>
            </w:r>
          </w:p>
        </w:tc>
      </w:tr>
    </w:tbl>
    <w:p>
      <w:pPr>
        <w:spacing w:before="0" w:after="200"/>
      </w:pPr>
    </w:p>
    <w:p>
      <w:pPr>
        <w:spacing w:before="280" w:after="120"/>
        <w:shd w:val="clear" w:color="auto" w:fill="1C3F6E"/>
        <w:ind w:left="216"/>
      </w:pPr>
      <w:r>
        <w:rPr>
          <w:rFonts w:ascii="Calibri" w:hAnsi="Calibri"/>
          <w:b/>
          <w:bCs/>
          <w:color w:val="FFFFFF"/>
          <w:sz w:val="26"/>
          <w:szCs w:val="26"/>
        </w:rPr>
        <w:t xml:space="preserve">  02  KEY USE CASES</w:t>
      </w:r>
    </w:p>
    <w:p>
      <w:pPr>
        <w:spacing w:before="0" w:after="80"/>
      </w:pPr>
    </w:p>
    <w:tbl>
      <w:tblPr>
        <w:tblW w:type="dxa" w:w="9360"/>
        <w:tblBorders>
          <w:top w:val="single" w:sz="4" w:color="D0D7E8"/>
          <w:left w:val="single" w:sz="4" w:color="D0D7E8"/>
          <w:bottom w:val="single" w:sz="4" w:color="D0D7E8"/>
          <w:right w:val="single" w:sz="4" w:color="D0D7E8"/>
          <w:insideH w:val="single" w:sz="4" w:color="D0D7E8"/>
          <w:insideV w:val="single" w:sz="4" w:color="D0D7E8"/>
        </w:tblBorders>
      </w:tblPr>
      <w:tblGrid>
        <w:gridCol w:w="1800"/>
        <w:gridCol w:w="1600"/>
        <w:gridCol w:w="3000"/>
        <w:gridCol w:w="2960"/>
      </w:tblGrid>
      <w:tr>
        <w:tc>
          <w:tcPr>
            <w:tcW w:type="dxa" w:w="1800"/>
            <w:shd w:val="clear" w:color="auto" w:fill="1C3F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1600"/>
            <w:shd w:val="clear" w:color="auto" w:fill="1C3F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  <w:tc>
          <w:tcPr>
            <w:tcW w:type="dxa" w:w="3000"/>
            <w:shd w:val="clear" w:color="auto" w:fill="1C3F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b/>
                <w:bCs/>
                <w:color w:val="FFFFFF"/>
                <w:sz w:val="18"/>
                <w:szCs w:val="18"/>
              </w:rPr>
              <w:t xml:space="preserve">What They Do</w:t>
            </w:r>
          </w:p>
        </w:tc>
        <w:tc>
          <w:tcPr>
            <w:tcW w:type="dxa" w:w="2960"/>
            <w:shd w:val="clear" w:color="auto" w:fill="1C3F6E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b/>
                <w:bCs/>
                <w:color w:val="FFFFFF"/>
                <w:sz w:val="18"/>
                <w:szCs w:val="18"/>
              </w:rPr>
              <w:t xml:space="preserve">Business Value</w:t>
            </w:r>
          </w:p>
        </w:tc>
      </w:tr>
      <w:tr>
        <w:tc>
          <w:tcPr>
            <w:tcW w:type="dxa" w:w="1800"/>
            <w:shd w:val="clear" w:color="auto" w:fill="EBF2FB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Holiday Cash Relief</w:t>
            </w:r>
          </w:p>
        </w:tc>
        <w:tc>
          <w:tcPr>
            <w:tcW w:type="dxa" w:w="1600"/>
            <w:shd w:val="clear" w:color="auto" w:fill="EBF2FB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Members needing extra funds during holidays</w:t>
            </w:r>
          </w:p>
        </w:tc>
        <w:tc>
          <w:tcPr>
            <w:tcW w:type="dxa" w:w="3000"/>
            <w:shd w:val="clear" w:color="auto" w:fill="EBF2FB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Skip December payment to free up holiday budget</w:t>
            </w:r>
          </w:p>
        </w:tc>
        <w:tc>
          <w:tcPr>
            <w:tcW w:type="dxa" w:w="2960"/>
            <w:shd w:val="clear" w:color="auto" w:fill="EBF2FB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Maintains loan standing while managing seasonal cash flow</w:t>
            </w:r>
          </w:p>
        </w:tc>
      </w:tr>
      <w:tr>
        <w:tc>
          <w:tcPr>
            <w:tcW w:type="dxa" w:w="1800"/>
            <w:shd w:val="clear" w:color="auto" w:fill="FFFFFF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Emergency Expense Cover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Members facing unexpected financial need</w:t>
            </w:r>
          </w:p>
        </w:tc>
        <w:tc>
          <w:tcPr>
            <w:tcW w:type="dxa" w:w="3000"/>
            <w:shd w:val="clear" w:color="auto" w:fill="FFFFFF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Defer loan payment to cover immediate emergency expense</w:t>
            </w:r>
          </w:p>
        </w:tc>
        <w:tc>
          <w:tcPr>
            <w:tcW w:type="dxa" w:w="2960"/>
            <w:shd w:val="clear" w:color="auto" w:fill="FFFFFF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Avoids late fee while managing short-term cash flow disruption</w:t>
            </w:r>
          </w:p>
        </w:tc>
      </w:tr>
      <w:tr>
        <w:tc>
          <w:tcPr>
            <w:tcW w:type="dxa" w:w="1800"/>
            <w:shd w:val="clear" w:color="auto" w:fill="EBF2FB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Seasonal Income Gap</w:t>
            </w:r>
          </w:p>
        </w:tc>
        <w:tc>
          <w:tcPr>
            <w:tcW w:type="dxa" w:w="1600"/>
            <w:shd w:val="clear" w:color="auto" w:fill="EBF2FB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Members with seasonal employment</w:t>
            </w:r>
          </w:p>
        </w:tc>
        <w:tc>
          <w:tcPr>
            <w:tcW w:type="dxa" w:w="3000"/>
            <w:shd w:val="clear" w:color="auto" w:fill="EBF2FB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Skip payment during low-income month</w:t>
            </w:r>
          </w:p>
        </w:tc>
        <w:tc>
          <w:tcPr>
            <w:tcW w:type="dxa" w:w="2960"/>
            <w:shd w:val="clear" w:color="auto" w:fill="EBF2FB"/>
            <w:tcBorders>
              <w:top w:val="single" w:sz="4" w:color="D0D7E8"/>
              <w:left w:val="single" w:sz="4" w:color="D0D7E8"/>
              <w:bottom w:val="single" w:sz="4" w:color="D0D7E8"/>
              <w:right w:val="single" w:sz="4" w:color="D0D7E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hAnsi="Calibri"/>
                <w:color w:val="333333"/>
                <w:sz w:val="18"/>
                <w:szCs w:val="18"/>
              </w:rPr>
              <w:t xml:space="preserve">Aligns payment obligation with income cycles</w:t>
            </w:r>
          </w:p>
        </w:tc>
      </w:tr>
    </w:tbl>
    <w:p>
      <w:pPr>
        <w:spacing w:before="0" w:after="200"/>
      </w:pPr>
    </w:p>
    <w:p>
      <w:pPr>
        <w:spacing w:before="280" w:after="120"/>
        <w:shd w:val="clear" w:color="auto" w:fill="1C3F6E"/>
        <w:ind w:left="216"/>
      </w:pPr>
      <w:r>
        <w:rPr>
          <w:rFonts w:ascii="Calibri" w:hAnsi="Calibri"/>
          <w:b/>
          <w:bCs/>
          <w:color w:val="FFFFFF"/>
          <w:sz w:val="26"/>
          <w:szCs w:val="26"/>
        </w:rPr>
        <w:t xml:space="preserve">  03  STEP-BY-STEP GUIDE</w:t>
      </w:r>
    </w:p>
    <w:p>
      <w:pPr>
        <w:spacing w:before="0" w:after="60"/>
      </w:pPr>
    </w:p>
    <w:p>
      <w:pPr>
        <w:spacing w:before="0" w:after="60"/>
        <w:ind w:left="360"/>
      </w:pPr>
      <w:r>
        <w:rPr>
          <w:rFonts w:ascii="Calibri" w:hAnsi="Calibri"/>
          <w:i/>
          <w:color w:val="555555"/>
          <w:sz w:val="18"/>
          <w:szCs w:val="18"/>
        </w:rPr>
        <w:t xml:space="preserve">Navigation: Dashboard &gt; More &gt; 'Skip A Pay'.</w:t>
      </w:r>
    </w:p>
    <w:p>
      <w:pPr>
        <w:spacing w:before="200" w:after="60"/>
        <w:pBdr>
          <w:bottom w:val="single" w:sz="4" w:color="1C3F6E"/>
        </w:pBdr>
      </w:pPr>
      <w:r>
        <w:rPr>
          <w:rFonts w:ascii="Calibri" w:hAnsi="Calibri"/>
          <w:b/>
          <w:bCs/>
          <w:color w:val="1C3F6E"/>
          <w:sz w:val="22"/>
          <w:szCs w:val="22"/>
        </w:rPr>
        <w:t xml:space="preserve">Step 1 — Start from Dashboard</w:t>
      </w:r>
    </w:p>
    <w:p>
      <w:pPr>
        <w:spacing w:before="60" w:after="100"/>
      </w:pPr>
      <w:r>
        <w:rPr>
          <w:rFonts w:ascii="Calibri" w:hAnsi="Calibri"/>
          <w:color w:val="333333"/>
          <w:sz w:val="20"/>
          <w:szCs w:val="20"/>
        </w:rPr>
        <w:t xml:space="preserve">The member begins at the Dashboard after logging in. The Dashboard displays all account balances, upcoming payments, quick-action tiles, and the top navigation bar with links to Accounts, Move Money, and More.</w:t>
      </w:r>
    </w:p>
    <w:p>
      <w:pPr>
        <w:jc w:val="center"/>
        <w:spacing w:before="100" w:after="60"/>
      </w:pPr>
      <w:r>
        <w:drawing>
          <wp:inline xmlns:a="http://schemas.openxmlformats.org/drawingml/2006/main" xmlns:pic="http://schemas.openxmlformats.org/drawingml/2006/picture">
            <wp:extent cx="5486400" cy="6879431"/>
            <wp:docPr id="1" name="01_dashboard_hom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_hom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7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  <w:r>
        <w:rPr>
          <w:rFonts w:ascii="Calibri" w:hAnsi="Calibri"/>
          <w:i/>
          <w:color w:val="555555"/>
          <w:sz w:val="16"/>
          <w:szCs w:val="16"/>
        </w:rPr>
        <w:t xml:space="preserve">Step 1: Start from Dashboard</w:t>
      </w:r>
    </w:p>
    <w:p>
      <w:pPr>
        <w:spacing w:before="0" w:after="80"/>
      </w:pPr>
    </w:p>
    <w:p>
      <w:pPr>
        <w:spacing w:before="200" w:after="60"/>
        <w:pBdr>
          <w:bottom w:val="single" w:sz="4" w:color="1C3F6E"/>
        </w:pBdr>
      </w:pPr>
      <w:r>
        <w:rPr>
          <w:rFonts w:ascii="Calibri" w:hAnsi="Calibri"/>
          <w:b/>
          <w:bCs/>
          <w:color w:val="1C3F6E"/>
          <w:sz w:val="22"/>
          <w:szCs w:val="22"/>
        </w:rPr>
        <w:t xml:space="preserve">Step 2 — Open the More Menu</w:t>
      </w:r>
    </w:p>
    <w:p>
      <w:pPr>
        <w:spacing w:before="60" w:after="100"/>
      </w:pPr>
      <w:r>
        <w:rPr>
          <w:rFonts w:ascii="Calibri" w:hAnsi="Calibri"/>
          <w:color w:val="333333"/>
          <w:sz w:val="20"/>
          <w:szCs w:val="20"/>
        </w:rPr>
        <w:t xml:space="preserve">The member clicks ‘More’ in the top navigation bar. The More options panel expands to show additional features: Check Deposit, User ID and Password, eDocuments, Account Alerts, General Alerts, Password, Forms, One-Time Passcode, Skip A Pay, Do-Not-Disturb, Manage Devices, My Insights, Alert Settings, Recent Activities, and Card Services.</w:t>
      </w:r>
    </w:p>
    <w:p>
      <w:pPr>
        <w:jc w:val="center"/>
        <w:spacing w:before="100" w:after="60"/>
      </w:pPr>
      <w:r>
        <w:drawing>
          <wp:inline xmlns:a="http://schemas.openxmlformats.org/drawingml/2006/main" xmlns:pic="http://schemas.openxmlformats.org/drawingml/2006/picture">
            <wp:extent cx="5486400" cy="4101981"/>
            <wp:docPr id="2" name="01_more_menu_top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re_menu_top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1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  <w:r>
        <w:rPr>
          <w:rFonts w:ascii="Calibri" w:hAnsi="Calibri"/>
          <w:i/>
          <w:color w:val="555555"/>
          <w:sz w:val="16"/>
          <w:szCs w:val="16"/>
        </w:rPr>
        <w:t xml:space="preserve">Step 2: More Menu</w:t>
      </w:r>
    </w:p>
    <w:p>
      <w:pPr>
        <w:spacing w:before="0" w:after="80"/>
      </w:pPr>
    </w:p>
    <w:p>
      <w:pPr>
        <w:spacing w:before="0" w:after="80"/>
      </w:pPr>
    </w:p>
    <w:p>
      <w:pPr>
        <w:spacing w:before="200" w:after="60"/>
        <w:pBdr>
          <w:bottom w:val="single" w:sz="4" w:color="1C3F6E"/>
        </w:pBdr>
      </w:pPr>
      <w:r>
        <w:rPr>
          <w:rFonts w:ascii="Calibri" w:hAnsi="Calibri"/>
          <w:b/>
          <w:bCs/>
          <w:color w:val="1C3F6E"/>
          <w:sz w:val="22"/>
          <w:szCs w:val="22"/>
        </w:rPr>
        <w:t xml:space="preserve">Step 3 — Navigate from Dashboard to Skip A Pay</w:t>
      </w:r>
    </w:p>
    <w:p>
      <w:pPr>
        <w:spacing w:before="60" w:after="100"/>
      </w:pPr>
      <w:r>
        <w:rPr>
          <w:rFonts w:ascii="Calibri" w:hAnsi="Calibri"/>
          <w:color w:val="333333"/>
          <w:sz w:val="20"/>
          <w:szCs w:val="20"/>
        </w:rPr>
        <w:t xml:space="preserve">The Skip A Pay page shows the selected loan with a current due date of April 2026 and an advanced due date of May 2026. A $35.00 transaction fee is displayed for the skip payment service.</w:t>
      </w:r>
    </w:p>
    <w:p>
      <w:pPr>
        <w:jc w:val="center"/>
        <w:spacing w:before="100" w:after="60"/>
      </w:pPr>
      <w:r>
        <w:drawing>
          <wp:inline xmlns:a="http://schemas.openxmlformats.org/drawingml/2006/main" xmlns:pic="http://schemas.openxmlformats.org/drawingml/2006/picture">
            <wp:extent cx="5486400" cy="7188041"/>
            <wp:docPr id="3" name="01_select_loa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lect_loa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88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  <w:r>
        <w:rPr>
          <w:rFonts w:ascii="Calibri" w:hAnsi="Calibri"/>
          <w:i/>
          <w:color w:val="555555"/>
          <w:sz w:val="16"/>
          <w:szCs w:val="16"/>
        </w:rPr>
        <w:t xml:space="preserve">Step 3: Navigate from Dashboard to Skip A Pay</w:t>
      </w:r>
    </w:p>
    <w:p>
      <w:pPr>
        <w:spacing w:before="0" w:after="80"/>
      </w:pPr>
    </w:p>
    <w:p>
      <w:pPr>
        <w:spacing w:before="200" w:after="60"/>
        <w:pBdr>
          <w:bottom w:val="single" w:sz="4" w:color="1C3F6E"/>
        </w:pBdr>
      </w:pPr>
      <w:r>
        <w:rPr>
          <w:rFonts w:ascii="Calibri" w:hAnsi="Calibri"/>
          <w:b/>
          <w:bCs/>
          <w:color w:val="1C3F6E"/>
          <w:sz w:val="22"/>
          <w:szCs w:val="22"/>
        </w:rPr>
        <w:t xml:space="preserve">Step 4 — Select Loan &amp; Review Fee Details</w:t>
      </w:r>
    </w:p>
    <w:p>
      <w:pPr>
        <w:spacing w:before="60" w:after="100"/>
      </w:pPr>
      <w:r>
        <w:rPr>
          <w:rFonts w:ascii="Calibri" w:hAnsi="Calibri"/>
          <w:color w:val="333333"/>
          <w:sz w:val="20"/>
          <w:szCs w:val="20"/>
        </w:rPr>
        <w:t xml:space="preserve">The Skip A Pay confirmation page displays details about the selected loan, the fee structure, payment method options, and a terms and conditions checkbox that must be accepted before proceeding.</w:t>
      </w:r>
    </w:p>
    <w:p>
      <w:pPr>
        <w:jc w:val="center"/>
        <w:spacing w:before="100" w:after="60"/>
      </w:pPr>
      <w:r>
        <w:drawing>
          <wp:inline xmlns:a="http://schemas.openxmlformats.org/drawingml/2006/main" xmlns:pic="http://schemas.openxmlformats.org/drawingml/2006/picture">
            <wp:extent cx="5486400" cy="4259409"/>
            <wp:docPr id="4" name="02_confirm_fee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firm_fe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  <w:r>
        <w:rPr>
          <w:rFonts w:ascii="Calibri" w:hAnsi="Calibri"/>
          <w:i/>
          <w:color w:val="555555"/>
          <w:sz w:val="16"/>
          <w:szCs w:val="16"/>
        </w:rPr>
        <w:t xml:space="preserve">Step 4: Select Loan &amp; Review Fee Details</w:t>
      </w:r>
    </w:p>
    <w:p>
      <w:pPr>
        <w:spacing w:before="0" w:after="80"/>
      </w:pPr>
    </w:p>
    <w:p>
      <w:pPr>
        <w:spacing w:before="200" w:after="60"/>
        <w:pBdr>
          <w:bottom w:val="single" w:sz="4" w:color="1C3F6E"/>
        </w:pBdr>
      </w:pPr>
      <w:r>
        <w:rPr>
          <w:rFonts w:ascii="Calibri" w:hAnsi="Calibri"/>
          <w:b/>
          <w:bCs/>
          <w:color w:val="1C3F6E"/>
          <w:sz w:val="22"/>
          <w:szCs w:val="22"/>
        </w:rPr>
        <w:t xml:space="preserve">Step 5 — Accept &amp; Confirm Skip</w:t>
      </w:r>
    </w:p>
    <w:p>
      <w:pPr>
        <w:spacing w:before="60" w:after="100"/>
      </w:pPr>
      <w:r>
        <w:rPr>
          <w:rFonts w:ascii="Calibri" w:hAnsi="Calibri"/>
          <w:color w:val="333333"/>
          <w:sz w:val="20"/>
          <w:szCs w:val="20"/>
        </w:rPr>
        <w:t xml:space="preserve">A confirmation screen states 'Your request for a skip payment has been processed' with a Continue button to return to the main interface.</w:t>
      </w:r>
    </w:p>
    <w:p>
      <w:pPr>
        <w:jc w:val="center"/>
        <w:spacing w:before="100" w:after="60"/>
      </w:pPr>
      <w:r>
        <w:drawing>
          <wp:inline xmlns:a="http://schemas.openxmlformats.org/drawingml/2006/main" xmlns:pic="http://schemas.openxmlformats.org/drawingml/2006/picture">
            <wp:extent cx="5486400" cy="4203337"/>
            <wp:docPr id="5" name="04_succes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ucces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3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  <w:r>
        <w:rPr>
          <w:rFonts w:ascii="Calibri" w:hAnsi="Calibri"/>
          <w:i/>
          <w:color w:val="555555"/>
          <w:sz w:val="16"/>
          <w:szCs w:val="16"/>
        </w:rPr>
        <w:t xml:space="preserve">Step 5: Accept &amp; Confirm Skip</w:t>
      </w:r>
    </w:p>
    <w:p>
      <w:pPr>
        <w:spacing w:before="0" w:after="80"/>
      </w:pPr>
    </w:p>
    <w:sectPr>
      <w:pgSz w:w="12240" w:h="15840"/>
      <w:pgMar w:top="1080" w:right="1080" w:bottom="1080" w:left="108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color w:val="333333"/>
      </w:rPr>
    </w:rPrDefault>
  </w:docDefaults>
  <w:style w:type="paragraph" w:styleId="Normal">
    <w:name w:val="Normal"/>
    <w:pPr>
      <w:spacing w:after="1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image" Target="media/01_dashboard_home.png"/>
  <Relationship Id="rId4" Type="http://schemas.openxmlformats.org/officeDocument/2006/relationships/image" Target="media/01_more_menu_top.png"/>
  <Relationship Id="rId5" Type="http://schemas.openxmlformats.org/officeDocument/2006/relationships/image" Target="media/01_select_loan.png"/>
  <Relationship Id="rId6" Type="http://schemas.openxmlformats.org/officeDocument/2006/relationships/image" Target="media/02_confirm_fees.png"/>
  <Relationship Id="rId7" Type="http://schemas.openxmlformats.org/officeDocument/2006/relationships/image" Target="media/04_success.png"/>
</Relationships>
</file>