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CSUM-02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ACH Transfer</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ACH Payment — Send Money</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ACH Transfer</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The ACH Transfer feature enables business members to send and receive funds electronically through the Automated Clearing House network. The workflow supports both outbound payments (Send Money) to external transfer accounts and inbound collection (Receive Money) from external sources. The transfer follows a guided three-step process: Set up Transfer, Review, and Finish.</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Business users select a source account, choose or add an external transfer account as the destination, enter the transfer amount, and optionally provide a description and scheduling details. The system enforces role-based transaction limits set by the business admin, and high-value transactions may trigger OTP verification for additional security. Upon completion, a confirmation screen displays the transaction reference and status.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ACH transfer is a foundational business banking capability that directly competes with commercial banks. Offering a streamlined, self-service ACH workflow reduces operational overhead for both the credit union and its business members.</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ACH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ACH Payment — Send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ACH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with transaction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Send Money, Receive Money, Schedule, Review,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NACHA ACH Rules, Regulation E, BSA/AML monitoring</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Vendor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Send ACH payment to vendor external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Self-service payment reduces check-writing and processing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Payroll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Send payroll ACH to employee bank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Digital payroll reduces manual processing burden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Invoice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Receive Money from customer external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Automated receivables collection improves cash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Scheduled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Set future date or recurring schedule for 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Automates recurring vendor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color w:val="333333"/>
                <w:sz w:val="18"/>
                <w:szCs w:val="18"/>
                <w:rtl w:val="0"/>
              </w:rPr>
              <w:t xml:space="preserve">High-Value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color w:val="333333"/>
                <w:sz w:val="18"/>
                <w:szCs w:val="18"/>
                <w:rtl w:val="0"/>
              </w:rPr>
              <w:t xml:space="preserve">Complete OTP verification for large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Calibri" w:cs="Calibri" w:eastAsia="Calibri" w:hAnsi="Calibri"/>
                <w:color w:val="333333"/>
                <w:sz w:val="18"/>
                <w:szCs w:val="18"/>
                <w:rtl w:val="0"/>
              </w:rPr>
              <w:t xml:space="preserve">Additional security layer for high-risk transactions</w:t>
            </w:r>
            <w:r w:rsidDel="00000000" w:rsidR="00000000" w:rsidRPr="00000000">
              <w:rPr>
                <w:rtl w:val="0"/>
              </w:rPr>
            </w:r>
          </w:p>
        </w:tc>
      </w:tr>
    </w:tbl>
    <w:p w:rsidR="00000000" w:rsidDel="00000000" w:rsidP="00000000" w:rsidRDefault="00000000" w:rsidRPr="00000000" w14:paraId="00000037">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9">
      <w:pPr>
        <w:spacing w:before="100" w:lineRule="auto"/>
        <w:rPr/>
      </w:pPr>
      <w:r w:rsidDel="00000000" w:rsidR="00000000" w:rsidRPr="00000000">
        <w:rPr>
          <w:rtl w:val="0"/>
        </w:rPr>
      </w:r>
    </w:p>
    <w:p w:rsidR="00000000" w:rsidDel="00000000" w:rsidP="00000000" w:rsidRDefault="00000000" w:rsidRPr="00000000" w14:paraId="0000003A">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ACH Transfer</w:t>
      </w:r>
      <w:r w:rsidDel="00000000" w:rsidR="00000000" w:rsidRPr="00000000">
        <w:rPr>
          <w:rtl w:val="0"/>
        </w:rPr>
      </w:r>
    </w:p>
    <w:p w:rsidR="00000000" w:rsidDel="00000000" w:rsidP="00000000" w:rsidRDefault="00000000" w:rsidRPr="00000000" w14:paraId="0000003B">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C">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D">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2.png"/>
            <a:graphic>
              <a:graphicData uri="http://schemas.openxmlformats.org/drawingml/2006/picture">
                <pic:pic>
                  <pic:nvPicPr>
                    <pic:cNvPr descr="Figure 1 — Log In and Open the Dashboard" id="0" name="image2.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41">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4">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ACH Transfer</w:t>
      </w:r>
      <w:r w:rsidDel="00000000" w:rsidR="00000000" w:rsidRPr="00000000">
        <w:rPr>
          <w:rtl w:val="0"/>
        </w:rPr>
      </w:r>
    </w:p>
    <w:p w:rsidR="00000000" w:rsidDel="00000000" w:rsidP="00000000" w:rsidRDefault="00000000" w:rsidRPr="00000000" w14:paraId="00000046">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The Business Banking Hub appears. Locate the "Transfers" section at the top of the Hub and click the "ACH Transfer" tile. The ACH Transfer screen opens to Step 1 — "Set up Transfer" with the "Send Money" tab active. You will see a stepper indicator at the top showing three phases: Set up Transfer (highlighted), Review, and Finish. The "From" field is pre-populated with your primary business account (e.g., Business Money Market Account). Below it, the "To" field prompts you to select an External Transfer Account as the payment destination.</w:t>
      </w: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drawing>
          <wp:inline distB="0" distT="0" distL="0" distR="0">
            <wp:extent cx="5524500" cy="3448050"/>
            <wp:effectExtent b="0" l="0" r="0" t="0"/>
            <wp:docPr descr="Figure 3 — Navigate to ACH Transfer" id="3" name="image6.png"/>
            <a:graphic>
              <a:graphicData uri="http://schemas.openxmlformats.org/drawingml/2006/picture">
                <pic:pic>
                  <pic:nvPicPr>
                    <pic:cNvPr descr="Figure 3 — Navigate to ACH Transfer" id="0" name="image6.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ACH Transfer</w:t>
      </w:r>
      <w:r w:rsidDel="00000000" w:rsidR="00000000" w:rsidRPr="00000000">
        <w:rPr>
          <w:rtl w:val="0"/>
        </w:rPr>
      </w:r>
    </w:p>
    <w:p w:rsidR="00000000" w:rsidDel="00000000" w:rsidP="00000000" w:rsidRDefault="00000000" w:rsidRPr="00000000" w14:paraId="00000049">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before="250" w:lineRule="auto"/>
        <w:rPr/>
      </w:pPr>
      <w:r w:rsidDel="00000000" w:rsidR="00000000" w:rsidRPr="00000000">
        <w:rPr>
          <w:rFonts w:ascii="Calibri" w:cs="Calibri" w:eastAsia="Calibri" w:hAnsi="Calibri"/>
          <w:b w:val="1"/>
          <w:bCs w:val="1"/>
          <w:color w:val="1f5c99"/>
          <w:sz w:val="24"/>
          <w:szCs w:val="24"/>
          <w:rtl w:val="0"/>
        </w:rPr>
        <w:t xml:space="preserve">Step 4: Select the Destination Account</w:t>
      </w:r>
      <w:r w:rsidDel="00000000" w:rsidR="00000000" w:rsidRPr="00000000">
        <w:rPr>
          <w:rtl w:val="0"/>
        </w:rPr>
      </w:r>
    </w:p>
    <w:p w:rsidR="00000000" w:rsidDel="00000000" w:rsidP="00000000" w:rsidRDefault="00000000" w:rsidRPr="00000000" w14:paraId="0000004B">
      <w:pPr>
        <w:spacing w:after="100" w:before="100" w:lineRule="auto"/>
        <w:rPr/>
      </w:pPr>
      <w:r w:rsidDel="00000000" w:rsidR="00000000" w:rsidRPr="00000000">
        <w:rPr>
          <w:rFonts w:ascii="Calibri" w:cs="Calibri" w:eastAsia="Calibri" w:hAnsi="Calibri"/>
          <w:color w:val="333333"/>
          <w:sz w:val="20"/>
          <w:szCs w:val="20"/>
          <w:rtl w:val="0"/>
        </w:rPr>
        <w:t xml:space="preserve">Click the "To" dropdown field. A scrollable list of all your pre-configured external transfer accounts appears. These are accounts previously saved through Recipient Management. Each entry shows the recipient's name and masked account number. Scroll through the list and click on the recipient you wish to pay. If your intended recipient does not appear in the list, you will need to add them first via Recipient Management (navigate back to the Hub, click "Recipient Management" under Manage, and add the new account). Once added, return to ACH Transfer and the new recipient will appear in this dropdown.</w:t>
      </w:r>
      <w:r w:rsidDel="00000000" w:rsidR="00000000" w:rsidRPr="00000000">
        <w:rPr>
          <w:rtl w:val="0"/>
        </w:rPr>
      </w:r>
    </w:p>
    <w:p w:rsidR="00000000" w:rsidDel="00000000" w:rsidP="00000000" w:rsidRDefault="00000000" w:rsidRPr="00000000" w14:paraId="0000004C">
      <w:pPr>
        <w:spacing w:after="100" w:before="200" w:lineRule="auto"/>
        <w:rPr/>
      </w:pPr>
      <w:r w:rsidDel="00000000" w:rsidR="00000000" w:rsidRPr="00000000">
        <w:rPr/>
        <w:drawing>
          <wp:inline distB="0" distT="0" distL="0" distR="0">
            <wp:extent cx="5524500" cy="3448050"/>
            <wp:effectExtent b="0" l="0" r="0" t="0"/>
            <wp:docPr descr="Figure 4 — Select the Destination Account" id="6" name="image11.png"/>
            <a:graphic>
              <a:graphicData uri="http://schemas.openxmlformats.org/drawingml/2006/picture">
                <pic:pic>
                  <pic:nvPicPr>
                    <pic:cNvPr descr="Figure 4 — Select the Destination Account" id="0" name="image11.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Select the Destination Account</w:t>
      </w:r>
      <w:r w:rsidDel="00000000" w:rsidR="00000000" w:rsidRPr="00000000">
        <w:rPr>
          <w:rtl w:val="0"/>
        </w:rPr>
      </w:r>
    </w:p>
    <w:p w:rsidR="00000000" w:rsidDel="00000000" w:rsidP="00000000" w:rsidRDefault="00000000" w:rsidRPr="00000000" w14:paraId="0000004E">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before="250" w:lineRule="auto"/>
        <w:rPr/>
      </w:pPr>
      <w:r w:rsidDel="00000000" w:rsidR="00000000" w:rsidRPr="00000000">
        <w:rPr>
          <w:rFonts w:ascii="Calibri" w:cs="Calibri" w:eastAsia="Calibri" w:hAnsi="Calibri"/>
          <w:b w:val="1"/>
          <w:bCs w:val="1"/>
          <w:color w:val="1f5c99"/>
          <w:sz w:val="24"/>
          <w:szCs w:val="24"/>
          <w:rtl w:val="0"/>
        </w:rPr>
        <w:t xml:space="preserve">Step 5: Enter the Transfer Amount</w:t>
      </w:r>
      <w:r w:rsidDel="00000000" w:rsidR="00000000" w:rsidRPr="00000000">
        <w:rPr>
          <w:rtl w:val="0"/>
        </w:rPr>
      </w:r>
    </w:p>
    <w:p w:rsidR="00000000" w:rsidDel="00000000" w:rsidP="00000000" w:rsidRDefault="00000000" w:rsidRPr="00000000" w14:paraId="00000050">
      <w:pPr>
        <w:spacing w:after="100" w:before="100" w:lineRule="auto"/>
        <w:rPr/>
      </w:pPr>
      <w:r w:rsidDel="00000000" w:rsidR="00000000" w:rsidRPr="00000000">
        <w:rPr>
          <w:rFonts w:ascii="Calibri" w:cs="Calibri" w:eastAsia="Calibri" w:hAnsi="Calibri"/>
          <w:color w:val="333333"/>
          <w:sz w:val="20"/>
          <w:szCs w:val="20"/>
          <w:rtl w:val="0"/>
        </w:rPr>
        <w:t xml:space="preserve">After selecting the destination account, the Amount field appears below. Click into the Amount field and type the dollar amount you wish to send (e.g., 500.00). The system will validate this amount against your role's per-transaction limit and daily cumulative ACH limit. If the amount exceeds your configured limit, the system will block the transaction or require additional verification in a later step. Ensure the amount is correct before proceeding — you will have a chance to review it again on the next screen, but entering the correct amount here saves time.</w:t>
      </w:r>
      <w:r w:rsidDel="00000000" w:rsidR="00000000" w:rsidRPr="00000000">
        <w:rPr>
          <w:rtl w:val="0"/>
        </w:rPr>
      </w:r>
    </w:p>
    <w:p w:rsidR="00000000" w:rsidDel="00000000" w:rsidP="00000000" w:rsidRDefault="00000000" w:rsidRPr="00000000" w14:paraId="00000051">
      <w:pPr>
        <w:spacing w:after="100" w:before="200" w:lineRule="auto"/>
        <w:rPr/>
      </w:pPr>
      <w:r w:rsidDel="00000000" w:rsidR="00000000" w:rsidRPr="00000000">
        <w:rPr/>
        <w:drawing>
          <wp:inline distB="0" distT="0" distL="0" distR="0">
            <wp:extent cx="5524500" cy="3448050"/>
            <wp:effectExtent b="0" l="0" r="0" t="0"/>
            <wp:docPr descr="Figure 5 — Enter the Transfer Amount" id="5" name="image4.png"/>
            <a:graphic>
              <a:graphicData uri="http://schemas.openxmlformats.org/drawingml/2006/picture">
                <pic:pic>
                  <pic:nvPicPr>
                    <pic:cNvPr descr="Figure 5 — Enter the Transfer Amount" id="0" name="image4.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Enter the Transfer Amount</w:t>
      </w:r>
      <w:r w:rsidDel="00000000" w:rsidR="00000000" w:rsidRPr="00000000">
        <w:rPr>
          <w:rtl w:val="0"/>
        </w:rPr>
      </w:r>
    </w:p>
    <w:p w:rsidR="00000000" w:rsidDel="00000000" w:rsidP="00000000" w:rsidRDefault="00000000" w:rsidRPr="00000000" w14:paraId="00000053">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before="250" w:lineRule="auto"/>
        <w:rPr/>
      </w:pPr>
      <w:r w:rsidDel="00000000" w:rsidR="00000000" w:rsidRPr="00000000">
        <w:rPr>
          <w:rFonts w:ascii="Calibri" w:cs="Calibri" w:eastAsia="Calibri" w:hAnsi="Calibri"/>
          <w:b w:val="1"/>
          <w:bCs w:val="1"/>
          <w:color w:val="1f5c99"/>
          <w:sz w:val="24"/>
          <w:szCs w:val="24"/>
          <w:rtl w:val="0"/>
        </w:rPr>
        <w:t xml:space="preserve">Step 6: Fill in Description, Date, and Frequency</w:t>
      </w:r>
      <w:r w:rsidDel="00000000" w:rsidR="00000000" w:rsidRPr="00000000">
        <w:rPr>
          <w:rtl w:val="0"/>
        </w:rPr>
      </w:r>
    </w:p>
    <w:p w:rsidR="00000000" w:rsidDel="00000000" w:rsidP="00000000" w:rsidRDefault="00000000" w:rsidRPr="00000000" w14:paraId="00000055">
      <w:pPr>
        <w:spacing w:after="100" w:before="100" w:lineRule="auto"/>
        <w:rPr/>
      </w:pPr>
      <w:r w:rsidDel="00000000" w:rsidR="00000000" w:rsidRPr="00000000">
        <w:rPr>
          <w:rFonts w:ascii="Calibri" w:cs="Calibri" w:eastAsia="Calibri" w:hAnsi="Calibri"/>
          <w:color w:val="333333"/>
          <w:sz w:val="20"/>
          <w:szCs w:val="20"/>
          <w:rtl w:val="0"/>
        </w:rPr>
        <w:t xml:space="preserve">Below the Amount field, you will see additional optional fields. In the "Description" field, enter a memo or reference (such as an invoice number or payment note) — this text will appear on the recipient's bank statement. Click the "Effective Date" field to open a date picker and select when the transfer should be processed. If you want this to be a one-time payment, leave the frequency as "One Time." If you need a recurring payment (weekly, bi-weekly, monthly), use the Frequency dropdown to set the schedule. These fields help you automate regular payments and maintain clear records.</w:t>
      </w:r>
      <w:r w:rsidDel="00000000" w:rsidR="00000000" w:rsidRPr="00000000">
        <w:rPr>
          <w:rtl w:val="0"/>
        </w:rPr>
      </w:r>
    </w:p>
    <w:p w:rsidR="00000000" w:rsidDel="00000000" w:rsidP="00000000" w:rsidRDefault="00000000" w:rsidRPr="00000000" w14:paraId="00000056">
      <w:pPr>
        <w:spacing w:after="100" w:before="200" w:lineRule="auto"/>
        <w:rPr/>
      </w:pPr>
      <w:r w:rsidDel="00000000" w:rsidR="00000000" w:rsidRPr="00000000">
        <w:rPr/>
        <w:drawing>
          <wp:inline distB="0" distT="0" distL="0" distR="0">
            <wp:extent cx="5524500" cy="3448050"/>
            <wp:effectExtent b="0" l="0" r="0" t="0"/>
            <wp:docPr descr="Figure 6 — Fill in Description, Date, and Frequency" id="8" name="image13.png"/>
            <a:graphic>
              <a:graphicData uri="http://schemas.openxmlformats.org/drawingml/2006/picture">
                <pic:pic>
                  <pic:nvPicPr>
                    <pic:cNvPr descr="Figure 6 — Fill in Description, Date, and Frequency" id="0" name="image13.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Fill in Description, Date, and Frequency</w:t>
      </w:r>
      <w:r w:rsidDel="00000000" w:rsidR="00000000" w:rsidRPr="00000000">
        <w:rPr>
          <w:rtl w:val="0"/>
        </w:rPr>
      </w:r>
    </w:p>
    <w:p w:rsidR="00000000" w:rsidDel="00000000" w:rsidP="00000000" w:rsidRDefault="00000000" w:rsidRPr="00000000" w14:paraId="00000058">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before="250" w:lineRule="auto"/>
        <w:rPr/>
      </w:pPr>
      <w:r w:rsidDel="00000000" w:rsidR="00000000" w:rsidRPr="00000000">
        <w:rPr>
          <w:rFonts w:ascii="Calibri" w:cs="Calibri" w:eastAsia="Calibri" w:hAnsi="Calibri"/>
          <w:b w:val="1"/>
          <w:bCs w:val="1"/>
          <w:color w:val="1f5c99"/>
          <w:sz w:val="24"/>
          <w:szCs w:val="24"/>
          <w:rtl w:val="0"/>
        </w:rPr>
        <w:t xml:space="preserve">Step 7: Review Your Entries and Click Continue</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rFonts w:ascii="Calibri" w:cs="Calibri" w:eastAsia="Calibri" w:hAnsi="Calibri"/>
          <w:color w:val="333333"/>
          <w:sz w:val="20"/>
          <w:szCs w:val="20"/>
          <w:rtl w:val="0"/>
        </w:rPr>
        <w:t xml:space="preserve">Scroll to the bottom of the form to verify all fields are completed: From account, To account, Amount, Description, Effective Date, and Frequency. Review each entry carefully. When everything looks correct, click the "Continue" button at the bottom of the form. This will advance you to Step 2 — Review. If you need to change anything, simply click on the field you wish to edit before clicking Continue. The Continue button will only become active once all required fields are filled in.</w:t>
      </w: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drawing>
          <wp:inline distB="0" distT="0" distL="0" distR="0">
            <wp:extent cx="5524500" cy="3448050"/>
            <wp:effectExtent b="0" l="0" r="0" t="0"/>
            <wp:docPr descr="Figure 7 — Review Your Entries and Click Continue" id="7" name="image5.png"/>
            <a:graphic>
              <a:graphicData uri="http://schemas.openxmlformats.org/drawingml/2006/picture">
                <pic:pic>
                  <pic:nvPicPr>
                    <pic:cNvPr descr="Figure 7 — Review Your Entries and Click Continue" id="0" name="image5.png"/>
                    <pic:cNvPicPr preferRelativeResize="0"/>
                  </pic:nvPicPr>
                  <pic:blipFill>
                    <a:blip r:embed="rId13"/>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7 — Review Your Entries and Click Continue</w:t>
      </w:r>
      <w:r w:rsidDel="00000000" w:rsidR="00000000" w:rsidRPr="00000000">
        <w:rPr>
          <w:rtl w:val="0"/>
        </w:rPr>
      </w:r>
    </w:p>
    <w:p w:rsidR="00000000" w:rsidDel="00000000" w:rsidP="00000000" w:rsidRDefault="00000000" w:rsidRPr="00000000" w14:paraId="0000005D">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before="250" w:lineRule="auto"/>
        <w:rPr/>
      </w:pPr>
      <w:r w:rsidDel="00000000" w:rsidR="00000000" w:rsidRPr="00000000">
        <w:rPr>
          <w:rFonts w:ascii="Calibri" w:cs="Calibri" w:eastAsia="Calibri" w:hAnsi="Calibri"/>
          <w:b w:val="1"/>
          <w:bCs w:val="1"/>
          <w:color w:val="1f5c99"/>
          <w:sz w:val="24"/>
          <w:szCs w:val="24"/>
          <w:rtl w:val="0"/>
        </w:rPr>
        <w:t xml:space="preserve">Step 8: Review the Transfer Summary</w:t>
      </w:r>
      <w:r w:rsidDel="00000000" w:rsidR="00000000" w:rsidRPr="00000000">
        <w:rPr>
          <w:rtl w:val="0"/>
        </w:rPr>
      </w:r>
    </w:p>
    <w:p w:rsidR="00000000" w:rsidDel="00000000" w:rsidP="00000000" w:rsidRDefault="00000000" w:rsidRPr="00000000" w14:paraId="0000005F">
      <w:pPr>
        <w:spacing w:after="100" w:before="100" w:lineRule="auto"/>
        <w:rPr/>
      </w:pPr>
      <w:r w:rsidDel="00000000" w:rsidR="00000000" w:rsidRPr="00000000">
        <w:rPr>
          <w:rFonts w:ascii="Calibri" w:cs="Calibri" w:eastAsia="Calibri" w:hAnsi="Calibri"/>
          <w:color w:val="333333"/>
          <w:sz w:val="20"/>
          <w:szCs w:val="20"/>
          <w:rtl w:val="0"/>
        </w:rPr>
        <w:t xml:space="preserve">You are now on Step 2 — "Review." The stepper at the top highlights the Review phase. The screen displays a read-only summary of your ACH transfer: source account, destination account, transfer amount, description, effective date, and frequency. Read through every detail carefully. This is your last chance to catch errors before submission. If you spot a mistake, click "Back" to return to Step 1 and correct it. If everything is accurate, click "Submit" (or "Continue") to proceed to confirmation.</w:t>
      </w:r>
      <w:r w:rsidDel="00000000" w:rsidR="00000000" w:rsidRPr="00000000">
        <w:rPr>
          <w:rtl w:val="0"/>
        </w:rPr>
      </w:r>
    </w:p>
    <w:p w:rsidR="00000000" w:rsidDel="00000000" w:rsidP="00000000" w:rsidRDefault="00000000" w:rsidRPr="00000000" w14:paraId="00000060">
      <w:pPr>
        <w:spacing w:after="100" w:before="200" w:lineRule="auto"/>
        <w:rPr/>
      </w:pPr>
      <w:r w:rsidDel="00000000" w:rsidR="00000000" w:rsidRPr="00000000">
        <w:rPr/>
        <w:drawing>
          <wp:inline distB="0" distT="0" distL="0" distR="0">
            <wp:extent cx="5524500" cy="3448050"/>
            <wp:effectExtent b="0" l="0" r="0" t="0"/>
            <wp:docPr descr="Figure 8 — Review the Transfer Summary" id="10" name="image12.png"/>
            <a:graphic>
              <a:graphicData uri="http://schemas.openxmlformats.org/drawingml/2006/picture">
                <pic:pic>
                  <pic:nvPicPr>
                    <pic:cNvPr descr="Figure 8 — Review the Transfer Summary" id="0" name="image12.png"/>
                    <pic:cNvPicPr preferRelativeResize="0"/>
                  </pic:nvPicPr>
                  <pic:blipFill>
                    <a:blip r:embed="rId14"/>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8 — Review the Transfer Summary</w:t>
      </w:r>
      <w:r w:rsidDel="00000000" w:rsidR="00000000" w:rsidRPr="00000000">
        <w:rPr>
          <w:rtl w:val="0"/>
        </w:rPr>
      </w:r>
    </w:p>
    <w:p w:rsidR="00000000" w:rsidDel="00000000" w:rsidP="00000000" w:rsidRDefault="00000000" w:rsidRPr="00000000" w14:paraId="00000062">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before="250" w:lineRule="auto"/>
        <w:rPr/>
      </w:pPr>
      <w:r w:rsidDel="00000000" w:rsidR="00000000" w:rsidRPr="00000000">
        <w:rPr>
          <w:rFonts w:ascii="Calibri" w:cs="Calibri" w:eastAsia="Calibri" w:hAnsi="Calibri"/>
          <w:b w:val="1"/>
          <w:bCs w:val="1"/>
          <w:color w:val="1f5c99"/>
          <w:sz w:val="24"/>
          <w:szCs w:val="24"/>
          <w:rtl w:val="0"/>
        </w:rPr>
        <w:t xml:space="preserve">Step 9: Verify the Description/Memo Text</w:t>
      </w:r>
      <w:r w:rsidDel="00000000" w:rsidR="00000000" w:rsidRPr="00000000">
        <w:rPr>
          <w:rtl w:val="0"/>
        </w:rPr>
      </w:r>
    </w:p>
    <w:p w:rsidR="00000000" w:rsidDel="00000000" w:rsidP="00000000" w:rsidRDefault="00000000" w:rsidRPr="00000000" w14:paraId="00000064">
      <w:pPr>
        <w:spacing w:after="100" w:before="100" w:lineRule="auto"/>
        <w:rPr/>
      </w:pPr>
      <w:r w:rsidDel="00000000" w:rsidR="00000000" w:rsidRPr="00000000">
        <w:rPr>
          <w:rFonts w:ascii="Calibri" w:cs="Calibri" w:eastAsia="Calibri" w:hAnsi="Calibri"/>
          <w:color w:val="333333"/>
          <w:sz w:val="20"/>
          <w:szCs w:val="20"/>
          <w:rtl w:val="0"/>
        </w:rPr>
        <w:t xml:space="preserve">Take a moment to verify the description/memo field in the review summary. This is the text that will travel with the ACH transaction and appear on the recipient's bank statement. Make sure it contains the correct reference information (invoice number, PO number, or payment purpose). If your organization uses specific coding conventions for payments, confirm the description follows your standard format. A clear, accurate description enables easy reconciliation for both your business and the recipient.</w:t>
      </w:r>
      <w:r w:rsidDel="00000000" w:rsidR="00000000" w:rsidRPr="00000000">
        <w:rPr>
          <w:rtl w:val="0"/>
        </w:rPr>
      </w:r>
    </w:p>
    <w:p w:rsidR="00000000" w:rsidDel="00000000" w:rsidP="00000000" w:rsidRDefault="00000000" w:rsidRPr="00000000" w14:paraId="00000065">
      <w:pPr>
        <w:spacing w:after="100" w:before="200" w:lineRule="auto"/>
        <w:rPr/>
      </w:pPr>
      <w:r w:rsidDel="00000000" w:rsidR="00000000" w:rsidRPr="00000000">
        <w:rPr/>
        <w:drawing>
          <wp:inline distB="0" distT="0" distL="0" distR="0">
            <wp:extent cx="5524500" cy="3448050"/>
            <wp:effectExtent b="0" l="0" r="0" t="0"/>
            <wp:docPr descr="Figure 9 — Verify the Description/Memo Text" id="9" name="image10.png"/>
            <a:graphic>
              <a:graphicData uri="http://schemas.openxmlformats.org/drawingml/2006/picture">
                <pic:pic>
                  <pic:nvPicPr>
                    <pic:cNvPr descr="Figure 9 — Verify the Description/Memo Text" id="0" name="image10.png"/>
                    <pic:cNvPicPr preferRelativeResize="0"/>
                  </pic:nvPicPr>
                  <pic:blipFill>
                    <a:blip r:embed="rId15"/>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9 — Verify the Description/Memo Text</w:t>
      </w:r>
      <w:r w:rsidDel="00000000" w:rsidR="00000000" w:rsidRPr="00000000">
        <w:rPr>
          <w:rtl w:val="0"/>
        </w:rPr>
      </w:r>
    </w:p>
    <w:p w:rsidR="00000000" w:rsidDel="00000000" w:rsidP="00000000" w:rsidRDefault="00000000" w:rsidRPr="00000000" w14:paraId="00000067">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before="250" w:lineRule="auto"/>
        <w:rPr/>
      </w:pPr>
      <w:r w:rsidDel="00000000" w:rsidR="00000000" w:rsidRPr="00000000">
        <w:rPr>
          <w:rFonts w:ascii="Calibri" w:cs="Calibri" w:eastAsia="Calibri" w:hAnsi="Calibri"/>
          <w:b w:val="1"/>
          <w:bCs w:val="1"/>
          <w:color w:val="1f5c99"/>
          <w:sz w:val="24"/>
          <w:szCs w:val="24"/>
          <w:rtl w:val="0"/>
        </w:rPr>
        <w:t xml:space="preserve">Step 10: Confirm and Submit the Payment</w:t>
      </w:r>
      <w:r w:rsidDel="00000000" w:rsidR="00000000" w:rsidRPr="00000000">
        <w:rPr>
          <w:rtl w:val="0"/>
        </w:rPr>
      </w:r>
    </w:p>
    <w:p w:rsidR="00000000" w:rsidDel="00000000" w:rsidP="00000000" w:rsidRDefault="00000000" w:rsidRPr="00000000" w14:paraId="00000069">
      <w:pPr>
        <w:spacing w:after="100" w:before="100" w:lineRule="auto"/>
        <w:rPr/>
      </w:pPr>
      <w:r w:rsidDel="00000000" w:rsidR="00000000" w:rsidRPr="00000000">
        <w:rPr>
          <w:rFonts w:ascii="Calibri" w:cs="Calibri" w:eastAsia="Calibri" w:hAnsi="Calibri"/>
          <w:color w:val="333333"/>
          <w:sz w:val="20"/>
          <w:szCs w:val="20"/>
          <w:rtl w:val="0"/>
        </w:rPr>
        <w:t xml:space="preserve">On the final review screen, verify the complete transaction summary one last time: From account, To account, Amount, Description, Effective Date, and Frequency. When you are satisfied that all details are correct, click the "Submit" button. If your business has dual-control approval settings configured (set in Approval Settings), the transaction will be routed to the Approvals queue for a second authorized user to approve before processing. If no dual-control is required, the payment advances directly to the next step.</w:t>
      </w:r>
      <w:r w:rsidDel="00000000" w:rsidR="00000000" w:rsidRPr="00000000">
        <w:rPr>
          <w:rtl w:val="0"/>
        </w:rPr>
      </w:r>
    </w:p>
    <w:p w:rsidR="00000000" w:rsidDel="00000000" w:rsidP="00000000" w:rsidRDefault="00000000" w:rsidRPr="00000000" w14:paraId="0000006A">
      <w:pPr>
        <w:spacing w:after="100" w:before="200" w:lineRule="auto"/>
        <w:rPr/>
      </w:pPr>
      <w:r w:rsidDel="00000000" w:rsidR="00000000" w:rsidRPr="00000000">
        <w:rPr/>
        <w:drawing>
          <wp:inline distB="0" distT="0" distL="0" distR="0">
            <wp:extent cx="5524500" cy="3448050"/>
            <wp:effectExtent b="0" l="0" r="0" t="0"/>
            <wp:docPr descr="Figure 10 — Confirm and Submit the Payment" id="13" name="image9.png"/>
            <a:graphic>
              <a:graphicData uri="http://schemas.openxmlformats.org/drawingml/2006/picture">
                <pic:pic>
                  <pic:nvPicPr>
                    <pic:cNvPr descr="Figure 10 — Confirm and Submit the Payment" id="0" name="image9.png"/>
                    <pic:cNvPicPr preferRelativeResize="0"/>
                  </pic:nvPicPr>
                  <pic:blipFill>
                    <a:blip r:embed="rId16"/>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10 — Confirm and Submit the Payment</w:t>
      </w:r>
      <w:r w:rsidDel="00000000" w:rsidR="00000000" w:rsidRPr="00000000">
        <w:rPr>
          <w:rtl w:val="0"/>
        </w:rPr>
      </w:r>
    </w:p>
    <w:p w:rsidR="00000000" w:rsidDel="00000000" w:rsidP="00000000" w:rsidRDefault="00000000" w:rsidRPr="00000000" w14:paraId="0000006C">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before="250" w:lineRule="auto"/>
        <w:rPr/>
      </w:pPr>
      <w:r w:rsidDel="00000000" w:rsidR="00000000" w:rsidRPr="00000000">
        <w:rPr>
          <w:rFonts w:ascii="Calibri" w:cs="Calibri" w:eastAsia="Calibri" w:hAnsi="Calibri"/>
          <w:b w:val="1"/>
          <w:bCs w:val="1"/>
          <w:color w:val="1f5c99"/>
          <w:sz w:val="24"/>
          <w:szCs w:val="24"/>
          <w:rtl w:val="0"/>
        </w:rPr>
        <w:t xml:space="preserve">Step 11: Acknowledge the Confirmation Dialog</w:t>
      </w:r>
      <w:r w:rsidDel="00000000" w:rsidR="00000000" w:rsidRPr="00000000">
        <w:rPr>
          <w:rtl w:val="0"/>
        </w:rPr>
      </w:r>
    </w:p>
    <w:p w:rsidR="00000000" w:rsidDel="00000000" w:rsidP="00000000" w:rsidRDefault="00000000" w:rsidRPr="00000000" w14:paraId="0000006E">
      <w:pPr>
        <w:spacing w:after="100" w:before="100" w:lineRule="auto"/>
        <w:rPr/>
      </w:pPr>
      <w:r w:rsidDel="00000000" w:rsidR="00000000" w:rsidRPr="00000000">
        <w:rPr>
          <w:rFonts w:ascii="Calibri" w:cs="Calibri" w:eastAsia="Calibri" w:hAnsi="Calibri"/>
          <w:color w:val="333333"/>
          <w:sz w:val="20"/>
          <w:szCs w:val="20"/>
          <w:rtl w:val="0"/>
        </w:rPr>
        <w:t xml:space="preserve">After clicking Submit, a confirmation dialog appears in the center of the screen. This dialog restates the payment amount and asks you to confirm one final time. Click "Yes, Submit" (or the equivalent confirm button) to authorize the payment. Click "Cancel" if you want to abort. This two-click pattern (Submit + Confirm) is a safety mechanism to prevent accidental payments. The dialog requires your deliberate action — it will not auto-dismiss or time out.</w:t>
      </w:r>
      <w:r w:rsidDel="00000000" w:rsidR="00000000" w:rsidRPr="00000000">
        <w:rPr>
          <w:rtl w:val="0"/>
        </w:rPr>
      </w:r>
    </w:p>
    <w:p w:rsidR="00000000" w:rsidDel="00000000" w:rsidP="00000000" w:rsidRDefault="00000000" w:rsidRPr="00000000" w14:paraId="0000006F">
      <w:pPr>
        <w:spacing w:after="100" w:before="200" w:lineRule="auto"/>
        <w:rPr/>
      </w:pPr>
      <w:r w:rsidDel="00000000" w:rsidR="00000000" w:rsidRPr="00000000">
        <w:rPr/>
        <w:drawing>
          <wp:inline distB="0" distT="0" distL="0" distR="0">
            <wp:extent cx="5524500" cy="3448050"/>
            <wp:effectExtent b="0" l="0" r="0" t="0"/>
            <wp:docPr descr="Figure 11 — Acknowledge the Confirmation Dialog" id="11" name="image3.png"/>
            <a:graphic>
              <a:graphicData uri="http://schemas.openxmlformats.org/drawingml/2006/picture">
                <pic:pic>
                  <pic:nvPicPr>
                    <pic:cNvPr descr="Figure 11 — Acknowledge the Confirmation Dialog" id="0" name="image3.png"/>
                    <pic:cNvPicPr preferRelativeResize="0"/>
                  </pic:nvPicPr>
                  <pic:blipFill>
                    <a:blip r:embed="rId1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11 — Acknowledge the Confirmation Dialog</w:t>
      </w:r>
      <w:r w:rsidDel="00000000" w:rsidR="00000000" w:rsidRPr="00000000">
        <w:rPr>
          <w:rtl w:val="0"/>
        </w:rPr>
      </w:r>
    </w:p>
    <w:p w:rsidR="00000000" w:rsidDel="00000000" w:rsidP="00000000" w:rsidRDefault="00000000" w:rsidRPr="00000000" w14:paraId="00000071">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before="250" w:lineRule="auto"/>
        <w:rPr/>
      </w:pPr>
      <w:r w:rsidDel="00000000" w:rsidR="00000000" w:rsidRPr="00000000">
        <w:rPr>
          <w:rFonts w:ascii="Calibri" w:cs="Calibri" w:eastAsia="Calibri" w:hAnsi="Calibri"/>
          <w:b w:val="1"/>
          <w:bCs w:val="1"/>
          <w:color w:val="1f5c99"/>
          <w:sz w:val="24"/>
          <w:szCs w:val="24"/>
          <w:rtl w:val="0"/>
        </w:rPr>
        <w:t xml:space="preserve">Step 12: Enter the One-Time Passcode (If Required)</w:t>
      </w:r>
      <w:r w:rsidDel="00000000" w:rsidR="00000000" w:rsidRPr="00000000">
        <w:rPr>
          <w:rtl w:val="0"/>
        </w:rPr>
      </w:r>
    </w:p>
    <w:p w:rsidR="00000000" w:rsidDel="00000000" w:rsidP="00000000" w:rsidRDefault="00000000" w:rsidRPr="00000000" w14:paraId="00000073">
      <w:pPr>
        <w:spacing w:after="100" w:before="100" w:lineRule="auto"/>
        <w:rPr/>
      </w:pPr>
      <w:r w:rsidDel="00000000" w:rsidR="00000000" w:rsidRPr="00000000">
        <w:rPr>
          <w:rFonts w:ascii="Calibri" w:cs="Calibri" w:eastAsia="Calibri" w:hAnsi="Calibri"/>
          <w:color w:val="333333"/>
          <w:sz w:val="20"/>
          <w:szCs w:val="20"/>
          <w:rtl w:val="0"/>
        </w:rPr>
        <w:t xml:space="preserve">If the transfer amount exceeds your role's standard threshold, the system will display an OTP (One-Time Passcode) verification screen. Check your registered mobile device or email for a 5-digit verification code. Enter the code in the individual digit boxes shown on screen. Click "Verify" (or equivalent) to proceed. If you did not receive the code, click "Resend" to request a new one. The OTP expires after a short time window, so enter it promptly. This security step ensures that even if your session were compromised, a high-value transfer cannot be completed without access to your physical device.</w:t>
      </w:r>
      <w:r w:rsidDel="00000000" w:rsidR="00000000" w:rsidRPr="00000000">
        <w:rPr>
          <w:rtl w:val="0"/>
        </w:rPr>
      </w:r>
    </w:p>
    <w:p w:rsidR="00000000" w:rsidDel="00000000" w:rsidP="00000000" w:rsidRDefault="00000000" w:rsidRPr="00000000" w14:paraId="00000074">
      <w:pPr>
        <w:spacing w:after="100" w:before="200" w:lineRule="auto"/>
        <w:rPr/>
      </w:pPr>
      <w:r w:rsidDel="00000000" w:rsidR="00000000" w:rsidRPr="00000000">
        <w:rPr/>
        <w:drawing>
          <wp:inline distB="0" distT="0" distL="0" distR="0">
            <wp:extent cx="5524500" cy="3448050"/>
            <wp:effectExtent b="0" l="0" r="0" t="0"/>
            <wp:docPr descr="Figure 12 — Enter the One-Time Passcode (If Required)" id="12" name="image8.png"/>
            <a:graphic>
              <a:graphicData uri="http://schemas.openxmlformats.org/drawingml/2006/picture">
                <pic:pic>
                  <pic:nvPicPr>
                    <pic:cNvPr descr="Figure 12 — Enter the One-Time Passcode (If Required)" id="0" name="image8.png"/>
                    <pic:cNvPicPr preferRelativeResize="0"/>
                  </pic:nvPicPr>
                  <pic:blipFill>
                    <a:blip r:embed="rId1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12 — Enter the One-Time Passcode (If Required)</w:t>
      </w:r>
      <w:r w:rsidDel="00000000" w:rsidR="00000000" w:rsidRPr="00000000">
        <w:rPr>
          <w:rtl w:val="0"/>
        </w:rPr>
      </w:r>
    </w:p>
    <w:p w:rsidR="00000000" w:rsidDel="00000000" w:rsidP="00000000" w:rsidRDefault="00000000" w:rsidRPr="00000000" w14:paraId="00000076">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before="250" w:lineRule="auto"/>
        <w:rPr/>
      </w:pPr>
      <w:r w:rsidDel="00000000" w:rsidR="00000000" w:rsidRPr="00000000">
        <w:rPr>
          <w:rFonts w:ascii="Calibri" w:cs="Calibri" w:eastAsia="Calibri" w:hAnsi="Calibri"/>
          <w:b w:val="1"/>
          <w:bCs w:val="1"/>
          <w:color w:val="1f5c99"/>
          <w:sz w:val="24"/>
          <w:szCs w:val="24"/>
          <w:rtl w:val="0"/>
        </w:rPr>
        <w:t xml:space="preserve">Step 13: View the Success Confirmation</w:t>
      </w:r>
      <w:r w:rsidDel="00000000" w:rsidR="00000000" w:rsidRPr="00000000">
        <w:rPr>
          <w:rtl w:val="0"/>
        </w:rPr>
      </w:r>
    </w:p>
    <w:p w:rsidR="00000000" w:rsidDel="00000000" w:rsidP="00000000" w:rsidRDefault="00000000" w:rsidRPr="00000000" w14:paraId="00000078">
      <w:pPr>
        <w:spacing w:after="100" w:before="100" w:lineRule="auto"/>
        <w:rPr/>
      </w:pPr>
      <w:r w:rsidDel="00000000" w:rsidR="00000000" w:rsidRPr="00000000">
        <w:rPr>
          <w:rFonts w:ascii="Calibri" w:cs="Calibri" w:eastAsia="Calibri" w:hAnsi="Calibri"/>
          <w:color w:val="333333"/>
          <w:sz w:val="20"/>
          <w:szCs w:val="20"/>
          <w:rtl w:val="0"/>
        </w:rPr>
        <w:t xml:space="preserve">The screen advances to Step 3 — "Finish." A success confirmation is displayed with a green checkmark or success indicator. You will see the completed transaction details: confirmation/reference number, transfer amount, source and destination accounts, and processing status. Save or note down the confirmation number for your records — you can use it for future reference, reconciliation, or dispute resolution. From this screen, you can click to start a new transfer or navigate back to the Business Banking Hub. The transaction now appears in your Commercial Activity ledger.</w:t>
      </w:r>
      <w:r w:rsidDel="00000000" w:rsidR="00000000" w:rsidRPr="00000000">
        <w:rPr>
          <w:rtl w:val="0"/>
        </w:rPr>
      </w:r>
    </w:p>
    <w:p w:rsidR="00000000" w:rsidDel="00000000" w:rsidP="00000000" w:rsidRDefault="00000000" w:rsidRPr="00000000" w14:paraId="00000079">
      <w:pPr>
        <w:spacing w:after="100" w:before="200" w:lineRule="auto"/>
        <w:rPr/>
      </w:pPr>
      <w:r w:rsidDel="00000000" w:rsidR="00000000" w:rsidRPr="00000000">
        <w:rPr/>
        <w:drawing>
          <wp:inline distB="0" distT="0" distL="0" distR="0">
            <wp:extent cx="5524500" cy="3448050"/>
            <wp:effectExtent b="0" l="0" r="0" t="0"/>
            <wp:docPr descr="Figure 13 — View the Success Confirmation" id="14" name="image7.png"/>
            <a:graphic>
              <a:graphicData uri="http://schemas.openxmlformats.org/drawingml/2006/picture">
                <pic:pic>
                  <pic:nvPicPr>
                    <pic:cNvPr descr="Figure 13 — View the Success Confirmation" id="0" name="image7.png"/>
                    <pic:cNvPicPr preferRelativeResize="0"/>
                  </pic:nvPicPr>
                  <pic:blipFill>
                    <a:blip r:embed="rId1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13 — View the Success Confirmation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XPsC3C87jpcnFMH0SQwaMI3EEQ==">CgMxLjA4AHIhMU44MkJUV2kyYmxCNlBFaG5OdUl2OV83Z2NaU3VmOTha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2026-04-05T20:53:48.356Z</dcterms:created>
  <dc:creator>Un-named</dc:creator>
</cp:coreProperties>
</file>

<file path=docProps/custom.xml><?xml version="1.0" encoding="utf-8"?>
<Properties xmlns="http://schemas.openxmlformats.org/officeDocument/2006/custom-properties" xmlns:vt="http://schemas.openxmlformats.org/officeDocument/2006/docPropsVTypes"/>
</file>