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c3f6e" w:val="clear"/>
        <w:spacing w:after="0" w:before="0" w:lineRule="auto"/>
        <w:rPr/>
      </w:pPr>
      <w:r w:rsidDel="00000000" w:rsidR="00000000" w:rsidRPr="00000000">
        <w:rPr>
          <w:rFonts w:ascii="Calibri" w:cs="Calibri" w:eastAsia="Calibri" w:hAnsi="Calibri"/>
          <w:b w:val="1"/>
          <w:bCs w:val="1"/>
          <w:color w:val="b0c8e8"/>
          <w:sz w:val="16"/>
          <w:szCs w:val="16"/>
          <w:rtl w:val="0"/>
        </w:rPr>
        <w:t xml:space="preserve">  SUMMERVILLE CREDIT UNION  ·  CONSOLIDATED MEMBER GUIDE  ·  CSUM-09 of 30</w:t>
      </w:r>
      <w:r w:rsidDel="00000000" w:rsidR="00000000" w:rsidRPr="00000000">
        <w:rPr>
          <w:rtl w:val="0"/>
        </w:rPr>
      </w:r>
    </w:p>
    <w:p w:rsidR="00000000" w:rsidDel="00000000" w:rsidP="00000000" w:rsidRDefault="00000000" w:rsidRPr="00000000" w14:paraId="00000002">
      <w:pPr>
        <w:spacing w:after="40" w:before="160" w:lineRule="auto"/>
        <w:rPr/>
      </w:pPr>
      <w:r w:rsidDel="00000000" w:rsidR="00000000" w:rsidRPr="00000000">
        <w:rPr>
          <w:rFonts w:ascii="Calibri" w:cs="Calibri" w:eastAsia="Calibri" w:hAnsi="Calibri"/>
          <w:b w:val="1"/>
          <w:bCs w:val="1"/>
          <w:color w:val="1c3f6e"/>
          <w:sz w:val="44"/>
          <w:szCs w:val="44"/>
          <w:rtl w:val="0"/>
        </w:rPr>
        <w:t xml:space="preserve">External ACH Transfer</w:t>
      </w:r>
      <w:r w:rsidDel="00000000" w:rsidR="00000000" w:rsidRPr="00000000">
        <w:rPr>
          <w:rtl w:val="0"/>
        </w:rPr>
      </w:r>
    </w:p>
    <w:p w:rsidR="00000000" w:rsidDel="00000000" w:rsidP="00000000" w:rsidRDefault="00000000" w:rsidRPr="00000000" w14:paraId="00000003">
      <w:pPr>
        <w:pBdr>
          <w:bottom w:color="e08c3c" w:space="0" w:sz="18" w:val="single"/>
        </w:pBdr>
        <w:spacing w:after="200" w:before="0" w:lineRule="auto"/>
        <w:rPr/>
      </w:pP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Fonts w:ascii="Calibri" w:cs="Calibri" w:eastAsia="Calibri" w:hAnsi="Calibri"/>
          <w:color w:val="555555"/>
          <w:sz w:val="18"/>
          <w:szCs w:val="18"/>
          <w:rtl w:val="0"/>
        </w:rPr>
        <w:t xml:space="preserve">Module: nFinia Digital Banking &gt; Move Money &gt; External Accounts</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Calibri" w:cs="Calibri" w:eastAsia="Calibri" w:hAnsi="Calibri"/>
          <w:i w:val="1"/>
          <w:iCs w:val="1"/>
          <w:color w:val="777777"/>
          <w:sz w:val="16"/>
          <w:szCs w:val="16"/>
          <w:rtl w:val="0"/>
        </w:rPr>
        <w:t xml:space="preserve">Sources: Summerville Reports Series A (36 docs) + Series B (25 docs) | Features: nFinia Documentation Features Spreadsheet</w:t>
      </w:r>
      <w:r w:rsidDel="00000000" w:rsidR="00000000" w:rsidRPr="00000000">
        <w:rPr>
          <w:rtl w:val="0"/>
        </w:rPr>
      </w:r>
    </w:p>
    <w:p w:rsidR="00000000" w:rsidDel="00000000" w:rsidP="00000000" w:rsidRDefault="00000000" w:rsidRPr="00000000" w14:paraId="00000006">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01  PRODUCT SUMMARY</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40" w:before="0" w:lineRule="auto"/>
        <w:rPr/>
      </w:pPr>
      <w:r w:rsidDel="00000000" w:rsidR="00000000" w:rsidRPr="00000000">
        <w:rPr>
          <w:rFonts w:ascii="Calibri" w:cs="Calibri" w:eastAsia="Calibri" w:hAnsi="Calibri"/>
          <w:color w:val="333333"/>
          <w:sz w:val="20"/>
          <w:szCs w:val="20"/>
          <w:rtl w:val="0"/>
        </w:rPr>
        <w:t xml:space="preserve">The External ACH Transfer feature allows members to send or pull funds between their credit union accounts and external bank accounts at other financial institutions via the ACH (Automated Clearing House) network. This is essential for members who maintain accounts at multiple banks, need to fund their CU account from an external source, or make payments to external obligations.</w:t>
      </w:r>
      <w:r w:rsidDel="00000000" w:rsidR="00000000" w:rsidRPr="00000000">
        <w:rPr>
          <w:rtl w:val="0"/>
        </w:rPr>
      </w:r>
    </w:p>
    <w:p w:rsidR="00000000" w:rsidDel="00000000" w:rsidP="00000000" w:rsidRDefault="00000000" w:rsidRPr="00000000" w14:paraId="00000009">
      <w:pPr>
        <w:spacing w:after="140" w:before="0" w:lineRule="auto"/>
        <w:rPr/>
      </w:pPr>
      <w:r w:rsidDel="00000000" w:rsidR="00000000" w:rsidRPr="00000000">
        <w:rPr>
          <w:rFonts w:ascii="Calibri" w:cs="Calibri" w:eastAsia="Calibri" w:hAnsi="Calibri"/>
          <w:color w:val="333333"/>
          <w:sz w:val="20"/>
          <w:szCs w:val="20"/>
          <w:rtl w:val="0"/>
        </w:rPr>
        <w:t xml:space="preserve">External transfers require identity verification for first-use or high-value transactions. A one-time passcode (OTP) is sent to the member's registered mobile number or email to authorise the transaction before it is submitted to the ACH network. External accounts must first be added via Recipient Management before they can be used as transfer destinations.</w:t>
      </w:r>
      <w:r w:rsidDel="00000000" w:rsidR="00000000" w:rsidRPr="00000000">
        <w:rPr>
          <w:rtl w:val="0"/>
        </w:rPr>
      </w:r>
    </w:p>
    <w:p w:rsidR="00000000" w:rsidDel="00000000" w:rsidP="00000000" w:rsidRDefault="00000000" w:rsidRPr="00000000" w14:paraId="0000000A">
      <w:pPr>
        <w:spacing w:after="140" w:before="0" w:lineRule="auto"/>
        <w:rPr/>
      </w:pPr>
      <w:r w:rsidDel="00000000" w:rsidR="00000000" w:rsidRPr="00000000">
        <w:rPr>
          <w:rFonts w:ascii="Calibri" w:cs="Calibri" w:eastAsia="Calibri" w:hAnsi="Calibri"/>
          <w:color w:val="333333"/>
          <w:sz w:val="20"/>
          <w:szCs w:val="20"/>
          <w:rtl w:val="0"/>
        </w:rPr>
        <w:t xml:space="preserve">The ACH network processes transfers in 1–3 business days under standard ACH rules. Same-day ACH (SDACH) may be available for transfers submitted before the daily cut-off time, subject to CU policy and fee structure.</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p w:rsidR="00000000" w:rsidDel="00000000" w:rsidP="00000000" w:rsidRDefault="00000000" w:rsidRPr="00000000" w14:paraId="0000000C">
      <w:pPr>
        <w:pBdr>
          <w:bottom w:color="1c3f6e" w:space="0" w:sz="4" w:val="single"/>
        </w:pBdr>
        <w:spacing w:after="80" w:before="240" w:lineRule="auto"/>
        <w:rPr/>
      </w:pPr>
      <w:r w:rsidDel="00000000" w:rsidR="00000000" w:rsidRPr="00000000">
        <w:rPr>
          <w:rFonts w:ascii="Calibri" w:cs="Calibri" w:eastAsia="Calibri" w:hAnsi="Calibri"/>
          <w:b w:val="1"/>
          <w:bCs w:val="1"/>
          <w:color w:val="1c3f6e"/>
          <w:sz w:val="22"/>
          <w:szCs w:val="22"/>
          <w:rtl w:val="0"/>
        </w:rPr>
        <w:t xml:space="preserve">At a Glance</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tl w:val="0"/>
        </w:rPr>
      </w:r>
    </w:p>
    <w:tbl>
      <w:tblPr>
        <w:tblStyle w:val="Table1"/>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18"/>
                <w:szCs w:val="18"/>
                <w:rtl w:val="0"/>
              </w:rPr>
              <w:t xml:space="preserve">Attribute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color w:val="333333"/>
                <w:sz w:val="18"/>
                <w:szCs w:val="18"/>
                <w:rtl w:val="0"/>
              </w:rPr>
              <w:t xml:space="preserve">Module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18"/>
                <w:szCs w:val="18"/>
                <w:rtl w:val="0"/>
              </w:rPr>
              <w:t xml:space="preserve">Move Money &gt; Transfer to External Accounts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color w:val="333333"/>
                <w:sz w:val="18"/>
                <w:szCs w:val="18"/>
                <w:rtl w:val="0"/>
              </w:rPr>
              <w:t xml:space="preserve">Network</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18"/>
                <w:szCs w:val="18"/>
                <w:rtl w:val="0"/>
              </w:rPr>
              <w:t xml:space="preserve">ACH — Automated Clearing House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color w:val="333333"/>
                <w:sz w:val="18"/>
                <w:szCs w:val="18"/>
                <w:rtl w:val="0"/>
              </w:rPr>
              <w:t xml:space="preserve">Transfer Speed</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18"/>
                <w:szCs w:val="18"/>
                <w:rtl w:val="0"/>
              </w:rPr>
              <w:t xml:space="preserve">1–3 business days (standard); Same-day ACH if available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color w:val="333333"/>
                <w:sz w:val="18"/>
                <w:szCs w:val="18"/>
                <w:rtl w:val="0"/>
              </w:rPr>
              <w:t xml:space="preserve">Verification</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18"/>
                <w:szCs w:val="18"/>
                <w:rtl w:val="0"/>
              </w:rPr>
              <w:t xml:space="preserve">OTP required for first-use or high-value transfers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color w:val="333333"/>
                <w:sz w:val="18"/>
                <w:szCs w:val="18"/>
                <w:rtl w:val="0"/>
              </w:rPr>
              <w:t xml:space="preserve">Steps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18"/>
                <w:szCs w:val="18"/>
                <w:rtl w:val="0"/>
              </w:rPr>
              <w:t xml:space="preserve">5 (From → To → Amount → Verify OTP → Confirm)</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color w:val="333333"/>
                <w:sz w:val="18"/>
                <w:szCs w:val="18"/>
                <w:rtl w:val="0"/>
              </w:rPr>
              <w:t xml:space="preserve">Related Reports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18"/>
                <w:szCs w:val="18"/>
                <w:rtl w:val="0"/>
              </w:rPr>
              <w:t xml:space="preserve">CSUM-06 (Move Money), CSUM-11 (Recipient Management)</w:t>
            </w:r>
            <w:r w:rsidDel="00000000" w:rsidR="00000000" w:rsidRPr="00000000">
              <w:rPr>
                <w:rtl w:val="0"/>
              </w:rPr>
            </w:r>
          </w:p>
        </w:tc>
      </w:tr>
    </w:tbl>
    <w:p w:rsidR="00000000" w:rsidDel="00000000" w:rsidP="00000000" w:rsidRDefault="00000000" w:rsidRPr="00000000" w14:paraId="0000001C">
      <w:pPr>
        <w:spacing w:after="200" w:before="0" w:lineRule="auto"/>
        <w:rPr/>
      </w:pPr>
      <w:r w:rsidDel="00000000" w:rsidR="00000000" w:rsidRPr="00000000">
        <w:rPr>
          <w:rtl w:val="0"/>
        </w:rPr>
      </w:r>
    </w:p>
    <w:p w:rsidR="00000000" w:rsidDel="00000000" w:rsidP="00000000" w:rsidRDefault="00000000" w:rsidRPr="00000000" w14:paraId="0000001D">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02  KEY USE CASES</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tl w:val="0"/>
        </w:rPr>
      </w:r>
    </w:p>
    <w:tbl>
      <w:tblPr>
        <w:tblStyle w:val="Table2"/>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1800"/>
        <w:gridCol w:w="1600"/>
        <w:gridCol w:w="3000"/>
        <w:gridCol w:w="2960"/>
        <w:tblGridChange w:id="0">
          <w:tblGrid>
            <w:gridCol w:w="1800"/>
            <w:gridCol w:w="1600"/>
            <w:gridCol w:w="3000"/>
            <w:gridCol w:w="29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Fund CU Account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Members topping up from external bank</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Select external account as From, CU account as To, submit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Consolidates funds from multiple financial institutions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Pay External Obligation</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Members paying from CU to external bank</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Select CU account as From, external account as To</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Pays bills or obligations at other institutions without logging into them</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Large Transfer with OTP</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Members sending above-limit amounts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Complete OTP verification step to authorise high-value transfer</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Additional security layer protecting against fraudulent large transfers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ACH Collection</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Business or power users pulling funds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Initiate ACH pull from external account into CU</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Automates regular funding from payroll or investment accounts</w:t>
            </w:r>
            <w:r w:rsidDel="00000000" w:rsidR="00000000" w:rsidRPr="00000000">
              <w:rPr>
                <w:rtl w:val="0"/>
              </w:rPr>
            </w:r>
          </w:p>
        </w:tc>
      </w:tr>
    </w:tbl>
    <w:p w:rsidR="00000000" w:rsidDel="00000000" w:rsidP="00000000" w:rsidRDefault="00000000" w:rsidRPr="00000000" w14:paraId="00000033">
      <w:pPr>
        <w:spacing w:after="200" w:before="0" w:lineRule="auto"/>
        <w:rPr/>
      </w:pPr>
      <w:r w:rsidDel="00000000" w:rsidR="00000000" w:rsidRPr="00000000">
        <w:rPr>
          <w:rtl w:val="0"/>
        </w:rPr>
      </w:r>
    </w:p>
    <w:p w:rsidR="00000000" w:rsidDel="00000000" w:rsidP="00000000" w:rsidRDefault="00000000" w:rsidRPr="00000000" w14:paraId="00000034">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03  STEP-BY-STEP GUIDE</w:t>
      </w:r>
      <w:r w:rsidDel="00000000" w:rsidR="00000000" w:rsidRPr="00000000">
        <w:rPr>
          <w:rtl w:val="0"/>
        </w:rPr>
      </w:r>
    </w:p>
    <w:p w:rsidR="00000000" w:rsidDel="00000000" w:rsidP="00000000" w:rsidRDefault="00000000" w:rsidRPr="00000000" w14:paraId="00000035">
      <w:pPr>
        <w:spacing w:after="60" w:before="0" w:lineRule="auto"/>
        <w:rPr/>
      </w:pPr>
      <w:r w:rsidDel="00000000" w:rsidR="00000000" w:rsidRPr="00000000">
        <w:rPr>
          <w:rtl w:val="0"/>
        </w:rPr>
      </w:r>
    </w:p>
    <w:p w:rsidR="00000000" w:rsidDel="00000000" w:rsidP="00000000" w:rsidRDefault="00000000" w:rsidRPr="00000000" w14:paraId="00000036">
      <w:pPr>
        <w:spacing w:after="60" w:before="0" w:lineRule="auto"/>
        <w:ind w:left="360" w:firstLine="0"/>
        <w:rPr/>
      </w:pPr>
      <w:r w:rsidDel="00000000" w:rsidR="00000000" w:rsidRPr="00000000">
        <w:rPr>
          <w:rFonts w:ascii="Calibri" w:cs="Calibri" w:eastAsia="Calibri" w:hAnsi="Calibri"/>
          <w:i w:val="1"/>
          <w:iCs w:val="1"/>
          <w:color w:val="555555"/>
          <w:sz w:val="18"/>
          <w:szCs w:val="18"/>
          <w:rtl w:val="0"/>
        </w:rPr>
        <w:t xml:space="preserve">Navigation: Dashboard &gt; Move Money &gt; 'Transfer to External Accounts'.</w:t>
      </w:r>
      <w:r w:rsidDel="00000000" w:rsidR="00000000" w:rsidRPr="00000000">
        <w:rPr>
          <w:rtl w:val="0"/>
        </w:rPr>
      </w:r>
    </w:p>
    <w:p w:rsidR="00000000" w:rsidDel="00000000" w:rsidP="00000000" w:rsidRDefault="00000000" w:rsidRPr="00000000" w14:paraId="00000037">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1 — Start from Dashboard</w:t>
      </w:r>
      <w:r w:rsidDel="00000000" w:rsidR="00000000" w:rsidRPr="00000000">
        <w:rPr>
          <w:rtl w:val="0"/>
        </w:rPr>
      </w:r>
    </w:p>
    <w:p w:rsidR="00000000" w:rsidDel="00000000" w:rsidP="00000000" w:rsidRDefault="00000000" w:rsidRPr="00000000" w14:paraId="00000038">
      <w:pPr>
        <w:spacing w:after="100" w:before="60" w:lineRule="auto"/>
        <w:rPr/>
      </w:pPr>
      <w:r w:rsidDel="00000000" w:rsidR="00000000" w:rsidRPr="00000000">
        <w:rPr>
          <w:rFonts w:ascii="Calibri" w:cs="Calibri" w:eastAsia="Calibri" w:hAnsi="Calibri"/>
          <w:color w:val="333333"/>
          <w:sz w:val="20"/>
          <w:szCs w:val="20"/>
          <w:rtl w:val="0"/>
        </w:rPr>
        <w:t xml:space="preserve">The member begins at the Dashboard after logging in. The Dashboard displays all account balances, upcoming payments, quick-action tiles, and the top navigation bar with links to Accounts, Move Money, and More.</w:t>
      </w:r>
      <w:r w:rsidDel="00000000" w:rsidR="00000000" w:rsidRPr="00000000">
        <w:rPr>
          <w:rtl w:val="0"/>
        </w:rPr>
      </w:r>
    </w:p>
    <w:p w:rsidR="00000000" w:rsidDel="00000000" w:rsidP="00000000" w:rsidRDefault="00000000" w:rsidRPr="00000000" w14:paraId="00000039">
      <w:pPr>
        <w:spacing w:after="60" w:before="100" w:lineRule="auto"/>
        <w:jc w:val="center"/>
        <w:rPr/>
      </w:pPr>
      <w:r w:rsidDel="00000000" w:rsidR="00000000" w:rsidRPr="00000000">
        <w:rPr/>
        <w:drawing>
          <wp:inline distB="0" distT="0" distL="114300" distR="114300">
            <wp:extent cx="5486400" cy="6879431"/>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486400" cy="6879431"/>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1: Start from </w:t>
      </w:r>
      <w:r w:rsidDel="00000000" w:rsidR="00000000" w:rsidRPr="00000000">
        <w:rPr>
          <w:i w:val="1"/>
          <w:iCs w:val="1"/>
          <w:color w:val="555555"/>
          <w:sz w:val="16"/>
          <w:szCs w:val="16"/>
          <w:rtl w:val="0"/>
        </w:rPr>
        <w:t xml:space="preserve">the </w:t>
      </w:r>
      <w:r w:rsidDel="00000000" w:rsidR="00000000" w:rsidRPr="00000000">
        <w:rPr>
          <w:rFonts w:ascii="Calibri" w:cs="Calibri" w:eastAsia="Calibri" w:hAnsi="Calibri"/>
          <w:i w:val="1"/>
          <w:iCs w:val="1"/>
          <w:color w:val="555555"/>
          <w:sz w:val="16"/>
          <w:szCs w:val="16"/>
          <w:rtl w:val="0"/>
        </w:rPr>
        <w:t xml:space="preserve">Dashboard</w:t>
      </w:r>
      <w:r w:rsidDel="00000000" w:rsidR="00000000" w:rsidRPr="00000000">
        <w:rPr>
          <w:rtl w:val="0"/>
        </w:rPr>
      </w:r>
    </w:p>
    <w:p w:rsidR="00000000" w:rsidDel="00000000" w:rsidP="00000000" w:rsidRDefault="00000000" w:rsidRPr="00000000" w14:paraId="0000003B">
      <w:pPr>
        <w:spacing w:after="80" w:before="0" w:lineRule="auto"/>
        <w:rPr/>
      </w:pPr>
      <w:r w:rsidDel="00000000" w:rsidR="00000000" w:rsidRPr="00000000">
        <w:rPr>
          <w:rtl w:val="0"/>
        </w:rPr>
      </w:r>
    </w:p>
    <w:p w:rsidR="00000000" w:rsidDel="00000000" w:rsidP="00000000" w:rsidRDefault="00000000" w:rsidRPr="00000000" w14:paraId="0000003C">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2 — Navigate to Move Money Hub</w:t>
      </w:r>
      <w:r w:rsidDel="00000000" w:rsidR="00000000" w:rsidRPr="00000000">
        <w:rPr>
          <w:rtl w:val="0"/>
        </w:rPr>
      </w:r>
    </w:p>
    <w:p w:rsidR="00000000" w:rsidDel="00000000" w:rsidP="00000000" w:rsidRDefault="00000000" w:rsidRPr="00000000" w14:paraId="0000003D">
      <w:pPr>
        <w:spacing w:after="100" w:before="60" w:lineRule="auto"/>
        <w:rPr/>
      </w:pPr>
      <w:r w:rsidDel="00000000" w:rsidR="00000000" w:rsidRPr="00000000">
        <w:rPr>
          <w:rFonts w:ascii="Calibri" w:cs="Calibri" w:eastAsia="Calibri" w:hAnsi="Calibri"/>
          <w:color w:val="333333"/>
          <w:sz w:val="20"/>
          <w:szCs w:val="20"/>
          <w:rtl w:val="0"/>
        </w:rPr>
        <w:t xml:space="preserve">The member clicks ‘Move Money’ in the top navigation bar. The Move Money Hub displays all payment and transfer options as tiles including Pay Bills, Quick Pay, Zelle Payment, Internal Transfers, Other Members, Same-Day Transfers, Send Instantly, Manage Recipients, Add Recipient, Transaction History, Scheduled Transfers, and P2P Transfer.</w:t>
      </w:r>
      <w:r w:rsidDel="00000000" w:rsidR="00000000" w:rsidRPr="00000000">
        <w:rPr>
          <w:rtl w:val="0"/>
        </w:rPr>
      </w:r>
    </w:p>
    <w:p w:rsidR="00000000" w:rsidDel="00000000" w:rsidP="00000000" w:rsidRDefault="00000000" w:rsidRPr="00000000" w14:paraId="0000003E">
      <w:pPr>
        <w:spacing w:after="60" w:before="100" w:lineRule="auto"/>
        <w:jc w:val="center"/>
        <w:rPr/>
      </w:pPr>
      <w:r w:rsidDel="00000000" w:rsidR="00000000" w:rsidRPr="00000000">
        <w:rPr/>
        <w:drawing>
          <wp:inline distB="0" distT="0" distL="114300" distR="114300">
            <wp:extent cx="5486400" cy="6292215"/>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486400" cy="6292215"/>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2: Move Money Hub</w:t>
      </w:r>
      <w:r w:rsidDel="00000000" w:rsidR="00000000" w:rsidRPr="00000000">
        <w:rPr>
          <w:rtl w:val="0"/>
        </w:rPr>
      </w:r>
    </w:p>
    <w:p w:rsidR="00000000" w:rsidDel="00000000" w:rsidP="00000000" w:rsidRDefault="00000000" w:rsidRPr="00000000" w14:paraId="00000040">
      <w:pPr>
        <w:spacing w:after="80" w:before="0" w:lineRule="auto"/>
        <w:rPr/>
      </w:pPr>
      <w:r w:rsidDel="00000000" w:rsidR="00000000" w:rsidRPr="00000000">
        <w:rPr>
          <w:rtl w:val="0"/>
        </w:rPr>
      </w:r>
    </w:p>
    <w:p w:rsidR="00000000" w:rsidDel="00000000" w:rsidP="00000000" w:rsidRDefault="00000000" w:rsidRPr="00000000" w14:paraId="00000041">
      <w:pPr>
        <w:spacing w:after="80" w:before="0" w:lineRule="auto"/>
        <w:rPr/>
      </w:pPr>
      <w:r w:rsidDel="00000000" w:rsidR="00000000" w:rsidRPr="00000000">
        <w:rPr>
          <w:rtl w:val="0"/>
        </w:rPr>
      </w:r>
    </w:p>
    <w:p w:rsidR="00000000" w:rsidDel="00000000" w:rsidP="00000000" w:rsidRDefault="00000000" w:rsidRPr="00000000" w14:paraId="00000042">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43">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3 — Navigate from Dashboard to External Transfer</w:t>
      </w:r>
      <w:r w:rsidDel="00000000" w:rsidR="00000000" w:rsidRPr="00000000">
        <w:rPr>
          <w:rtl w:val="0"/>
        </w:rPr>
      </w:r>
    </w:p>
    <w:p w:rsidR="00000000" w:rsidDel="00000000" w:rsidP="00000000" w:rsidRDefault="00000000" w:rsidRPr="00000000" w14:paraId="00000044">
      <w:pPr>
        <w:spacing w:after="100" w:before="60" w:lineRule="auto"/>
        <w:rPr/>
      </w:pPr>
      <w:r w:rsidDel="00000000" w:rsidR="00000000" w:rsidRPr="00000000">
        <w:rPr>
          <w:rFonts w:ascii="Calibri" w:cs="Calibri" w:eastAsia="Calibri" w:hAnsi="Calibri"/>
          <w:color w:val="333333"/>
          <w:sz w:val="20"/>
          <w:szCs w:val="20"/>
          <w:rtl w:val="0"/>
        </w:rPr>
        <w:t xml:space="preserve">The Move Money hub is displayed as the landing page for initiating an external account transfer.</w:t>
      </w:r>
      <w:r w:rsidDel="00000000" w:rsidR="00000000" w:rsidRPr="00000000">
        <w:rPr>
          <w:rtl w:val="0"/>
        </w:rPr>
      </w:r>
    </w:p>
    <w:p w:rsidR="00000000" w:rsidDel="00000000" w:rsidP="00000000" w:rsidRDefault="00000000" w:rsidRPr="00000000" w14:paraId="00000045">
      <w:pPr>
        <w:spacing w:after="60" w:before="100" w:lineRule="auto"/>
        <w:jc w:val="center"/>
        <w:rPr/>
      </w:pPr>
      <w:r w:rsidDel="00000000" w:rsidR="00000000" w:rsidRPr="00000000">
        <w:rPr/>
        <w:drawing>
          <wp:inline distB="0" distT="0" distL="114300" distR="114300">
            <wp:extent cx="5486400" cy="7119461"/>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7119461"/>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3: Navigate from Dashboard to External Transfer</w:t>
      </w:r>
      <w:r w:rsidDel="00000000" w:rsidR="00000000" w:rsidRPr="00000000">
        <w:rPr>
          <w:rtl w:val="0"/>
        </w:rPr>
      </w:r>
    </w:p>
    <w:p w:rsidR="00000000" w:rsidDel="00000000" w:rsidP="00000000" w:rsidRDefault="00000000" w:rsidRPr="00000000" w14:paraId="00000047">
      <w:pPr>
        <w:spacing w:after="80" w:before="0" w:lineRule="auto"/>
        <w:rPr/>
      </w:pPr>
      <w:r w:rsidDel="00000000" w:rsidR="00000000" w:rsidRPr="00000000">
        <w:rPr>
          <w:rtl w:val="0"/>
        </w:rPr>
      </w:r>
    </w:p>
    <w:p w:rsidR="00000000" w:rsidDel="00000000" w:rsidP="00000000" w:rsidRDefault="00000000" w:rsidRPr="00000000" w14:paraId="00000048">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4 — Fill Transfer Details</w:t>
      </w:r>
      <w:r w:rsidDel="00000000" w:rsidR="00000000" w:rsidRPr="00000000">
        <w:rPr>
          <w:rtl w:val="0"/>
        </w:rPr>
      </w:r>
    </w:p>
    <w:p w:rsidR="00000000" w:rsidDel="00000000" w:rsidP="00000000" w:rsidRDefault="00000000" w:rsidRPr="00000000" w14:paraId="00000049">
      <w:pPr>
        <w:spacing w:after="100" w:before="60" w:lineRule="auto"/>
        <w:rPr/>
      </w:pPr>
      <w:r w:rsidDel="00000000" w:rsidR="00000000" w:rsidRPr="00000000">
        <w:rPr>
          <w:rFonts w:ascii="Calibri" w:cs="Calibri" w:eastAsia="Calibri" w:hAnsi="Calibri"/>
          <w:color w:val="333333"/>
          <w:sz w:val="20"/>
          <w:szCs w:val="20"/>
          <w:rtl w:val="0"/>
        </w:rPr>
        <w:t xml:space="preserve">Step 2 shows a simplified form with fields for entering the external account transfer details including the destination account information.</w:t>
      </w:r>
      <w:r w:rsidDel="00000000" w:rsidR="00000000" w:rsidRPr="00000000">
        <w:rPr>
          <w:rtl w:val="0"/>
        </w:rPr>
      </w:r>
    </w:p>
    <w:p w:rsidR="00000000" w:rsidDel="00000000" w:rsidP="00000000" w:rsidRDefault="00000000" w:rsidRPr="00000000" w14:paraId="0000004A">
      <w:pPr>
        <w:spacing w:after="60" w:before="100" w:lineRule="auto"/>
        <w:jc w:val="center"/>
        <w:rPr/>
      </w:pPr>
      <w:r w:rsidDel="00000000" w:rsidR="00000000" w:rsidRPr="00000000">
        <w:rPr/>
        <w:drawing>
          <wp:inline distB="114300" distT="114300" distL="114300" distR="114300">
            <wp:extent cx="6400800" cy="6515100"/>
            <wp:effectExtent b="0" l="0" r="0" t="0"/>
            <wp:docPr id="5"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64008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4: Fill Transfer Details</w:t>
      </w:r>
      <w:r w:rsidDel="00000000" w:rsidR="00000000" w:rsidRPr="00000000">
        <w:rPr>
          <w:rtl w:val="0"/>
        </w:rPr>
      </w:r>
    </w:p>
    <w:p w:rsidR="00000000" w:rsidDel="00000000" w:rsidP="00000000" w:rsidRDefault="00000000" w:rsidRPr="00000000" w14:paraId="0000004C">
      <w:pPr>
        <w:spacing w:after="80" w:before="0" w:lineRule="auto"/>
        <w:rPr/>
      </w:pPr>
      <w:r w:rsidDel="00000000" w:rsidR="00000000" w:rsidRPr="00000000">
        <w:rPr>
          <w:rtl w:val="0"/>
        </w:rPr>
      </w:r>
    </w:p>
    <w:p w:rsidR="00000000" w:rsidDel="00000000" w:rsidP="00000000" w:rsidRDefault="00000000" w:rsidRPr="00000000" w14:paraId="0000004D">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5 — Review Pre-Confirmation</w:t>
      </w:r>
      <w:r w:rsidDel="00000000" w:rsidR="00000000" w:rsidRPr="00000000">
        <w:rPr>
          <w:rtl w:val="0"/>
        </w:rPr>
      </w:r>
    </w:p>
    <w:p w:rsidR="00000000" w:rsidDel="00000000" w:rsidP="00000000" w:rsidRDefault="00000000" w:rsidRPr="00000000" w14:paraId="0000004E">
      <w:pPr>
        <w:spacing w:after="100" w:before="60" w:lineRule="auto"/>
        <w:rPr/>
      </w:pPr>
      <w:r w:rsidDel="00000000" w:rsidR="00000000" w:rsidRPr="00000000">
        <w:rPr>
          <w:rFonts w:ascii="Calibri" w:cs="Calibri" w:eastAsia="Calibri" w:hAnsi="Calibri"/>
          <w:color w:val="333333"/>
          <w:sz w:val="20"/>
          <w:szCs w:val="20"/>
          <w:rtl w:val="0"/>
        </w:rPr>
        <w:t xml:space="preserve">The confirmation screen displays a $5.00 transfer from Retail Savings Account to an external Retail Savings Account, showing the description and scheduled transfer date.</w:t>
      </w:r>
      <w:r w:rsidDel="00000000" w:rsidR="00000000" w:rsidRPr="00000000">
        <w:rPr>
          <w:rtl w:val="0"/>
        </w:rPr>
      </w:r>
    </w:p>
    <w:p w:rsidR="00000000" w:rsidDel="00000000" w:rsidP="00000000" w:rsidRDefault="00000000" w:rsidRPr="00000000" w14:paraId="0000004F">
      <w:pPr>
        <w:spacing w:after="60" w:before="100" w:lineRule="auto"/>
        <w:jc w:val="center"/>
        <w:rPr/>
      </w:pPr>
      <w:r w:rsidDel="00000000" w:rsidR="00000000" w:rsidRPr="00000000">
        <w:rPr/>
        <w:drawing>
          <wp:inline distB="0" distT="0" distL="114300" distR="114300">
            <wp:extent cx="5486400" cy="606933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486400" cy="606933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5: Review Pre-Confirmation</w:t>
      </w:r>
      <w:r w:rsidDel="00000000" w:rsidR="00000000" w:rsidRPr="00000000">
        <w:rPr>
          <w:rtl w:val="0"/>
        </w:rPr>
      </w:r>
    </w:p>
    <w:p w:rsidR="00000000" w:rsidDel="00000000" w:rsidP="00000000" w:rsidRDefault="00000000" w:rsidRPr="00000000" w14:paraId="00000051">
      <w:pPr>
        <w:spacing w:after="80" w:before="0" w:lineRule="auto"/>
        <w:rPr/>
      </w:pPr>
      <w:r w:rsidDel="00000000" w:rsidR="00000000" w:rsidRPr="00000000">
        <w:rPr>
          <w:rtl w:val="0"/>
        </w:rPr>
      </w:r>
    </w:p>
    <w:p w:rsidR="00000000" w:rsidDel="00000000" w:rsidP="00000000" w:rsidRDefault="00000000" w:rsidRPr="00000000" w14:paraId="00000052">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6 — Select OTP Verification Method</w:t>
      </w:r>
      <w:r w:rsidDel="00000000" w:rsidR="00000000" w:rsidRPr="00000000">
        <w:rPr>
          <w:rtl w:val="0"/>
        </w:rPr>
      </w:r>
    </w:p>
    <w:p w:rsidR="00000000" w:rsidDel="00000000" w:rsidP="00000000" w:rsidRDefault="00000000" w:rsidRPr="00000000" w14:paraId="00000053">
      <w:pPr>
        <w:spacing w:after="100" w:before="60" w:lineRule="auto"/>
        <w:rPr/>
      </w:pPr>
      <w:r w:rsidDel="00000000" w:rsidR="00000000" w:rsidRPr="00000000">
        <w:rPr>
          <w:rFonts w:ascii="Calibri" w:cs="Calibri" w:eastAsia="Calibri" w:hAnsi="Calibri"/>
          <w:color w:val="333333"/>
          <w:sz w:val="20"/>
          <w:szCs w:val="20"/>
          <w:rtl w:val="0"/>
        </w:rPr>
        <w:t xml:space="preserve">A verification modal appears offering three authentication methods — 'Send me a message', 'Call me', or 'Send me an email' — to verify the external transfer before processing.</w:t>
      </w:r>
      <w:r w:rsidDel="00000000" w:rsidR="00000000" w:rsidRPr="00000000">
        <w:rPr>
          <w:rtl w:val="0"/>
        </w:rPr>
      </w:r>
    </w:p>
    <w:p w:rsidR="00000000" w:rsidDel="00000000" w:rsidP="00000000" w:rsidRDefault="00000000" w:rsidRPr="00000000" w14:paraId="00000054">
      <w:pPr>
        <w:spacing w:after="60" w:before="100" w:lineRule="auto"/>
        <w:jc w:val="center"/>
        <w:rPr/>
      </w:pPr>
      <w:r w:rsidDel="00000000" w:rsidR="00000000" w:rsidRPr="00000000">
        <w:rPr/>
        <w:drawing>
          <wp:inline distB="0" distT="0" distL="114300" distR="114300">
            <wp:extent cx="5486400" cy="4224528"/>
            <wp:effectExtent b="0" l="0" r="0" t="0"/>
            <wp:docPr id="9"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86400" cy="4224528"/>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6: Select OTP Verification Method</w:t>
      </w:r>
      <w:r w:rsidDel="00000000" w:rsidR="00000000" w:rsidRPr="00000000">
        <w:rPr>
          <w:rtl w:val="0"/>
        </w:rPr>
      </w:r>
    </w:p>
    <w:p w:rsidR="00000000" w:rsidDel="00000000" w:rsidP="00000000" w:rsidRDefault="00000000" w:rsidRPr="00000000" w14:paraId="00000056">
      <w:pPr>
        <w:spacing w:after="80" w:before="0" w:lineRule="auto"/>
        <w:rPr/>
      </w:pPr>
      <w:r w:rsidDel="00000000" w:rsidR="00000000" w:rsidRPr="00000000">
        <w:rPr>
          <w:rtl w:val="0"/>
        </w:rPr>
      </w:r>
    </w:p>
    <w:p w:rsidR="00000000" w:rsidDel="00000000" w:rsidP="00000000" w:rsidRDefault="00000000" w:rsidRPr="00000000" w14:paraId="00000057">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58">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7 — Enter OTP &amp; Submit</w:t>
      </w:r>
      <w:r w:rsidDel="00000000" w:rsidR="00000000" w:rsidRPr="00000000">
        <w:rPr>
          <w:rtl w:val="0"/>
        </w:rPr>
      </w:r>
    </w:p>
    <w:p w:rsidR="00000000" w:rsidDel="00000000" w:rsidP="00000000" w:rsidRDefault="00000000" w:rsidRPr="00000000" w14:paraId="00000059">
      <w:pPr>
        <w:spacing w:after="100" w:before="60" w:lineRule="auto"/>
        <w:rPr/>
      </w:pPr>
      <w:r w:rsidDel="00000000" w:rsidR="00000000" w:rsidRPr="00000000">
        <w:rPr>
          <w:rFonts w:ascii="Calibri" w:cs="Calibri" w:eastAsia="Calibri" w:hAnsi="Calibri"/>
          <w:color w:val="333333"/>
          <w:sz w:val="20"/>
          <w:szCs w:val="20"/>
          <w:rtl w:val="0"/>
        </w:rPr>
        <w:t xml:space="preserve">The verification page is displayed with a field to enter the verification code received via the selected authentication method to complete the external transfer.</w:t>
      </w:r>
      <w:r w:rsidDel="00000000" w:rsidR="00000000" w:rsidRPr="00000000">
        <w:rPr>
          <w:rtl w:val="0"/>
        </w:rPr>
      </w:r>
    </w:p>
    <w:p w:rsidR="00000000" w:rsidDel="00000000" w:rsidP="00000000" w:rsidRDefault="00000000" w:rsidRPr="00000000" w14:paraId="0000005A">
      <w:pPr>
        <w:spacing w:after="60" w:before="100" w:lineRule="auto"/>
        <w:jc w:val="center"/>
        <w:rPr/>
      </w:pPr>
      <w:r w:rsidDel="00000000" w:rsidR="00000000" w:rsidRPr="00000000">
        <w:rPr/>
        <w:drawing>
          <wp:inline distB="0" distT="0" distL="114300" distR="114300">
            <wp:extent cx="5486400" cy="4224528"/>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486400" cy="4224528"/>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7: Enter OTP &amp; Submit</w:t>
      </w:r>
      <w:r w:rsidDel="00000000" w:rsidR="00000000" w:rsidRPr="00000000">
        <w:rPr>
          <w:rtl w:val="0"/>
        </w:rPr>
      </w:r>
    </w:p>
    <w:p w:rsidR="00000000" w:rsidDel="00000000" w:rsidP="00000000" w:rsidRDefault="00000000" w:rsidRPr="00000000" w14:paraId="0000005C">
      <w:pPr>
        <w:spacing w:after="80" w:before="0" w:lineRule="auto"/>
        <w:rPr/>
      </w:pPr>
      <w:r w:rsidDel="00000000" w:rsidR="00000000" w:rsidRPr="00000000">
        <w:br w:type="page"/>
      </w:r>
      <w:r w:rsidDel="00000000" w:rsidR="00000000" w:rsidRPr="00000000">
        <w:rPr>
          <w:rtl w:val="0"/>
        </w:rPr>
      </w:r>
    </w:p>
    <w:p w:rsidR="00000000" w:rsidDel="00000000" w:rsidP="00000000" w:rsidRDefault="00000000" w:rsidRPr="00000000" w14:paraId="0000005D">
      <w:pPr>
        <w:spacing w:after="40" w:before="160" w:lineRule="auto"/>
        <w:rPr>
          <w:b w:val="1"/>
          <w:bCs w:val="1"/>
          <w:color w:val="1c3f6e"/>
          <w:sz w:val="44"/>
          <w:szCs w:val="44"/>
        </w:rPr>
      </w:pPr>
      <w:r w:rsidDel="00000000" w:rsidR="00000000" w:rsidRPr="00000000">
        <w:rPr>
          <w:b w:val="1"/>
          <w:bCs w:val="1"/>
          <w:color w:val="1c3f6e"/>
          <w:sz w:val="44"/>
          <w:szCs w:val="44"/>
          <w:rtl w:val="0"/>
        </w:rPr>
        <w:t xml:space="preserve">Scheduled External ACH Transfer Flow</w:t>
      </w:r>
    </w:p>
    <w:p w:rsidR="00000000" w:rsidDel="00000000" w:rsidP="00000000" w:rsidRDefault="00000000" w:rsidRPr="00000000" w14:paraId="0000005E">
      <w:pPr>
        <w:pBdr>
          <w:bottom w:color="1c3f6e" w:space="0" w:sz="4" w:val="single"/>
        </w:pBdr>
        <w:spacing w:after="60" w:before="200" w:lineRule="auto"/>
        <w:rPr/>
      </w:pPr>
      <w:r w:rsidDel="00000000" w:rsidR="00000000" w:rsidRPr="00000000">
        <w:rPr>
          <w:b w:val="1"/>
          <w:bCs w:val="1"/>
          <w:color w:val="1c3f6e"/>
          <w:sz w:val="22"/>
          <w:szCs w:val="22"/>
          <w:rtl w:val="0"/>
        </w:rPr>
        <w:t xml:space="preserve">Step 1 — Navigate from Dashboard to External Transfer</w:t>
      </w:r>
      <w:r w:rsidDel="00000000" w:rsidR="00000000" w:rsidRPr="00000000">
        <w:rPr>
          <w:rtl w:val="0"/>
        </w:rPr>
      </w:r>
    </w:p>
    <w:p w:rsidR="00000000" w:rsidDel="00000000" w:rsidP="00000000" w:rsidRDefault="00000000" w:rsidRPr="00000000" w14:paraId="0000005F">
      <w:pPr>
        <w:spacing w:after="100" w:before="60" w:lineRule="auto"/>
        <w:rPr/>
      </w:pPr>
      <w:r w:rsidDel="00000000" w:rsidR="00000000" w:rsidRPr="00000000">
        <w:rPr>
          <w:rtl w:val="0"/>
        </w:rPr>
        <w:t xml:space="preserve">The Move Money hub is displayed as the landing page for initiating an external account transfer.</w:t>
      </w:r>
    </w:p>
    <w:p w:rsidR="00000000" w:rsidDel="00000000" w:rsidP="00000000" w:rsidRDefault="00000000" w:rsidRPr="00000000" w14:paraId="00000060">
      <w:pPr>
        <w:spacing w:after="60" w:before="100" w:lineRule="auto"/>
        <w:jc w:val="center"/>
        <w:rPr/>
      </w:pPr>
      <w:r w:rsidDel="00000000" w:rsidR="00000000" w:rsidRPr="00000000">
        <w:rPr/>
        <w:drawing>
          <wp:inline distB="0" distT="0" distL="114300" distR="114300">
            <wp:extent cx="5486400" cy="7119461"/>
            <wp:effectExtent b="0" l="0" r="0" t="0"/>
            <wp:docPr id="1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7119461"/>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00" w:lineRule="auto"/>
        <w:jc w:val="center"/>
        <w:rPr/>
      </w:pPr>
      <w:r w:rsidDel="00000000" w:rsidR="00000000" w:rsidRPr="00000000">
        <w:rPr>
          <w:i w:val="1"/>
          <w:iCs w:val="1"/>
          <w:color w:val="555555"/>
          <w:sz w:val="16"/>
          <w:szCs w:val="16"/>
          <w:rtl w:val="0"/>
        </w:rPr>
        <w:t xml:space="preserve">Step 3: Navigate from Dashboard to External Transfer</w:t>
      </w:r>
      <w:r w:rsidDel="00000000" w:rsidR="00000000" w:rsidRPr="00000000">
        <w:rPr>
          <w:rtl w:val="0"/>
        </w:rPr>
      </w:r>
    </w:p>
    <w:p w:rsidR="00000000" w:rsidDel="00000000" w:rsidP="00000000" w:rsidRDefault="00000000" w:rsidRPr="00000000" w14:paraId="00000062">
      <w:pPr>
        <w:spacing w:after="80" w:lineRule="auto"/>
        <w:rPr/>
      </w:pPr>
      <w:r w:rsidDel="00000000" w:rsidR="00000000" w:rsidRPr="00000000">
        <w:rPr>
          <w:rtl w:val="0"/>
        </w:rPr>
      </w:r>
    </w:p>
    <w:p w:rsidR="00000000" w:rsidDel="00000000" w:rsidP="00000000" w:rsidRDefault="00000000" w:rsidRPr="00000000" w14:paraId="00000063">
      <w:pPr>
        <w:spacing w:after="100" w:before="6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64">
      <w:pPr>
        <w:pBdr>
          <w:bottom w:color="1c3f6e" w:space="0" w:sz="4" w:val="single"/>
        </w:pBdr>
        <w:spacing w:after="60" w:before="200" w:lineRule="auto"/>
        <w:rPr/>
      </w:pPr>
      <w:r w:rsidDel="00000000" w:rsidR="00000000" w:rsidRPr="00000000">
        <w:rPr>
          <w:b w:val="1"/>
          <w:bCs w:val="1"/>
          <w:color w:val="1c3f6e"/>
          <w:sz w:val="22"/>
          <w:szCs w:val="22"/>
          <w:rtl w:val="0"/>
        </w:rPr>
        <w:t xml:space="preserve">Step 2 — Schedule a transfer on external ACH transfer</w:t>
      </w:r>
      <w:r w:rsidDel="00000000" w:rsidR="00000000" w:rsidRPr="00000000">
        <w:rPr>
          <w:rtl w:val="0"/>
        </w:rPr>
      </w:r>
    </w:p>
    <w:p w:rsidR="00000000" w:rsidDel="00000000" w:rsidP="00000000" w:rsidRDefault="00000000" w:rsidRPr="00000000" w14:paraId="00000065">
      <w:pPr>
        <w:spacing w:after="100" w:before="60" w:lineRule="auto"/>
        <w:rPr/>
      </w:pPr>
      <w:r w:rsidDel="00000000" w:rsidR="00000000" w:rsidRPr="00000000">
        <w:rPr>
          <w:rtl w:val="0"/>
        </w:rPr>
        <w:t xml:space="preserve">Enter the amount and check a date to schedule the transfer and click on confirm</w:t>
      </w:r>
    </w:p>
    <w:p w:rsidR="00000000" w:rsidDel="00000000" w:rsidP="00000000" w:rsidRDefault="00000000" w:rsidRPr="00000000" w14:paraId="00000066">
      <w:pPr>
        <w:spacing w:after="100" w:before="60" w:lineRule="auto"/>
        <w:rPr/>
      </w:pPr>
      <w:r w:rsidDel="00000000" w:rsidR="00000000" w:rsidRPr="00000000">
        <w:rPr/>
        <w:drawing>
          <wp:inline distB="114300" distT="114300" distL="114300" distR="114300">
            <wp:extent cx="6400800" cy="4749800"/>
            <wp:effectExtent b="0" l="0" r="0" t="0"/>
            <wp:docPr id="2"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6400800" cy="4749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7">
      <w:pPr>
        <w:pBdr>
          <w:bottom w:color="1c3f6e" w:space="0" w:sz="4" w:val="single"/>
        </w:pBdr>
        <w:spacing w:after="60" w:before="200" w:lineRule="auto"/>
        <w:rPr/>
      </w:pPr>
      <w:r w:rsidDel="00000000" w:rsidR="00000000" w:rsidRPr="00000000">
        <w:rPr>
          <w:b w:val="1"/>
          <w:bCs w:val="1"/>
          <w:color w:val="1c3f6e"/>
          <w:sz w:val="22"/>
          <w:szCs w:val="22"/>
          <w:rtl w:val="0"/>
        </w:rPr>
        <w:t xml:space="preserve">Step 3 — confirm the transfer</w:t>
      </w:r>
      <w:r w:rsidDel="00000000" w:rsidR="00000000" w:rsidRPr="00000000">
        <w:rPr>
          <w:rtl w:val="0"/>
        </w:rPr>
      </w:r>
    </w:p>
    <w:p w:rsidR="00000000" w:rsidDel="00000000" w:rsidP="00000000" w:rsidRDefault="00000000" w:rsidRPr="00000000" w14:paraId="00000068">
      <w:pPr>
        <w:spacing w:after="100" w:before="60" w:lineRule="auto"/>
        <w:rPr/>
      </w:pPr>
      <w:r w:rsidDel="00000000" w:rsidR="00000000" w:rsidRPr="00000000">
        <w:rPr>
          <w:rtl w:val="0"/>
        </w:rPr>
        <w:t xml:space="preserve">Confirm the transfer and recheck the amount and date</w:t>
      </w:r>
    </w:p>
    <w:p w:rsidR="00000000" w:rsidDel="00000000" w:rsidP="00000000" w:rsidRDefault="00000000" w:rsidRPr="00000000" w14:paraId="00000069">
      <w:pPr>
        <w:spacing w:after="100" w:before="60" w:lineRule="auto"/>
        <w:rPr/>
      </w:pPr>
      <w:r w:rsidDel="00000000" w:rsidR="00000000" w:rsidRPr="00000000">
        <w:rPr/>
        <w:drawing>
          <wp:inline distB="114300" distT="114300" distL="114300" distR="114300">
            <wp:extent cx="6400800" cy="4991100"/>
            <wp:effectExtent b="0" l="0" r="0" t="0"/>
            <wp:docPr id="1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6400800" cy="4991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A">
      <w:pPr>
        <w:pBdr>
          <w:bottom w:color="1c3f6e" w:space="0" w:sz="4" w:val="single"/>
        </w:pBdr>
        <w:spacing w:after="60" w:before="200" w:lineRule="auto"/>
        <w:rPr/>
      </w:pPr>
      <w:r w:rsidDel="00000000" w:rsidR="00000000" w:rsidRPr="00000000">
        <w:rPr>
          <w:b w:val="1"/>
          <w:bCs w:val="1"/>
          <w:color w:val="1c3f6e"/>
          <w:sz w:val="22"/>
          <w:szCs w:val="22"/>
          <w:rtl w:val="0"/>
        </w:rPr>
        <w:t xml:space="preserve">Step 4 — Move back to transfers HUB and go to scheduled transfers</w:t>
      </w:r>
      <w:r w:rsidDel="00000000" w:rsidR="00000000" w:rsidRPr="00000000">
        <w:rPr>
          <w:rtl w:val="0"/>
        </w:rPr>
      </w:r>
    </w:p>
    <w:p w:rsidR="00000000" w:rsidDel="00000000" w:rsidP="00000000" w:rsidRDefault="00000000" w:rsidRPr="00000000" w14:paraId="0000006B">
      <w:pPr>
        <w:spacing w:after="100"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t xml:space="preserve">Click on move money hub and click on scheduled transfers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4 — Move back to the Transfers HUB and navigate to Scheduled Transfers</w:t>
      </w: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60" w:line="240" w:lineRule="auto"/>
        <w:ind w:left="0" w:right="0" w:firstLine="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completing the previous steps, click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Move Money Hub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 in the navigation menu.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Once on the Move Money Hub screen, locate and click on the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Scheduled Transfers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action will display a list of all your scheduled transfers.</w:t>
      </w:r>
      <w:r w:rsidDel="00000000" w:rsidR="00000000" w:rsidRPr="00000000">
        <w:rPr>
          <w:rtl w:val="0"/>
        </w:rPr>
      </w:r>
    </w:p>
    <w:p w:rsidR="00000000" w:rsidDel="00000000" w:rsidP="00000000" w:rsidRDefault="00000000" w:rsidRPr="00000000" w14:paraId="0000006E">
      <w:pPr>
        <w:spacing w:after="100" w:before="60" w:lineRule="auto"/>
        <w:rPr/>
      </w:pPr>
      <w:r w:rsidDel="00000000" w:rsidR="00000000" w:rsidRPr="00000000">
        <w:rPr/>
        <w:drawing>
          <wp:inline distB="114300" distT="114300" distL="114300" distR="114300">
            <wp:extent cx="6400800" cy="6565900"/>
            <wp:effectExtent b="0" l="0" r="0" t="0"/>
            <wp:docPr id="13"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6400800" cy="6565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F">
      <w:pPr>
        <w:pBdr>
          <w:bottom w:color="1c3f6e" w:space="0" w:sz="4" w:val="single"/>
        </w:pBdr>
        <w:spacing w:after="60" w:before="200" w:lineRule="auto"/>
        <w:rPr/>
      </w:pPr>
      <w:r w:rsidDel="00000000" w:rsidR="00000000" w:rsidRPr="00000000">
        <w:rPr>
          <w:b w:val="1"/>
          <w:bCs w:val="1"/>
          <w:color w:val="1c3f6e"/>
          <w:sz w:val="22"/>
          <w:szCs w:val="22"/>
          <w:rtl w:val="0"/>
        </w:rPr>
        <w:t xml:space="preserve">Step 4 — Click on a scheduled transfer</w:t>
      </w:r>
      <w:r w:rsidDel="00000000" w:rsidR="00000000" w:rsidRPr="00000000">
        <w:rPr>
          <w:rtl w:val="0"/>
        </w:rPr>
      </w:r>
    </w:p>
    <w:p w:rsidR="00000000" w:rsidDel="00000000" w:rsidP="00000000" w:rsidRDefault="00000000" w:rsidRPr="00000000" w14:paraId="00000070">
      <w:pPr>
        <w:spacing w:after="100" w:before="60" w:lineRule="auto"/>
        <w:rPr>
          <w:rFonts w:ascii="Arial" w:cs="Arial" w:eastAsia="Arial" w:hAnsi="Arial"/>
          <w:b w:val="1"/>
          <w:bCs w:val="1"/>
          <w:color w:val="000000"/>
          <w:sz w:val="22"/>
          <w:szCs w:val="22"/>
        </w:rPr>
      </w:pPr>
      <w:r w:rsidDel="00000000" w:rsidR="00000000" w:rsidRPr="00000000">
        <w:rPr>
          <w:rtl w:val="0"/>
        </w:rPr>
        <w:t xml:space="preserve">Click on a scheduled transfer and edit or manage the scheduled transfer</w:t>
      </w:r>
      <w:r w:rsidDel="00000000" w:rsidR="00000000" w:rsidRPr="00000000">
        <w:rPr>
          <w:rtl w:val="0"/>
        </w:rPr>
      </w:r>
    </w:p>
    <w:p w:rsidR="00000000" w:rsidDel="00000000" w:rsidP="00000000" w:rsidRDefault="00000000" w:rsidRPr="00000000" w14:paraId="00000071">
      <w:pPr>
        <w:spacing w:after="100" w:before="60" w:lineRule="auto"/>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Pr>
        <w:drawing>
          <wp:inline distB="114300" distT="114300" distL="114300" distR="114300">
            <wp:extent cx="6400800" cy="6604000"/>
            <wp:effectExtent b="0" l="0" r="0" t="0"/>
            <wp:docPr id="1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6400800" cy="6604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2">
      <w:pPr>
        <w:pBdr>
          <w:bottom w:color="1c3f6e" w:space="0" w:sz="4" w:val="single"/>
        </w:pBdr>
        <w:spacing w:after="60" w:before="200" w:lineRule="auto"/>
        <w:rPr/>
      </w:pPr>
      <w:r w:rsidDel="00000000" w:rsidR="00000000" w:rsidRPr="00000000">
        <w:rPr>
          <w:b w:val="1"/>
          <w:bCs w:val="1"/>
          <w:color w:val="1c3f6e"/>
          <w:sz w:val="22"/>
          <w:szCs w:val="22"/>
          <w:rtl w:val="0"/>
        </w:rPr>
        <w:t xml:space="preserve">Step 5 — delete a scheduled transfer/edit a scheduled transfer</w:t>
      </w:r>
      <w:r w:rsidDel="00000000" w:rsidR="00000000" w:rsidRPr="00000000">
        <w:rPr>
          <w:rtl w:val="0"/>
        </w:rPr>
      </w:r>
    </w:p>
    <w:p w:rsidR="00000000" w:rsidDel="00000000" w:rsidP="00000000" w:rsidRDefault="00000000" w:rsidRPr="00000000" w14:paraId="00000073">
      <w:pPr>
        <w:spacing w:after="100" w:before="60" w:lineRule="auto"/>
        <w:rPr/>
      </w:pPr>
      <w:r w:rsidDel="00000000" w:rsidR="00000000" w:rsidRPr="00000000">
        <w:rPr>
          <w:rtl w:val="0"/>
        </w:rPr>
        <w:t xml:space="preserve">After clicking on a transfer, view the transfer details and if needed delete a scheduled transfer</w:t>
      </w: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After clicking on a specific transfer, the user can view all the comprehensive details of that transfer, including the amount, date, recipient, and status.</w:t>
      </w: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333333"/>
          <w:sz w:val="20"/>
          <w:szCs w:val="20"/>
          <w:u w:val="none"/>
          <w:shd w:fill="auto" w:val="clear"/>
          <w:vertAlign w:val="baseline"/>
          <w:rtl w:val="0"/>
        </w:rPr>
        <w:t xml:space="preserve">If the transfer is a scheduled future transfer and has not been processed yet, the user will have the option to delete or cancel the scheduled transfer if necessary</w:t>
      </w:r>
      <w:r w:rsidDel="00000000" w:rsidR="00000000" w:rsidRPr="00000000">
        <w:rPr>
          <w:rtl w:val="0"/>
        </w:rPr>
        <w:t xml:space="preserve">/you can also edit scheduler by clicking the edit option</w:t>
      </w:r>
      <w:r w:rsidDel="00000000" w:rsidR="00000000" w:rsidRPr="00000000">
        <w:rPr>
          <w:rtl w:val="0"/>
        </w:rPr>
      </w:r>
    </w:p>
    <w:p w:rsidR="00000000" w:rsidDel="00000000" w:rsidP="00000000" w:rsidRDefault="00000000" w:rsidRPr="00000000" w14:paraId="00000074">
      <w:pPr>
        <w:spacing w:after="100" w:before="60" w:lineRule="auto"/>
        <w:rPr/>
      </w:pPr>
      <w:r w:rsidDel="00000000" w:rsidR="00000000" w:rsidRPr="00000000">
        <w:rPr/>
        <w:drawing>
          <wp:inline distB="114300" distT="114300" distL="114300" distR="114300">
            <wp:extent cx="6400800" cy="5600700"/>
            <wp:effectExtent b="0" l="0" r="0" t="0"/>
            <wp:docPr id="1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400800" cy="5600700"/>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after="100" w:before="60" w:lineRule="auto"/>
        <w:rPr/>
      </w:pPr>
      <w:r w:rsidDel="00000000" w:rsidR="00000000" w:rsidRPr="00000000">
        <w:br w:type="page"/>
      </w:r>
      <w:r w:rsidDel="00000000" w:rsidR="00000000" w:rsidRPr="00000000">
        <w:rPr>
          <w:rtl w:val="0"/>
        </w:rPr>
      </w:r>
    </w:p>
    <w:p w:rsidR="00000000" w:rsidDel="00000000" w:rsidP="00000000" w:rsidRDefault="00000000" w:rsidRPr="00000000" w14:paraId="00000076">
      <w:pPr>
        <w:pBdr>
          <w:bottom w:color="1c3f6e" w:space="0" w:sz="4" w:val="single"/>
        </w:pBdr>
        <w:spacing w:after="60" w:before="200" w:lineRule="auto"/>
        <w:rPr/>
      </w:pPr>
      <w:r w:rsidDel="00000000" w:rsidR="00000000" w:rsidRPr="00000000">
        <w:rPr>
          <w:b w:val="1"/>
          <w:bCs w:val="1"/>
          <w:color w:val="1c3f6e"/>
          <w:sz w:val="22"/>
          <w:szCs w:val="22"/>
          <w:rtl w:val="0"/>
        </w:rPr>
        <w:t xml:space="preserve">Step 6 — edit a scheduler</w:t>
      </w:r>
      <w:r w:rsidDel="00000000" w:rsidR="00000000" w:rsidRPr="00000000">
        <w:rPr>
          <w:rtl w:val="0"/>
        </w:rPr>
      </w:r>
    </w:p>
    <w:p w:rsidR="00000000" w:rsidDel="00000000" w:rsidP="00000000" w:rsidRDefault="00000000" w:rsidRPr="00000000" w14:paraId="00000077">
      <w:pPr>
        <w:spacing w:after="100" w:before="60" w:lineRule="auto"/>
        <w:rPr/>
      </w:pPr>
      <w:r w:rsidDel="00000000" w:rsidR="00000000" w:rsidRPr="00000000">
        <w:rPr>
          <w:rtl w:val="0"/>
        </w:rPr>
        <w:t xml:space="preserve">After clicking edit scheduler you can edit an existing schedule,make the necessary changes and click o save changes</w:t>
      </w:r>
    </w:p>
    <w:p w:rsidR="00000000" w:rsidDel="00000000" w:rsidP="00000000" w:rsidRDefault="00000000" w:rsidRPr="00000000" w14:paraId="00000078">
      <w:pPr>
        <w:spacing w:after="100" w:before="60" w:lineRule="auto"/>
        <w:rPr/>
      </w:pPr>
      <w:r w:rsidDel="00000000" w:rsidR="00000000" w:rsidRPr="00000000">
        <w:rPr/>
        <w:drawing>
          <wp:inline distB="114300" distT="114300" distL="114300" distR="114300">
            <wp:extent cx="6400800" cy="5740400"/>
            <wp:effectExtent b="0" l="0" r="0" t="0"/>
            <wp:docPr id="16"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6400800" cy="5740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9">
      <w:pPr>
        <w:pBdr>
          <w:bottom w:color="1c3f6e" w:space="0" w:sz="4" w:val="single"/>
        </w:pBdr>
        <w:spacing w:after="60" w:before="200" w:lineRule="auto"/>
        <w:rPr/>
      </w:pPr>
      <w:r w:rsidDel="00000000" w:rsidR="00000000" w:rsidRPr="00000000">
        <w:rPr>
          <w:b w:val="1"/>
          <w:bCs w:val="1"/>
          <w:color w:val="1c3f6e"/>
          <w:sz w:val="22"/>
          <w:szCs w:val="22"/>
          <w:rtl w:val="0"/>
        </w:rPr>
        <w:t xml:space="preserve">Step 7 — go back to external ACH transfer to make a recurring payment</w:t>
      </w:r>
      <w:r w:rsidDel="00000000" w:rsidR="00000000" w:rsidRPr="00000000">
        <w:rPr>
          <w:rtl w:val="0"/>
        </w:rPr>
      </w:r>
    </w:p>
    <w:p w:rsidR="00000000" w:rsidDel="00000000" w:rsidP="00000000" w:rsidRDefault="00000000" w:rsidRPr="00000000" w14:paraId="0000007A">
      <w:pPr>
        <w:spacing w:after="100" w:before="60" w:lineRule="auto"/>
        <w:rPr/>
      </w:pPr>
      <w:r w:rsidDel="00000000" w:rsidR="00000000" w:rsidRPr="00000000">
        <w:rPr>
          <w:rtl w:val="0"/>
        </w:rPr>
        <w:t xml:space="preserve">Enter amount scheduled date and tick the recurring payment option and select a frequency and repeat frequency and select an end date for these recurring payments</w:t>
      </w:r>
    </w:p>
    <w:p w:rsidR="00000000" w:rsidDel="00000000" w:rsidP="00000000" w:rsidRDefault="00000000" w:rsidRPr="00000000" w14:paraId="0000007B">
      <w:pPr>
        <w:spacing w:after="100" w:before="60" w:lineRule="auto"/>
        <w:rPr/>
      </w:pPr>
      <w:r w:rsidDel="00000000" w:rsidR="00000000" w:rsidRPr="00000000">
        <w:rPr/>
        <w:drawing>
          <wp:inline distB="114300" distT="114300" distL="114300" distR="114300">
            <wp:extent cx="6400800" cy="5689600"/>
            <wp:effectExtent b="0" l="0" r="0" t="0"/>
            <wp:docPr id="12"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6400800" cy="56896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C">
      <w:pPr>
        <w:pBdr>
          <w:bottom w:color="1c3f6e" w:space="0" w:sz="4" w:val="single"/>
        </w:pBdr>
        <w:spacing w:after="60" w:before="200" w:lineRule="auto"/>
        <w:rPr/>
      </w:pPr>
      <w:r w:rsidDel="00000000" w:rsidR="00000000" w:rsidRPr="00000000">
        <w:rPr>
          <w:b w:val="1"/>
          <w:bCs w:val="1"/>
          <w:color w:val="1c3f6e"/>
          <w:sz w:val="22"/>
          <w:szCs w:val="22"/>
          <w:rtl w:val="0"/>
        </w:rPr>
        <w:t xml:space="preserve">Step 8— confirm the transfer</w:t>
      </w:r>
      <w:r w:rsidDel="00000000" w:rsidR="00000000" w:rsidRPr="00000000">
        <w:rPr>
          <w:rtl w:val="0"/>
        </w:rPr>
      </w:r>
    </w:p>
    <w:p w:rsidR="00000000" w:rsidDel="00000000" w:rsidP="00000000" w:rsidRDefault="00000000" w:rsidRPr="00000000" w14:paraId="0000007D">
      <w:pPr>
        <w:spacing w:after="100" w:before="60" w:lineRule="auto"/>
        <w:rPr/>
      </w:pPr>
      <w:r w:rsidDel="00000000" w:rsidR="00000000" w:rsidRPr="00000000">
        <w:rPr>
          <w:rtl w:val="0"/>
        </w:rPr>
        <w:t xml:space="preserve">Confirm the transfer and recheck the amount and date</w:t>
      </w:r>
    </w:p>
    <w:p w:rsidR="00000000" w:rsidDel="00000000" w:rsidP="00000000" w:rsidRDefault="00000000" w:rsidRPr="00000000" w14:paraId="0000007E">
      <w:pPr>
        <w:spacing w:after="100" w:before="60" w:lineRule="auto"/>
        <w:rPr/>
      </w:pPr>
      <w:r w:rsidDel="00000000" w:rsidR="00000000" w:rsidRPr="00000000">
        <w:rPr/>
        <w:drawing>
          <wp:inline distB="114300" distT="114300" distL="114300" distR="114300">
            <wp:extent cx="6400800" cy="5334000"/>
            <wp:effectExtent b="0" l="0" r="0" t="0"/>
            <wp:docPr id="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64008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after="100" w:before="60" w:lineRule="auto"/>
        <w:rPr/>
      </w:pPr>
      <w:r w:rsidDel="00000000" w:rsidR="00000000" w:rsidRPr="00000000">
        <w:rPr>
          <w:rtl w:val="0"/>
        </w:rPr>
      </w:r>
    </w:p>
    <w:sectPr>
      <w:pgSz w:h="15840" w:w="12240" w:orient="portrait"/>
      <w:pgMar w:bottom="1080" w:top="108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3.png"/><Relationship Id="rId10" Type="http://schemas.openxmlformats.org/officeDocument/2006/relationships/image" Target="media/image9.png"/><Relationship Id="rId21" Type="http://schemas.openxmlformats.org/officeDocument/2006/relationships/image" Target="media/image13.png"/><Relationship Id="rId13" Type="http://schemas.openxmlformats.org/officeDocument/2006/relationships/image" Target="media/image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image" Target="media/image15.png"/><Relationship Id="rId14"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4.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5.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N7jHPJctSmP1h+1wJNrMDA3qzaA==">CgMxLjA4AHIhMTlJVHR4QnJRdWxkUC1wbFZfMnVQTHNOb3dYaHZNZUU2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