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p="http://schemas.openxmlformats.org/drawingml/2006/wordprocessingDrawing" xmlns:w="http://schemas.openxmlformats.org/wordprocessingml/2006/main">
  <w:body>
    <w:p>
      <w:pPr>
        <w:spacing w:before="0" w:after="0"/>
        <w:shd w:val="clear" w:color="auto" w:fill="1C3F6E"/>
      </w:pPr>
      <w:r>
        <w:rPr>
          <w:rFonts w:ascii="Calibri" w:hAnsi="Calibri"/>
          <w:b/>
          <w:bCs/>
          <w:color w:val="B0C8E8"/>
          <w:sz w:val="16"/>
          <w:szCs w:val="16"/>
        </w:rPr>
        <w:t xml:space="preserve">  SUMMERVILLE CREDIT UNION  ·  CONSOLIDATED MEMBER GUIDE  ·  CSUM-10 of 30</w:t>
      </w:r>
    </w:p>
    <w:p>
      <w:pPr>
        <w:spacing w:before="160" w:after="40"/>
      </w:pPr>
      <w:r>
        <w:rPr>
          <w:rFonts w:ascii="Calibri" w:hAnsi="Calibri"/>
          <w:b/>
          <w:bCs/>
          <w:color w:val="1C3F6E"/>
          <w:sz w:val="44"/>
          <w:szCs w:val="44"/>
        </w:rPr>
        <w:t xml:space="preserve">FedNow Instant Pay</w:t>
      </w:r>
    </w:p>
    <w:p>
      <w:pPr>
        <w:spacing w:before="0" w:after="200"/>
        <w:pBdr>
          <w:bottom w:val="single" w:sz="18" w:color="E08C3C"/>
        </w:pBdr>
      </w:pPr>
    </w:p>
    <w:p>
      <w:pPr>
        <w:spacing w:before="0" w:after="80"/>
      </w:pPr>
      <w:r>
        <w:rPr>
          <w:rFonts w:ascii="Calibri" w:hAnsi="Calibri"/>
          <w:color w:val="555555"/>
          <w:sz w:val="18"/>
          <w:szCs w:val="18"/>
        </w:rPr>
        <w:t xml:space="preserve">Module: nFinia Digital Banking &gt; Move Money &gt; FedNow Instant Pay</w:t>
      </w:r>
    </w:p>
    <w:p>
      <w:pPr>
        <w:spacing w:before="0" w:after="160"/>
      </w:pPr>
      <w:r>
        <w:rPr>
          <w:rFonts w:ascii="Calibri" w:hAnsi="Calibri"/>
          <w:i/>
          <w:color w:val="777777"/>
          <w:sz w:val="16"/>
          <w:szCs w:val="16"/>
        </w:rPr>
        <w:t xml:space="preserve">Sources: Summerville Reports Series A (36 docs) + Series B (25 docs) | Features: nFinia Documentation Features Spreadsheet</w:t>
      </w:r>
    </w:p>
    <w:p>
      <w:pPr>
        <w:spacing w:before="280" w:after="120"/>
        <w:shd w:val="clear" w:color="auto" w:fill="1C3F6E"/>
        <w:ind w:left="216"/>
      </w:pPr>
      <w:r>
        <w:rPr>
          <w:rFonts w:ascii="Calibri" w:hAnsi="Calibri"/>
          <w:b/>
          <w:bCs/>
          <w:color w:val="FFFFFF"/>
          <w:sz w:val="26"/>
          <w:szCs w:val="26"/>
        </w:rPr>
        <w:t xml:space="preserve">  01  PRODUCT SUMMARY</w:t>
      </w:r>
    </w:p>
    <w:p>
      <w:pPr>
        <w:spacing w:before="0" w:after="80"/>
      </w:pPr>
    </w:p>
    <w:p>
      <w:pPr>
        <w:spacing w:before="0" w:after="140"/>
      </w:pPr>
      <w:r>
        <w:rPr>
          <w:rFonts w:ascii="Calibri" w:hAnsi="Calibri"/>
          <w:color w:val="333333"/>
          <w:sz w:val="20"/>
          <w:szCs w:val="20"/>
        </w:rPr>
        <w:t xml:space="preserve">FedNow / Send Instantly enables members to send money in seconds, 24 hours a day, 7 days a week including holidays, using the Federal Reserve's real-time payment network and/or The Clearing House RTP network. Unlike ACH which batches transactions, FedNow settles funds immediately and irrevocably.</w:t>
      </w:r>
    </w:p>
    <w:p>
      <w:pPr>
        <w:spacing w:before="0" w:after="140"/>
      </w:pPr>
      <w:r>
        <w:rPr>
          <w:rFonts w:ascii="Calibri" w:hAnsi="Calibri"/>
          <w:color w:val="333333"/>
          <w:sz w:val="20"/>
          <w:szCs w:val="20"/>
        </w:rPr>
        <w:t xml:space="preserve">Because FedNow payments are final and cannot be reversed once sent, the platform requires members to review and accept terms and conditions before submitting. This protects members from accidental high-value transfers. Members must carefully verify recipient and amount details before confirming — there is no recall option once funds are sent.</w:t>
      </w:r>
    </w:p>
    <w:p>
      <w:pPr>
        <w:spacing w:before="0" w:after="140"/>
      </w:pPr>
      <w:r>
        <w:rPr>
          <w:rFonts w:ascii="Calibri" w:hAnsi="Calibri"/>
          <w:color w:val="333333"/>
          <w:sz w:val="20"/>
          <w:szCs w:val="20"/>
        </w:rPr>
        <w:t xml:space="preserve">Instant Pay History provides a log of all real-time payment transactions, giving members a chronological record of every FedNow and RTP payment sent or received through the platform.</w:t>
      </w:r>
    </w:p>
    <w:p>
      <w:pPr>
        <w:spacing w:before="0" w:after="80"/>
      </w:pPr>
    </w:p>
    <w:p>
      <w:pPr>
        <w:spacing w:before="240" w:after="80"/>
        <w:pBdr>
          <w:bottom w:val="single" w:sz="4" w:color="1C3F6E"/>
        </w:pBdr>
      </w:pPr>
      <w:r>
        <w:rPr>
          <w:rFonts w:ascii="Calibri" w:hAnsi="Calibri"/>
          <w:b/>
          <w:bCs/>
          <w:color w:val="1C3F6E"/>
          <w:sz w:val="22"/>
          <w:szCs w:val="22"/>
        </w:rPr>
        <w:t xml:space="preserve">At a Glance</w:t>
      </w:r>
    </w:p>
    <w:p>
      <w:pPr>
        <w:spacing w:before="0" w:after="6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2800"/>
        <w:gridCol w:w="6560"/>
      </w:tblGrid>
      <w:tr>
        <w:tc>
          <w:tcPr>
            <w:tcW w:type="dxa" w:w="2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Attribute</w:t>
            </w:r>
          </w:p>
        </w:tc>
        <w:tc>
          <w:tcPr>
            <w:tcW w:type="dxa" w:w="65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Detail</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Module</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Move Money &gt; FedNow Instant Pay / Send Instantly</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Network</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Federal Reserve FedNow + The Clearing House RTP</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Settlement Speed</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Seconds — 24/7/365 including weekends and holidays</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Reversibility</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Irrevocable — cannot be recalled once sent</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Steps</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4 (From → Amount/Recipient → Terms → Final Confirm)</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Related Reports</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CSUM-06 (Move Money Hub), CSUM-09 (ACH Transfer)</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02  KEY USE CASES</w:t>
      </w:r>
    </w:p>
    <w:p>
      <w:pPr>
        <w:spacing w:before="0" w:after="8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1800"/>
        <w:gridCol w:w="1600"/>
        <w:gridCol w:w="3000"/>
        <w:gridCol w:w="2960"/>
      </w:tblGrid>
      <w:tr>
        <w:tc>
          <w:tcPr>
            <w:tcW w:type="dxa" w:w="1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Use Case</w:t>
            </w:r>
          </w:p>
        </w:tc>
        <w:tc>
          <w:tcPr>
            <w:tcW w:type="dxa" w:w="16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Who Uses It</w:t>
            </w:r>
          </w:p>
        </w:tc>
        <w:tc>
          <w:tcPr>
            <w:tcW w:type="dxa" w:w="30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What They Do</w:t>
            </w:r>
          </w:p>
        </w:tc>
        <w:tc>
          <w:tcPr>
            <w:tcW w:type="dxa" w:w="29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Business Value</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Urgent Payment Delivery</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needing immediate fund delivery</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Use FedNow for same-second settlement for time-critical payments</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Eliminates 1–3 day ACH wait for urgent situations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Weekend/Holiday Transfer</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needing off-hours transfer</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FedNow operates 24/7 including weekends and federal holidays</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No need to wait for next business day</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Large Urgent Payment</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with high-value time-sensitive payments</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FedNow processes large amounts instantly with T&amp;C confirmation</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Real estate deposits, contractor disbursements, urgent invoices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Instant Confirmation</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needing immediate proof of payment</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FedNow confirmation is immediate with a reference number</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Verifiable instant receipt for payer and recipient</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03  STEP-BY-STEP GUIDE</w:t>
      </w:r>
    </w:p>
    <w:p>
      <w:pPr>
        <w:spacing w:before="0" w:after="60"/>
      </w:pPr>
    </w:p>
    <w:p>
      <w:pPr>
        <w:spacing w:before="0" w:after="60"/>
        <w:ind w:left="360"/>
      </w:pPr>
      <w:r>
        <w:rPr>
          <w:rFonts w:ascii="Calibri" w:hAnsi="Calibri"/>
          <w:i/>
          <w:color w:val="555555"/>
          <w:sz w:val="18"/>
          <w:szCs w:val="18"/>
        </w:rPr>
        <w:t xml:space="preserve">Navigation: Dashboard &gt; Move Money &gt; 'FedNow Instant Pay' OR 'Send Instantly'.</w:t>
      </w:r>
    </w:p>
    <w:p>
      <w:pPr>
        <w:spacing w:before="200" w:after="60"/>
        <w:pBdr>
          <w:bottom w:val="single" w:sz="4" w:color="1C3F6E"/>
        </w:pBdr>
      </w:pPr>
      <w:r>
        <w:rPr>
          <w:rFonts w:ascii="Calibri" w:hAnsi="Calibri"/>
          <w:b/>
          <w:bCs/>
          <w:color w:val="1C3F6E"/>
          <w:sz w:val="22"/>
          <w:szCs w:val="22"/>
        </w:rPr>
        <w:t xml:space="preserve">Step 1 — Start from Dashboard</w:t>
      </w:r>
    </w:p>
    <w:p>
      <w:pPr>
        <w:spacing w:before="60" w:after="100"/>
      </w:pPr>
      <w:r>
        <w:rPr>
          <w:rFonts w:ascii="Calibri" w:hAnsi="Calibri"/>
          <w:color w:val="333333"/>
          <w:sz w:val="20"/>
          <w:szCs w:val="20"/>
        </w:rPr>
        <w:t xml:space="preserve">The member begins at the Dashboard after logging in. The Dashboard displays all account balances, upcoming payments, quick-action tiles, and the top navigation bar with links to Accounts, Move Money, and More.</w:t>
      </w:r>
    </w:p>
    <w:p>
      <w:pPr>
        <w:jc w:val="center"/>
        <w:spacing w:before="100" w:after="60"/>
      </w:pPr>
      <w:r>
        <w:drawing>
          <wp:inline xmlns:a="http://schemas.openxmlformats.org/drawingml/2006/main" xmlns:pic="http://schemas.openxmlformats.org/drawingml/2006/picture">
            <wp:extent cx="5486400" cy="6879431"/>
            <wp:docPr id="1" name="01_dashboard_home.png"/>
            <wp:cNvGraphicFramePr>
              <a:graphicFrameLocks noChangeAspect="1"/>
            </wp:cNvGraphicFramePr>
            <a:graphic>
              <a:graphicData uri="http://schemas.openxmlformats.org/drawingml/2006/picture">
                <pic:pic>
                  <pic:nvPicPr>
                    <pic:cNvPr id="0" name="01_dashboard_home.png"/>
                    <pic:cNvPicPr/>
                  </pic:nvPicPr>
                  <pic:blipFill>
                    <a:blip r:embed="rId3"/>
                    <a:stretch>
                      <a:fillRect/>
                    </a:stretch>
                  </pic:blipFill>
                  <pic:spPr>
                    <a:xfrm>
                      <a:off x="0" y="0"/>
                      <a:ext cx="5486400" cy="6879431"/>
                    </a:xfrm>
                    <a:prstGeom prst="rect"/>
                  </pic:spPr>
                </pic:pic>
              </a:graphicData>
            </a:graphic>
          </wp:inline>
        </w:drawing>
      </w:r>
    </w:p>
    <w:p>
      <w:pPr>
        <w:jc w:val="center"/>
        <w:spacing w:before="0" w:after="100"/>
      </w:pPr>
      <w:r>
        <w:rPr>
          <w:rFonts w:ascii="Calibri" w:hAnsi="Calibri"/>
          <w:i/>
          <w:color w:val="555555"/>
          <w:sz w:val="16"/>
          <w:szCs w:val="16"/>
        </w:rPr>
        <w:t xml:space="preserve">Step 1: Start from Dashboard</w:t>
      </w:r>
    </w:p>
    <w:p>
      <w:pPr>
        <w:spacing w:before="0" w:after="80"/>
      </w:pPr>
    </w:p>
    <w:p>
      <w:pPr>
        <w:spacing w:before="200" w:after="60"/>
        <w:pBdr>
          <w:bottom w:val="single" w:sz="4" w:color="1C3F6E"/>
        </w:pBdr>
      </w:pPr>
      <w:r>
        <w:rPr>
          <w:rFonts w:ascii="Calibri" w:hAnsi="Calibri"/>
          <w:b/>
          <w:bCs/>
          <w:color w:val="1C3F6E"/>
          <w:sz w:val="22"/>
          <w:szCs w:val="22"/>
        </w:rPr>
        <w:t xml:space="preserve">Step 2 — Navigate to Move Money Hub</w:t>
      </w:r>
    </w:p>
    <w:p>
      <w:pPr>
        <w:spacing w:before="60" w:after="100"/>
      </w:pPr>
      <w:r>
        <w:rPr>
          <w:rFonts w:ascii="Calibri" w:hAnsi="Calibri"/>
          <w:color w:val="333333"/>
          <w:sz w:val="20"/>
          <w:szCs w:val="2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p>
    <w:p>
      <w:pPr>
        <w:jc w:val="center"/>
        <w:spacing w:before="100" w:after="60"/>
      </w:pPr>
      <w:r>
        <w:drawing>
          <wp:inline xmlns:a="http://schemas.openxmlformats.org/drawingml/2006/main" xmlns:pic="http://schemas.openxmlformats.org/drawingml/2006/picture">
            <wp:extent cx="5486400" cy="6292215"/>
            <wp:docPr id="2" name="01_move_money_landing.png"/>
            <wp:cNvGraphicFramePr>
              <a:graphicFrameLocks noChangeAspect="1"/>
            </wp:cNvGraphicFramePr>
            <a:graphic>
              <a:graphicData uri="http://schemas.openxmlformats.org/drawingml/2006/picture">
                <pic:pic>
                  <pic:nvPicPr>
                    <pic:cNvPr id="0" name="01_move_money_landing.png"/>
                    <pic:cNvPicPr/>
                  </pic:nvPicPr>
                  <pic:blipFill>
                    <a:blip r:embed="rId4"/>
                    <a:stretch>
                      <a:fillRect/>
                    </a:stretch>
                  </pic:blipFill>
                  <pic:spPr>
                    <a:xfrm>
                      <a:off x="0" y="0"/>
                      <a:ext cx="5486400" cy="6292215"/>
                    </a:xfrm>
                    <a:prstGeom prst="rect"/>
                  </pic:spPr>
                </pic:pic>
              </a:graphicData>
            </a:graphic>
          </wp:inline>
        </w:drawing>
      </w:r>
    </w:p>
    <w:p>
      <w:pPr>
        <w:jc w:val="center"/>
        <w:spacing w:before="0" w:after="100"/>
      </w:pPr>
      <w:r>
        <w:rPr>
          <w:rFonts w:ascii="Calibri" w:hAnsi="Calibri"/>
          <w:i/>
          <w:color w:val="555555"/>
          <w:sz w:val="16"/>
          <w:szCs w:val="16"/>
        </w:rPr>
        <w:t xml:space="preserve">Step 2: Move Money Hub</w:t>
      </w:r>
    </w:p>
    <w:p>
      <w:pPr>
        <w:spacing w:before="0" w:after="80"/>
      </w:pPr>
    </w:p>
    <w:p>
      <w:pPr>
        <w:spacing w:before="0" w:after="80"/>
      </w:pPr>
    </w:p>
    <w:p>
      <w:pPr>
        <w:spacing w:before="200" w:after="60"/>
        <w:pBdr>
          <w:bottom w:val="single" w:sz="4" w:color="1C3F6E"/>
        </w:pBdr>
      </w:pPr>
      <w:r>
        <w:rPr>
          <w:rFonts w:ascii="Calibri" w:hAnsi="Calibri"/>
          <w:b/>
          <w:bCs/>
          <w:color w:val="1C3F6E"/>
          <w:sz w:val="22"/>
          <w:szCs w:val="22"/>
        </w:rPr>
        <w:t xml:space="preserve">Step 3 — Navigate from Dashboard to FedNow</w:t>
      </w:r>
    </w:p>
    <w:p>
      <w:pPr>
        <w:spacing w:before="60" w:after="100"/>
      </w:pPr>
      <w:r>
        <w:rPr>
          <w:rFonts w:ascii="Calibri" w:hAnsi="Calibri"/>
          <w:color w:val="333333"/>
          <w:sz w:val="20"/>
          <w:szCs w:val="20"/>
        </w:rPr>
        <w:t xml:space="preserve">The Move Money hub is shown as the landing page for initiating a FedNow Instant Payment transfer.</w:t>
      </w:r>
    </w:p>
    <w:p>
      <w:pPr>
        <w:jc w:val="center"/>
        <w:spacing w:before="100" w:after="60"/>
      </w:pPr>
      <w:r>
        <w:drawing>
          <wp:inline xmlns:a="http://schemas.openxmlformats.org/drawingml/2006/main" xmlns:pic="http://schemas.openxmlformats.org/drawingml/2006/picture">
            <wp:extent cx="5486400" cy="7119461"/>
            <wp:docPr id="3" name="01_step1_select_account.png"/>
            <wp:cNvGraphicFramePr>
              <a:graphicFrameLocks noChangeAspect="1"/>
            </wp:cNvGraphicFramePr>
            <a:graphic>
              <a:graphicData uri="http://schemas.openxmlformats.org/drawingml/2006/picture">
                <pic:pic>
                  <pic:nvPicPr>
                    <pic:cNvPr id="0" name="01_step1_select_account.png"/>
                    <pic:cNvPicPr/>
                  </pic:nvPicPr>
                  <pic:blipFill>
                    <a:blip r:embed="rId5"/>
                    <a:stretch>
                      <a:fillRect/>
                    </a:stretch>
                  </pic:blipFill>
                  <pic:spPr>
                    <a:xfrm>
                      <a:off x="0" y="0"/>
                      <a:ext cx="5486400" cy="7119461"/>
                    </a:xfrm>
                    <a:prstGeom prst="rect"/>
                  </pic:spPr>
                </pic:pic>
              </a:graphicData>
            </a:graphic>
          </wp:inline>
        </w:drawing>
      </w:r>
    </w:p>
    <w:p>
      <w:pPr>
        <w:jc w:val="center"/>
        <w:spacing w:before="0" w:after="100"/>
      </w:pPr>
      <w:r>
        <w:rPr>
          <w:rFonts w:ascii="Calibri" w:hAnsi="Calibri"/>
          <w:i/>
          <w:color w:val="555555"/>
          <w:sz w:val="16"/>
          <w:szCs w:val="16"/>
        </w:rPr>
        <w:t xml:space="preserve">Step 3: Navigate from Dashboard to FedNow</w:t>
      </w:r>
    </w:p>
    <w:p>
      <w:pPr>
        <w:spacing w:before="0" w:after="80"/>
      </w:pPr>
    </w:p>
    <w:p>
      <w:pPr>
        <w:spacing w:before="200" w:after="60"/>
        <w:pBdr>
          <w:bottom w:val="single" w:sz="4" w:color="1C3F6E"/>
        </w:pBdr>
      </w:pPr>
      <w:r>
        <w:rPr>
          <w:rFonts w:ascii="Calibri" w:hAnsi="Calibri"/>
          <w:b/>
          <w:bCs/>
          <w:color w:val="1C3F6E"/>
          <w:sz w:val="22"/>
          <w:szCs w:val="22"/>
        </w:rPr>
        <w:t xml:space="preserve">Step 4 — Fill Payment Form</w:t>
      </w:r>
    </w:p>
    <w:p>
      <w:pPr>
        <w:spacing w:before="60" w:after="100"/>
      </w:pPr>
      <w:r>
        <w:rPr>
          <w:rFonts w:ascii="Calibri" w:hAnsi="Calibri"/>
          <w:color w:val="333333"/>
          <w:sz w:val="20"/>
          <w:szCs w:val="20"/>
        </w:rPr>
        <w:t xml:space="preserve">Step 2 of the FedNow transfer shows a form with fields for entering transfer details and recipient information for the instant payment.</w:t>
      </w:r>
    </w:p>
    <w:p>
      <w:pPr>
        <w:jc w:val="center"/>
        <w:spacing w:before="100" w:after="60"/>
      </w:pPr>
      <w:r>
        <w:drawing>
          <wp:inline xmlns:a="http://schemas.openxmlformats.org/drawingml/2006/main" xmlns:pic="http://schemas.openxmlformats.org/drawingml/2006/picture">
            <wp:extent cx="5486400" cy="7119461"/>
            <wp:docPr id="4" name="02_step2_fill_form.png"/>
            <wp:cNvGraphicFramePr>
              <a:graphicFrameLocks noChangeAspect="1"/>
            </wp:cNvGraphicFramePr>
            <a:graphic>
              <a:graphicData uri="http://schemas.openxmlformats.org/drawingml/2006/picture">
                <pic:pic>
                  <pic:nvPicPr>
                    <pic:cNvPr id="0" name="02_step2_fill_form.png"/>
                    <pic:cNvPicPr/>
                  </pic:nvPicPr>
                  <pic:blipFill>
                    <a:blip r:embed="rId6"/>
                    <a:stretch>
                      <a:fillRect/>
                    </a:stretch>
                  </pic:blipFill>
                  <pic:spPr>
                    <a:xfrm>
                      <a:off x="0" y="0"/>
                      <a:ext cx="5486400" cy="7119461"/>
                    </a:xfrm>
                    <a:prstGeom prst="rect"/>
                  </pic:spPr>
                </pic:pic>
              </a:graphicData>
            </a:graphic>
          </wp:inline>
        </w:drawing>
      </w:r>
    </w:p>
    <w:p>
      <w:pPr>
        <w:jc w:val="center"/>
        <w:spacing w:before="0" w:after="100"/>
      </w:pPr>
      <w:r>
        <w:rPr>
          <w:rFonts w:ascii="Calibri" w:hAnsi="Calibri"/>
          <w:i/>
          <w:color w:val="555555"/>
          <w:sz w:val="16"/>
          <w:szCs w:val="16"/>
        </w:rPr>
        <w:t xml:space="preserve">Step 4: Fill Payment Form</w:t>
      </w:r>
    </w:p>
    <w:p>
      <w:pPr>
        <w:spacing w:before="0" w:after="80"/>
      </w:pPr>
    </w:p>
    <w:p>
      <w:pPr>
        <w:spacing w:before="200" w:after="60"/>
        <w:pBdr>
          <w:bottom w:val="single" w:sz="4" w:color="1C3F6E"/>
        </w:pBdr>
      </w:pPr>
      <w:r>
        <w:rPr>
          <w:rFonts w:ascii="Calibri" w:hAnsi="Calibri"/>
          <w:b/>
          <w:bCs/>
          <w:color w:val="1C3F6E"/>
          <w:sz w:val="22"/>
          <w:szCs w:val="22"/>
        </w:rPr>
        <w:t xml:space="preserve">Step 5 — Review &amp; Accept Terms</w:t>
      </w:r>
    </w:p>
    <w:p>
      <w:pPr>
        <w:spacing w:before="60" w:after="100"/>
      </w:pPr>
      <w:r>
        <w:rPr>
          <w:rFonts w:ascii="Calibri" w:hAnsi="Calibri"/>
          <w:color w:val="333333"/>
          <w:sz w:val="20"/>
          <w:szCs w:val="20"/>
        </w:rPr>
        <w:t xml:space="preserve">The FedNow Terms and Conditions page is displayed with checkboxes for accepting the agreement before proceeding with the instant payment.</w:t>
      </w:r>
    </w:p>
    <w:p>
      <w:pPr>
        <w:jc w:val="center"/>
        <w:spacing w:before="100" w:after="60"/>
      </w:pPr>
      <w:r>
        <w:drawing>
          <wp:inline xmlns:a="http://schemas.openxmlformats.org/drawingml/2006/main" xmlns:pic="http://schemas.openxmlformats.org/drawingml/2006/picture">
            <wp:extent cx="5486400" cy="4618298"/>
            <wp:docPr id="5" name="03_terms_and_conditions.png"/>
            <wp:cNvGraphicFramePr>
              <a:graphicFrameLocks noChangeAspect="1"/>
            </wp:cNvGraphicFramePr>
            <a:graphic>
              <a:graphicData uri="http://schemas.openxmlformats.org/drawingml/2006/picture">
                <pic:pic>
                  <pic:nvPicPr>
                    <pic:cNvPr id="0" name="03_terms_and_conditions.png"/>
                    <pic:cNvPicPr/>
                  </pic:nvPicPr>
                  <pic:blipFill>
                    <a:blip r:embed="rId7"/>
                    <a:stretch>
                      <a:fillRect/>
                    </a:stretch>
                  </pic:blipFill>
                  <pic:spPr>
                    <a:xfrm>
                      <a:off x="0" y="0"/>
                      <a:ext cx="5486400" cy="4618298"/>
                    </a:xfrm>
                    <a:prstGeom prst="rect"/>
                  </pic:spPr>
                </pic:pic>
              </a:graphicData>
            </a:graphic>
          </wp:inline>
        </w:drawing>
      </w:r>
    </w:p>
    <w:p>
      <w:pPr>
        <w:jc w:val="center"/>
        <w:spacing w:before="0" w:after="100"/>
      </w:pPr>
      <w:r>
        <w:rPr>
          <w:rFonts w:ascii="Calibri" w:hAnsi="Calibri"/>
          <w:i/>
          <w:color w:val="555555"/>
          <w:sz w:val="16"/>
          <w:szCs w:val="16"/>
        </w:rPr>
        <w:t xml:space="preserve">Step 5: Review &amp; Accept Terms</w:t>
      </w:r>
    </w:p>
    <w:p>
      <w:pPr>
        <w:spacing w:before="0" w:after="80"/>
      </w:pPr>
    </w:p>
    <w:p>
      <w:pPr>
        <w:spacing w:before="200" w:after="60"/>
        <w:pBdr>
          <w:bottom w:val="single" w:sz="4" w:color="1C3F6E"/>
        </w:pBdr>
      </w:pPr>
      <w:r>
        <w:rPr>
          <w:rFonts w:ascii="Calibri" w:hAnsi="Calibri"/>
          <w:b/>
          <w:bCs/>
          <w:color w:val="1C3F6E"/>
          <w:sz w:val="22"/>
          <w:szCs w:val="22"/>
        </w:rPr>
        <w:t xml:space="preserve">Step 6 — Final Confirmation &amp; Send</w:t>
      </w:r>
    </w:p>
    <w:p>
      <w:pPr>
        <w:spacing w:before="60" w:after="100"/>
      </w:pPr>
      <w:r>
        <w:rPr>
          <w:rFonts w:ascii="Calibri" w:hAnsi="Calibri"/>
          <w:color w:val="333333"/>
          <w:sz w:val="20"/>
          <w:szCs w:val="20"/>
        </w:rPr>
        <w:t xml:space="preserve">The final confirmation screen shows a FedNow instant transfer of $1,000 with full transaction details and a confirmation button to complete the payment.</w:t>
      </w:r>
    </w:p>
    <w:p>
      <w:pPr>
        <w:jc w:val="center"/>
        <w:spacing w:before="100" w:after="60"/>
      </w:pPr>
      <w:r>
        <w:drawing>
          <wp:inline xmlns:a="http://schemas.openxmlformats.org/drawingml/2006/main" xmlns:pic="http://schemas.openxmlformats.org/drawingml/2006/picture">
            <wp:extent cx="5486400" cy="6283371"/>
            <wp:docPr id="6" name="04_confirm_1000.png"/>
            <wp:cNvGraphicFramePr>
              <a:graphicFrameLocks noChangeAspect="1"/>
            </wp:cNvGraphicFramePr>
            <a:graphic>
              <a:graphicData uri="http://schemas.openxmlformats.org/drawingml/2006/picture">
                <pic:pic>
                  <pic:nvPicPr>
                    <pic:cNvPr id="0" name="04_confirm_1000.png"/>
                    <pic:cNvPicPr/>
                  </pic:nvPicPr>
                  <pic:blipFill>
                    <a:blip r:embed="rId8"/>
                    <a:stretch>
                      <a:fillRect/>
                    </a:stretch>
                  </pic:blipFill>
                  <pic:spPr>
                    <a:xfrm>
                      <a:off x="0" y="0"/>
                      <a:ext cx="5486400" cy="6283371"/>
                    </a:xfrm>
                    <a:prstGeom prst="rect"/>
                  </pic:spPr>
                </pic:pic>
              </a:graphicData>
            </a:graphic>
          </wp:inline>
        </w:drawing>
      </w:r>
    </w:p>
    <w:p>
      <w:pPr>
        <w:jc w:val="center"/>
        <w:spacing w:before="0" w:after="100"/>
      </w:pPr>
      <w:r>
        <w:rPr>
          <w:rFonts w:ascii="Calibri" w:hAnsi="Calibri"/>
          <w:i/>
          <w:color w:val="555555"/>
          <w:sz w:val="16"/>
          <w:szCs w:val="16"/>
        </w:rPr>
        <w:t xml:space="preserve">Step 6: Final Confirmation &amp; Send</w:t>
      </w:r>
    </w:p>
    <w:p>
      <w:pPr>
        <w:spacing w:before="0" w:after="80"/>
      </w:pPr>
    </w:p>
    <w:sectPr>
      <w:pgSz w:w="12240" w:h="15840"/>
      <w:pgMar w:top="1080" w:right="1080" w:bottom="1080" w:left="108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0"/>
        <w:szCs w:val="20"/>
        <w:color w:val="333333"/>
      </w:rPr>
    </w:rPrDefault>
  </w:docDefaults>
  <w:style w:type="paragraph" w:styleId="Normal">
    <w:name w:val="Normal"/>
    <w:pPr>
      <w:spacing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01_dashboard_home.png"/>
  <Relationship Id="rId4" Type="http://schemas.openxmlformats.org/officeDocument/2006/relationships/image" Target="media/01_move_money_landing.png"/>
  <Relationship Id="rId5" Type="http://schemas.openxmlformats.org/officeDocument/2006/relationships/image" Target="media/01_step1_select_account.png"/>
  <Relationship Id="rId6" Type="http://schemas.openxmlformats.org/officeDocument/2006/relationships/image" Target="media/02_step2_fill_form.png"/>
  <Relationship Id="rId7" Type="http://schemas.openxmlformats.org/officeDocument/2006/relationships/image" Target="media/03_terms_and_conditions.png"/>
  <Relationship Id="rId8" Type="http://schemas.openxmlformats.org/officeDocument/2006/relationships/image" Target="media/04_confirm_1000.png"/>
</Relationships>
</file>