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1c3f6e" w:val="clear"/>
        <w:spacing w:after="0" w:before="0" w:lineRule="auto"/>
        <w:rPr/>
      </w:pPr>
      <w:r>
        <w:rPr>
          <w:rFonts w:ascii="Calibri" w:cs="Calibri" w:eastAsia="Calibri" w:hAnsi="Calibri"/>
          <w:b w:val="1"/>
          <w:bCs w:val="1"/>
          <w:color w:val="b0c8e8"/>
          <w:sz w:val="16"/>
          <w:szCs w:val="16"/>
          <w:rtl w:val="0"/>
        </w:rPr>
        <w:t xml:space="preserve">  DIAMOND CREDIT UNION  ·  BUSINESS BANKING GUIDE  ·  Add Multiple-Account Recipient</w:t>
      </w:r>
      <w:r>
        <w:rPr>
          <w:rtl w:val="0"/>
        </w:rPr>
      </w:r>
    </w:p>
    <w:p w:rsidR="00000000" w:rsidDel="00000000" w:rsidP="00000000" w:rsidRDefault="00000000" w:rsidRPr="00000000" w14:paraId="00000002">
      <w:pPr>
        <w:spacing w:after="40" w:before="160" w:lineRule="auto"/>
        <w:rPr/>
      </w:pPr>
      <w:r>
        <w:rPr>
          <w:rFonts w:ascii="Calibri" w:cs="Calibri" w:eastAsia="Calibri" w:hAnsi="Calibri"/>
          <w:b w:val="1"/>
          <w:bCs w:val="1"/>
          <w:color w:val="1c3f6e"/>
          <w:sz w:val="44"/>
          <w:szCs w:val="44"/>
          <w:rtl w:val="0"/>
        </w:rPr>
        <w:t xml:space="preserve">Add Multiple-Account Recipient</w:t>
      </w:r>
      <w:r>
        <w:rPr>
          <w:rtl w:val="0"/>
        </w:rPr>
      </w:r>
    </w:p>
    <w:p w:rsidR="00000000" w:rsidDel="00000000" w:rsidP="00000000" w:rsidRDefault="00000000" w:rsidRPr="00000000" w14:paraId="00000003">
      <w:pPr>
        <w:pBdr>
          <w:bottom w:color="e08c3c" w:space="0" w:sz="18" w:val="single"/>
        </w:pBdr>
        <w:spacing w:after="200" w:before="0" w:lineRule="auto"/>
        <w:rPr/>
      </w:pPr>
      <w:r>
        <w:rPr>
          <w:rtl w:val="0"/>
        </w:rPr>
      </w:r>
    </w:p>
    <w:p w:rsidR="00000000" w:rsidDel="00000000" w:rsidP="00000000" w:rsidRDefault="00000000" w:rsidRPr="00000000" w14:paraId="00000004">
      <w:pPr>
        <w:spacing w:after="80" w:before="0" w:lineRule="auto"/>
        <w:rPr/>
      </w:pPr>
      <w:r>
        <w:rPr>
          <w:rFonts w:ascii="Calibri" w:cs="Calibri" w:eastAsia="Calibri" w:hAnsi="Calibri"/>
          <w:color w:val="555555"/>
          <w:sz w:val="18"/>
          <w:szCs w:val="18"/>
          <w:rtl w:val="0"/>
        </w:rPr>
        <w:t xml:space="preserve">Module: nFinia Digital Banking &gt; Business Banking &gt; Transfer &amp; Pay &gt; Recipient Management</w:t>
      </w:r>
      <w:r>
        <w:rPr>
          <w:rtl w:val="0"/>
        </w:rPr>
      </w:r>
    </w:p>
    <w:p w:rsidR="00000000" w:rsidDel="00000000" w:rsidP="00000000" w:rsidRDefault="00000000" w:rsidRPr="00000000" w14:paraId="00000005">
      <w:pPr>
        <w:spacing w:after="160" w:before="0" w:lineRule="auto"/>
        <w:rPr/>
      </w:pPr>
      <w:r>
        <w:rPr>
          <w:rFonts w:ascii="Calibri" w:cs="Calibri" w:eastAsia="Calibri" w:hAnsi="Calibri"/>
          <w:i w:val="1"/>
          <w:iCs w:val="1"/>
          <w:color w:val="777777"/>
          <w:sz w:val="16"/>
          <w:szCs w:val="16"/>
          <w:rtl w:val="0"/>
        </w:rPr>
        <w:t xml:space="preserve">Platform: Diamond Credit Union nFinia  |  Feature: Multi-Account Recipient Management  |  Workflow: Add Multiple Accounts to an Existing Recipient</w:t>
      </w:r>
      <w:r>
        <w:rPr>
          <w:rtl w:val="0"/>
        </w:rPr>
      </w:r>
    </w:p>
    <w:p w:rsidR="00000000" w:rsidDel="00000000" w:rsidP="00000000" w:rsidRDefault="00000000" w:rsidRPr="00000000" w14:paraId="00000006">
      <w:pPr>
        <w:shd w:fill="1c3f6e" w:val="clear"/>
        <w:spacing w:after="120" w:before="280" w:lineRule="auto"/>
        <w:ind w:left="216" w:firstLine="0"/>
        <w:rPr/>
      </w:pPr>
      <w:r>
        <w:rPr>
          <w:rFonts w:ascii="Calibri" w:cs="Calibri" w:eastAsia="Calibri" w:hAnsi="Calibri"/>
          <w:b w:val="1"/>
          <w:bCs w:val="1"/>
          <w:color w:val="ffffff"/>
          <w:sz w:val="26"/>
          <w:szCs w:val="26"/>
          <w:rtl w:val="0"/>
        </w:rPr>
        <w:t xml:space="preserve">  01  PRODUCT SUMMARY</w:t>
      </w:r>
      <w:r>
        <w:rPr>
          <w:rtl w:val="0"/>
        </w:rPr>
      </w:r>
    </w:p>
    <w:p w:rsidR="00000000" w:rsidDel="00000000" w:rsidP="00000000" w:rsidRDefault="00000000" w:rsidRPr="00000000" w14:paraId="00000007">
      <w:pPr>
        <w:spacing w:after="80" w:before="0" w:lineRule="auto"/>
        <w:rPr/>
      </w:pPr>
      <w:r>
        <w:rPr>
          <w:rtl w:val="0"/>
        </w:rPr>
      </w:r>
    </w:p>
    <w:p w:rsidR="00000000" w:rsidDel="00000000" w:rsidP="00000000" w:rsidRDefault="00000000" w:rsidRPr="00000000" w14:paraId="00000008">
      <w:pPr>
        <w:spacing w:after="140" w:before="0" w:lineRule="auto"/>
        <w:rPr/>
      </w:pPr>
      <w:r>
        <w:rPr>
          <w:rFonts w:ascii="Calibri" w:cs="Calibri" w:eastAsia="Calibri" w:hAnsi="Calibri"/>
          <w:color w:val="333333"/>
          <w:sz w:val="20"/>
          <w:szCs w:val="20"/>
          <w:rtl w:val="0"/>
        </w:rPr>
        <w:t xml:space="preserve">The Add Multiple-Account Recipient workflow demonstrates a core capability of the nFinia Transfer Account Management model: a single named recipient can hold multiple payment accounts across different account types, payment methods, and institutions. Rather than creating duplicate payee records for the same individual or vendor, the business admin extends an existing recipient profile by clicking “+ Add Account” within the Transfer Account Details view.</w:t>
      </w:r>
      <w:r>
        <w:rPr>
          <w:rtl w:val="0"/>
        </w:rPr>
      </w:r>
    </w:p>
    <w:p w:rsidR="00000000" w:rsidDel="00000000" w:rsidP="00000000" w:rsidRDefault="00000000" w:rsidRPr="00000000" w14:paraId="00000009">
      <w:pPr>
        <w:spacing w:after="140" w:before="0" w:lineRule="auto"/>
        <w:rPr/>
      </w:pPr>
      <w:r>
        <w:rPr>
          <w:rFonts w:ascii="Calibri" w:cs="Calibri" w:eastAsia="Calibri" w:hAnsi="Calibri"/>
          <w:color w:val="333333"/>
          <w:sz w:val="20"/>
          <w:szCs w:val="20"/>
          <w:rtl w:val="0"/>
        </w:rPr>
        <w:t xml:space="preserve">This multi-account structure is particularly valuable for commercial members paying vendors or employees who maintain separate Checking and Savings accounts — even at different branches of the same institution. Each linked account carries its own nickname, account type, and routing details, and exposes an independent “Provide Funds” action so the admin can direct each payment to the correct account without modifying the recipient record.</w:t>
      </w:r>
      <w:r>
        <w:rPr>
          <w:rtl w:val="0"/>
        </w:rPr>
      </w:r>
    </w:p>
    <w:p w:rsidR="00000000" w:rsidDel="00000000" w:rsidP="00000000" w:rsidRDefault="00000000" w:rsidRPr="00000000" w14:paraId="0000000A">
      <w:pPr>
        <w:spacing w:after="140" w:before="0" w:lineRule="auto"/>
        <w:rPr/>
      </w:pPr>
      <w:r>
        <w:rPr>
          <w:rFonts w:ascii="Calibri" w:cs="Calibri" w:eastAsia="Calibri" w:hAnsi="Calibri"/>
          <w:color w:val="333333"/>
          <w:sz w:val="20"/>
          <w:szCs w:val="20"/>
          <w:rtl w:val="0"/>
        </w:rPr>
        <w:t xml:space="preserve">For credit unions, this model reduces payee list sprawl, improves transfer accuracy, and supports clean audit trails by keeping all accounts for a given counterparty consolidated under one recipient identity. New accounts can be added at any time, and any individual account can be removed without affecting the others.</w:t>
      </w:r>
      <w:r>
        <w:rPr>
          <w:rtl w:val="0"/>
        </w:rPr>
      </w:r>
    </w:p>
    <w:p w:rsidR="00000000" w:rsidDel="00000000" w:rsidP="00000000" w:rsidRDefault="00000000" w:rsidRPr="00000000" w14:paraId="0000000B">
      <w:pPr>
        <w:spacing w:after="80" w:before="0" w:lineRule="auto"/>
        <w:rPr/>
      </w:pPr>
      <w:r>
        <w:rPr>
          <w:rtl w:val="0"/>
        </w:rPr>
      </w:r>
    </w:p>
    <w:p w:rsidR="00000000" w:rsidDel="00000000" w:rsidP="00000000" w:rsidRDefault="00000000" w:rsidRPr="00000000" w14:paraId="0000000C">
      <w:pPr>
        <w:pBdr>
          <w:bottom w:color="1c3f6e" w:space="0" w:sz="4" w:val="single"/>
        </w:pBdr>
        <w:spacing w:after="80" w:before="240" w:lineRule="auto"/>
        <w:rPr/>
      </w:pPr>
      <w:r>
        <w:rPr>
          <w:rFonts w:ascii="Calibri" w:cs="Calibri" w:eastAsia="Calibri" w:hAnsi="Calibri"/>
          <w:b w:val="1"/>
          <w:bCs w:val="1"/>
          <w:color w:val="1c3f6e"/>
          <w:sz w:val="22"/>
          <w:szCs w:val="22"/>
          <w:rtl w:val="0"/>
        </w:rPr>
        <w:t xml:space="preserve">At a Glance</w:t>
      </w:r>
      <w:r>
        <w:rPr>
          <w:rtl w:val="0"/>
        </w:rPr>
      </w:r>
    </w:p>
    <w:p w:rsidR="00000000" w:rsidDel="00000000" w:rsidP="00000000" w:rsidRDefault="00000000" w:rsidRPr="00000000" w14:paraId="0000000D">
      <w:pPr>
        <w:spacing w:after="60" w:before="0" w:lineRule="auto"/>
        <w:rPr/>
      </w:pPr>
      <w:r>
        <w:rPr>
          <w:rtl w:val="0"/>
        </w:rPr>
      </w:r>
    </w:p>
    <w:tbl>
      <w:tblPr>
        <w:tblStyle w:val="Table1"/>
        <w:tblW w:w="9360.0" w:type="dxa"/>
        <w:jc w:val="left"/>
        <w:tblInd w:w="-120.0" w:type="dxa"/>
        <w:tblBorders>
          <w:top w:color="d0d7e8" w:space="0" w:sz="4" w:val="single"/>
          <w:left w:color="d0d7e8" w:space="0" w:sz="4" w:val="single"/>
          <w:bottom w:color="d0d7e8" w:space="0" w:sz="4" w:val="single"/>
          <w:right w:color="d0d7e8" w:space="0" w:sz="4" w:val="single"/>
          <w:insideH w:color="d0d7e8" w:space="0" w:sz="4" w:val="single"/>
          <w:insideV w:color="d0d7e8"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1c3f6e" w:val="clear"/>
            <w:tcMar>
              <w:top w:w="80.0" w:type="dxa"/>
              <w:left w:w="120.0" w:type="dxa"/>
              <w:bottom w:w="80.0" w:type="dxa"/>
              <w:right w:w="120.0" w:type="dxa"/>
            </w:tcMar>
          </w:tcPr>
          <w:p w:rsidR="00000000" w:rsidDel="00000000" w:rsidP="00000000" w:rsidRDefault="00000000" w:rsidRPr="00000000" w14:paraId="0000000E">
            <w:pPr>
              <w:rPr/>
            </w:pPr>
            <w:r>
              <w:rPr>
                <w:rFonts w:ascii="Calibri" w:cs="Calibri" w:eastAsia="Calibri" w:hAnsi="Calibri"/>
                <w:b w:val="1"/>
                <w:bCs w:val="1"/>
                <w:color w:val="ffffff"/>
                <w:sz w:val="18"/>
                <w:szCs w:val="18"/>
                <w:rtl w:val="0"/>
              </w:rPr>
              <w:t xml:space="preserve">Attribute</w:t>
            </w:r>
            <w:r>
              <w:rPr>
                <w:rtl w:val="0"/>
              </w:rPr>
            </w:r>
          </w:p>
        </w:tc>
        <w:tc>
          <w:tcPr>
            <w:tcBorders>
              <w:top w:color="ffffff" w:space="0" w:sz="4" w:val="single"/>
              <w:left w:color="ffffff" w:space="0" w:sz="4" w:val="single"/>
              <w:bottom w:color="ffffff" w:space="0" w:sz="4" w:val="single"/>
              <w:right w:color="ffffff" w:space="0" w:sz="4" w:val="single"/>
            </w:tcBorders>
            <w:shd w:fill="1c3f6e" w:val="clear"/>
            <w:tcMar>
              <w:top w:w="80.0" w:type="dxa"/>
              <w:left w:w="120.0" w:type="dxa"/>
              <w:bottom w:w="80.0" w:type="dxa"/>
              <w:right w:w="120.0" w:type="dxa"/>
            </w:tcMar>
          </w:tcPr>
          <w:p w:rsidR="00000000" w:rsidDel="00000000" w:rsidP="00000000" w:rsidRDefault="00000000" w:rsidRPr="00000000" w14:paraId="0000000F">
            <w:pPr>
              <w:rPr/>
            </w:pPr>
            <w:r>
              <w:rPr>
                <w:rFonts w:ascii="Calibri" w:cs="Calibri" w:eastAsia="Calibri" w:hAnsi="Calibri"/>
                <w:b w:val="1"/>
                <w:bCs w:val="1"/>
                <w:color w:val="ffffff"/>
                <w:sz w:val="18"/>
                <w:szCs w:val="18"/>
                <w:rtl w:val="0"/>
              </w:rPr>
              <w:t xml:space="preserve">Detail</w:t>
            </w:r>
            <w:r>
              <w:rPr>
                <w:rtl w:val="0"/>
              </w:rPr>
            </w:r>
          </w:p>
        </w:tc>
      </w:tr>
      <w:tr>
        <w:trPr>
          <w:cantSplit w:val="0"/>
          <w:tblHeader w:val="0"/>
        </w:trPr>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10">
            <w:pPr>
              <w:rPr/>
            </w:pPr>
            <w:r>
              <w:rPr>
                <w:rFonts w:ascii="Calibri" w:cs="Calibri" w:eastAsia="Calibri" w:hAnsi="Calibri"/>
                <w:color w:val="333333"/>
                <w:sz w:val="18"/>
                <w:szCs w:val="18"/>
                <w:rtl w:val="0"/>
              </w:rPr>
              <w:t xml:space="preserve">Feature Name</w:t>
            </w:r>
            <w:r>
              <w:rPr>
                <w:rtl w:val="0"/>
              </w:rPr>
            </w:r>
          </w:p>
        </w:tc>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11">
            <w:pPr>
              <w:rPr/>
            </w:pPr>
            <w:r>
              <w:rPr>
                <w:rFonts w:ascii="Calibri" w:cs="Calibri" w:eastAsia="Calibri" w:hAnsi="Calibri"/>
                <w:color w:val="333333"/>
                <w:sz w:val="18"/>
                <w:szCs w:val="18"/>
                <w:rtl w:val="0"/>
              </w:rPr>
              <w:t xml:space="preserve">Add Multiple-Account Recipient</w:t>
            </w:r>
            <w:r>
              <w:rPr>
                <w:rtl w:val="0"/>
              </w:rPr>
            </w:r>
          </w:p>
        </w:tc>
      </w:tr>
      <w:tr>
        <w:trPr>
          <w:cantSplit w:val="0"/>
          <w:tblHeader w:val="0"/>
        </w:trPr>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12">
            <w:pPr>
              <w:rPr/>
            </w:pPr>
            <w:r>
              <w:rPr>
                <w:rFonts w:ascii="Calibri" w:cs="Calibri" w:eastAsia="Calibri" w:hAnsi="Calibri"/>
                <w:color w:val="333333"/>
                <w:sz w:val="18"/>
                <w:szCs w:val="18"/>
                <w:rtl w:val="0"/>
              </w:rPr>
              <w:t xml:space="preserve">Module</w:t>
            </w:r>
            <w:r>
              <w:rPr>
                <w:rtl w:val="0"/>
              </w:rPr>
            </w:r>
          </w:p>
        </w:tc>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13">
            <w:pPr>
              <w:rPr/>
            </w:pPr>
            <w:r>
              <w:rPr>
                <w:rFonts w:ascii="Calibri" w:cs="Calibri" w:eastAsia="Calibri" w:hAnsi="Calibri"/>
                <w:color w:val="333333"/>
                <w:sz w:val="18"/>
                <w:szCs w:val="18"/>
                <w:rtl w:val="0"/>
              </w:rPr>
              <w:t xml:space="preserve">Business Banking &gt; Transfer &amp; Pay &gt; Recipient Management</w:t>
            </w:r>
            <w:r>
              <w:rPr>
                <w:rtl w:val="0"/>
              </w:rPr>
            </w:r>
          </w:p>
        </w:tc>
      </w:tr>
      <w:tr>
        <w:trPr>
          <w:cantSplit w:val="0"/>
          <w:tblHeader w:val="0"/>
        </w:trPr>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14">
            <w:pPr>
              <w:rPr/>
            </w:pPr>
            <w:r>
              <w:rPr>
                <w:rFonts w:ascii="Calibri" w:cs="Calibri" w:eastAsia="Calibri" w:hAnsi="Calibri"/>
                <w:color w:val="333333"/>
                <w:sz w:val="18"/>
                <w:szCs w:val="18"/>
                <w:rtl w:val="0"/>
              </w:rPr>
              <w:t xml:space="preserve">User Roles</w:t>
            </w:r>
            <w:r>
              <w:rPr>
                <w:rtl w:val="0"/>
              </w:rPr>
            </w:r>
          </w:p>
        </w:tc>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15">
            <w:pPr>
              <w:rPr/>
            </w:pPr>
            <w:r>
              <w:rPr>
                <w:rFonts w:ascii="Calibri" w:cs="Calibri" w:eastAsia="Calibri" w:hAnsi="Calibri"/>
                <w:color w:val="333333"/>
                <w:sz w:val="18"/>
                <w:szCs w:val="18"/>
                <w:rtl w:val="0"/>
              </w:rPr>
              <w:t xml:space="preserve">Business Admin, Authorized Signer</w:t>
            </w:r>
            <w:r>
              <w:rPr>
                <w:rtl w:val="0"/>
              </w:rPr>
            </w:r>
          </w:p>
        </w:tc>
      </w:tr>
      <w:tr>
        <w:trPr>
          <w:cantSplit w:val="0"/>
          <w:tblHeader w:val="0"/>
        </w:trPr>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16">
            <w:pPr>
              <w:rPr/>
            </w:pPr>
            <w:r>
              <w:rPr>
                <w:rFonts w:ascii="Calibri" w:cs="Calibri" w:eastAsia="Calibri" w:hAnsi="Calibri"/>
                <w:color w:val="333333"/>
                <w:sz w:val="18"/>
                <w:szCs w:val="18"/>
                <w:rtl w:val="0"/>
              </w:rPr>
              <w:t xml:space="preserve">Payment Types</w:t>
            </w:r>
            <w:r>
              <w:rPr>
                <w:rtl w:val="0"/>
              </w:rPr>
            </w:r>
          </w:p>
        </w:tc>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17">
            <w:pPr>
              <w:rPr/>
            </w:pPr>
            <w:r>
              <w:rPr>
                <w:rFonts w:ascii="Calibri" w:cs="Calibri" w:eastAsia="Calibri" w:hAnsi="Calibri"/>
                <w:color w:val="333333"/>
                <w:sz w:val="18"/>
                <w:szCs w:val="18"/>
                <w:rtl w:val="0"/>
              </w:rPr>
              <w:t xml:space="preserve">Within CU, ACH, Domestic Wire (per account)</w:t>
            </w:r>
            <w:r>
              <w:rPr>
                <w:rtl w:val="0"/>
              </w:rPr>
            </w:r>
          </w:p>
        </w:tc>
      </w:tr>
      <w:tr>
        <w:trPr>
          <w:cantSplit w:val="0"/>
          <w:tblHeader w:val="0"/>
        </w:trPr>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18">
            <w:pPr>
              <w:rPr/>
            </w:pPr>
            <w:r>
              <w:rPr>
                <w:rFonts w:ascii="Calibri" w:cs="Calibri" w:eastAsia="Calibri" w:hAnsi="Calibri"/>
                <w:color w:val="333333"/>
                <w:sz w:val="18"/>
                <w:szCs w:val="18"/>
                <w:rtl w:val="0"/>
              </w:rPr>
              <w:t xml:space="preserve">Key Actions</w:t>
            </w:r>
            <w:r>
              <w:rPr>
                <w:rtl w:val="0"/>
              </w:rPr>
            </w:r>
          </w:p>
        </w:tc>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19">
            <w:pPr>
              <w:rPr/>
            </w:pPr>
            <w:r>
              <w:rPr>
                <w:rFonts w:ascii="Calibri" w:cs="Calibri" w:eastAsia="Calibri" w:hAnsi="Calibri"/>
                <w:color w:val="333333"/>
                <w:sz w:val="18"/>
                <w:szCs w:val="18"/>
                <w:rtl w:val="0"/>
              </w:rPr>
              <w:t xml:space="preserve">Open Existing Recipient, Add Account, Save</w:t>
            </w:r>
            <w:r>
              <w:rPr>
                <w:rtl w:val="0"/>
              </w:rPr>
            </w:r>
          </w:p>
        </w:tc>
      </w:tr>
      <w:tr>
        <w:trPr>
          <w:cantSplit w:val="0"/>
          <w:tblHeader w:val="0"/>
        </w:trPr>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1A">
            <w:pPr>
              <w:rPr/>
            </w:pPr>
            <w:r>
              <w:rPr>
                <w:rFonts w:ascii="Calibri" w:cs="Calibri" w:eastAsia="Calibri" w:hAnsi="Calibri"/>
                <w:color w:val="333333"/>
                <w:sz w:val="18"/>
                <w:szCs w:val="18"/>
                <w:rtl w:val="0"/>
              </w:rPr>
              <w:t xml:space="preserve">Account Limit</w:t>
            </w:r>
            <w:r>
              <w:rPr>
                <w:rtl w:val="0"/>
              </w:rPr>
            </w:r>
          </w:p>
        </w:tc>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1B">
            <w:pPr>
              <w:rPr/>
            </w:pPr>
            <w:r>
              <w:rPr>
                <w:rFonts w:ascii="Calibri" w:cs="Calibri" w:eastAsia="Calibri" w:hAnsi="Calibri"/>
                <w:color w:val="333333"/>
                <w:sz w:val="18"/>
                <w:szCs w:val="18"/>
                <w:rtl w:val="0"/>
              </w:rPr>
              <w:t xml:space="preserve">Multiple accounts per recipient (no fixed cap)</w:t>
            </w:r>
            <w:r>
              <w:rPr>
                <w:rtl w:val="0"/>
              </w:rPr>
            </w:r>
          </w:p>
        </w:tc>
      </w:tr>
      <w:tr>
        <w:trPr>
          <w:cantSplit w:val="0"/>
          <w:tblHeader w:val="0"/>
        </w:trPr>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1C">
            <w:pPr>
              <w:rPr/>
            </w:pPr>
            <w:r>
              <w:rPr>
                <w:rFonts w:ascii="Calibri" w:cs="Calibri" w:eastAsia="Calibri" w:hAnsi="Calibri"/>
                <w:color w:val="333333"/>
                <w:sz w:val="18"/>
                <w:szCs w:val="18"/>
                <w:rtl w:val="0"/>
              </w:rPr>
              <w:t xml:space="preserve">Business Value</w:t>
            </w:r>
            <w:r>
              <w:rPr>
                <w:rtl w:val="0"/>
              </w:rPr>
            </w:r>
          </w:p>
        </w:tc>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1D">
            <w:pPr>
              <w:rPr/>
            </w:pPr>
            <w:r>
              <w:rPr>
                <w:rFonts w:ascii="Calibri" w:cs="Calibri" w:eastAsia="Calibri" w:hAnsi="Calibri"/>
                <w:color w:val="333333"/>
                <w:sz w:val="18"/>
                <w:szCs w:val="18"/>
                <w:rtl w:val="0"/>
              </w:rPr>
              <w:t xml:space="preserve">Consolidates all accounts for a payee under one recipient record</w:t>
            </w:r>
            <w:r>
              <w:rPr>
                <w:rtl w:val="0"/>
              </w:rPr>
            </w:r>
          </w:p>
        </w:tc>
      </w:tr>
    </w:tbl>
    <w:p w:rsidR="00000000" w:rsidDel="00000000" w:rsidP="00000000" w:rsidRDefault="00000000" w:rsidRPr="00000000" w14:paraId="0000001E">
      <w:pPr>
        <w:shd w:fill="1c3f6e" w:val="clear"/>
        <w:spacing w:after="120" w:before="280" w:lineRule="auto"/>
        <w:ind w:left="216" w:firstLine="0"/>
        <w:rPr/>
      </w:pPr>
      <w:r>
        <w:rPr>
          <w:rFonts w:ascii="Calibri" w:cs="Calibri" w:eastAsia="Calibri" w:hAnsi="Calibri"/>
          <w:b w:val="1"/>
          <w:bCs w:val="1"/>
          <w:color w:val="ffffff"/>
          <w:sz w:val="26"/>
          <w:szCs w:val="26"/>
          <w:rtl w:val="0"/>
        </w:rPr>
        <w:t xml:space="preserve">  02  STEP-BY-STEP GUIDE</w:t>
      </w:r>
      <w:r>
        <w:rPr>
          <w:rtl w:val="0"/>
        </w:rPr>
      </w:r>
    </w:p>
    <w:p w:rsidR="00000000" w:rsidDel="00000000" w:rsidP="00000000" w:rsidRDefault="00000000" w:rsidRPr="00000000" w14:paraId="0000001F">
      <w:pPr>
        <w:spacing w:after="60" w:before="0" w:lineRule="auto"/>
        <w:rPr/>
      </w:pPr>
      <w:r>
        <w:rPr>
          <w:rtl w:val="0"/>
        </w:rPr>
      </w:r>
    </w:p>
    <w:p w:rsidR="00000000" w:rsidDel="00000000" w:rsidP="00000000" w:rsidRDefault="00000000" w:rsidRPr="00000000" w14:paraId="00000020">
      <w:pPr>
        <w:spacing w:after="60" w:before="0" w:lineRule="auto"/>
        <w:ind w:left="360" w:firstLine="0"/>
        <w:rPr/>
      </w:pPr>
      <w:r>
        <w:rPr>
          <w:rFonts w:ascii="Calibri" w:cs="Calibri" w:eastAsia="Calibri" w:hAnsi="Calibri"/>
          <w:i w:val="1"/>
          <w:iCs w:val="1"/>
          <w:color w:val="555555"/>
          <w:sz w:val="18"/>
          <w:szCs w:val="18"/>
          <w:rtl w:val="0"/>
        </w:rPr>
        <w:t xml:space="preserve">Navigation: Dashboard &gt; Business Banking &gt; Transfer &amp; Pay &gt; Recipient Management &gt; [Select existing recipient] &gt; + Add Account.</w:t>
      </w:r>
      <w:r>
        <w:rPr>
          <w:rtl w:val="0"/>
        </w:rPr>
      </w:r>
    </w:p>
    <w:p w:rsidR="00000000" w:rsidDel="00000000" w:rsidP="00000000" w:rsidRDefault="00000000" w:rsidRPr="00000000" w14:paraId="00000021">
      <w:pPr>
        <w:spacing w:after="80" w:before="0" w:lineRule="auto"/>
        <w:rPr/>
      </w:pPr>
      <w:r>
        <w:rPr>
          <w:rtl w:val="0"/>
        </w:rPr>
      </w:r>
    </w:p>
    <w:p w:rsidR="00000000" w:rsidDel="00000000" w:rsidP="00000000" w:rsidRDefault="00000000" w:rsidRPr="00000000" w14:paraId="00000022">
      <w:pPr>
        <w:pBdr>
          <w:bottom w:color="1c3f6e" w:space="0" w:sz="4" w:val="single"/>
        </w:pBdr>
        <w:spacing w:after="60" w:before="200" w:lineRule="auto"/>
        <w:rPr/>
      </w:pPr>
      <w:r>
        <w:rPr>
          <w:rFonts w:ascii="Calibri" w:cs="Calibri" w:eastAsia="Calibri" w:hAnsi="Calibri"/>
          <w:b w:val="1"/>
          <w:bCs w:val="1"/>
          <w:color w:val="1c3f6e"/>
          <w:sz w:val="22"/>
          <w:szCs w:val="22"/>
          <w:rtl w:val="0"/>
        </w:rPr>
        <w:t xml:space="preserve">Step 1 — Dashboard</w:t>
      </w:r>
      <w:r>
        <w:rPr>
          <w:rtl w:val="0"/>
        </w:rPr>
      </w:r>
    </w:p>
    <w:p w:rsidR="00000000" w:rsidDel="00000000" w:rsidP="00000000" w:rsidRDefault="00000000" w:rsidRPr="00000000" w14:paraId="00000023">
      <w:pPr>
        <w:spacing w:after="100" w:before="60" w:lineRule="auto"/>
        <w:rPr/>
      </w:pPr>
      <w:r>
        <w:rPr>
          <w:rFonts w:ascii="Calibri" w:cs="Calibri" w:eastAsia="Calibri" w:hAnsi="Calibri"/>
          <w:color w:val="333333"/>
          <w:sz w:val="20"/>
          <w:szCs w:val="20"/>
          <w:rtl w:val="0"/>
        </w:rPr>
        <w:t xml:space="preserve">The business admin logs into the nFinia platform and lands on the personalized dashboard, which presents a real-time view of all account balances, upcoming loan obligations, and a Quick Transfer widget. From here, the admin navigates to Business Banking to locate an existing recipient and add a second payment account to their profile.</w:t>
      </w:r>
      <w:r>
        <w:rPr>
          <w:rtl w:val="0"/>
        </w:rPr>
      </w:r>
    </w:p>
    <w:p w:rsidR="00000000" w:rsidDel="00000000" w:rsidP="00000000" w:rsidRDefault="00000000" w:rsidRPr="00000000" w14:paraId="00000024">
      <w:pPr>
        <w:spacing w:after="60" w:before="100" w:lineRule="auto"/>
        <w:jc w:val="center"/>
        <w:rPr/>
      </w:pPr>
      <w:r>
        <w:rPr/>
        <w:drawing>
          <wp:inline distB="0" distT="0" distL="114300" distR="114300">
            <wp:extent cx="5486400" cy="7790433"/>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486400" cy="7790433"/>
                    </a:xfrm>
                    <a:prstGeom prst="rect"/>
                    <a:ln/>
                  </pic:spPr>
                </pic:pic>
              </a:graphicData>
            </a:graphic>
          </wp:inline>
        </w:drawing>
      </w:r>
      <w:r>
        <w:rPr>
          <w:rtl w:val="0"/>
        </w:rPr>
      </w:r>
    </w:p>
    <w:p w:rsidR="00000000" w:rsidDel="00000000" w:rsidP="00000000" w:rsidRDefault="00000000" w:rsidRPr="00000000" w14:paraId="00000025">
      <w:pPr>
        <w:spacing w:after="100" w:before="0" w:lineRule="auto"/>
        <w:jc w:val="center"/>
        <w:rPr/>
      </w:pPr>
      <w:r>
        <w:rPr>
          <w:rFonts w:ascii="Calibri" w:cs="Calibri" w:eastAsia="Calibri" w:hAnsi="Calibri"/>
          <w:i w:val="1"/>
          <w:iCs w:val="1"/>
          <w:color w:val="555555"/>
          <w:sz w:val="16"/>
          <w:szCs w:val="16"/>
          <w:rtl w:val="0"/>
        </w:rPr>
        <w:t xml:space="preserve">Step 1: Dashboard</w:t>
      </w:r>
      <w:r>
        <w:rPr>
          <w:rtl w:val="0"/>
        </w:rPr>
      </w:r>
    </w:p>
    <w:p w:rsidR="00000000" w:rsidDel="00000000" w:rsidP="00000000" w:rsidRDefault="00000000" w:rsidRPr="00000000" w14:paraId="00000026">
      <w:pPr>
        <w:spacing w:after="80" w:before="0" w:lineRule="auto"/>
        <w:rPr/>
      </w:pPr>
      <w:r>
        <w:rPr>
          <w:rtl w:val="0"/>
        </w:rPr>
      </w:r>
    </w:p>
    <w:p w:rsidR="00000000" w:rsidDel="00000000" w:rsidP="00000000" w:rsidRDefault="00000000" w:rsidRPr="00000000" w14:paraId="00000027">
      <w:pPr>
        <w:pBdr>
          <w:bottom w:color="1c3f6e" w:space="0" w:sz="4" w:val="single"/>
        </w:pBdr>
        <w:spacing w:after="60" w:before="200" w:lineRule="auto"/>
        <w:rPr/>
      </w:pPr>
      <w:r>
        <w:rPr>
          <w:rFonts w:ascii="Calibri" w:cs="Calibri" w:eastAsia="Calibri" w:hAnsi="Calibri"/>
          <w:b w:val="1"/>
          <w:bCs w:val="1"/>
          <w:color w:val="1c3f6e"/>
          <w:sz w:val="22"/>
          <w:szCs w:val="22"/>
          <w:rtl w:val="0"/>
        </w:rPr>
        <w:t xml:space="preserve">Step 2 — Business Banking Hub</w:t>
      </w:r>
      <w:r>
        <w:rPr>
          <w:rtl w:val="0"/>
        </w:rPr>
      </w:r>
    </w:p>
    <w:p w:rsidR="00000000" w:rsidDel="00000000" w:rsidP="00000000" w:rsidRDefault="00000000" w:rsidRPr="00000000" w14:paraId="00000028">
      <w:pPr>
        <w:spacing w:after="100" w:before="60" w:lineRule="auto"/>
        <w:rPr/>
      </w:pPr>
      <w:r>
        <w:rPr>
          <w:rFonts w:ascii="Calibri" w:cs="Calibri" w:eastAsia="Calibri" w:hAnsi="Calibri"/>
          <w:color w:val="333333"/>
          <w:sz w:val="20"/>
          <w:szCs w:val="20"/>
          <w:rtl w:val="0"/>
        </w:rPr>
        <w:t xml:space="preserve">The Business Banking hub serves as the centralized navigation layer for all commercial payment and administrative operations. The admin navigates to Recipient Management via Transfer &amp; Pay to locate the existing payee and extend their profile with an additional linked account.</w:t>
      </w:r>
      <w:r>
        <w:rPr>
          <w:rtl w:val="0"/>
        </w:rPr>
      </w:r>
    </w:p>
    <w:p w:rsidR="00000000" w:rsidDel="00000000" w:rsidP="00000000" w:rsidRDefault="00000000" w:rsidRPr="00000000" w14:paraId="00000029">
      <w:pPr>
        <w:spacing w:after="60" w:before="100" w:lineRule="auto"/>
        <w:jc w:val="center"/>
        <w:rPr/>
      </w:pPr>
      <w:r>
        <w:rPr/>
        <w:drawing>
          <wp:inline distB="0" distT="0" distL="114300" distR="114300">
            <wp:extent cx="5486400" cy="6835723"/>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486400" cy="6835723"/>
                    </a:xfrm>
                    <a:prstGeom prst="rect"/>
                    <a:ln/>
                  </pic:spPr>
                </pic:pic>
              </a:graphicData>
            </a:graphic>
          </wp:inline>
        </w:drawing>
      </w:r>
      <w:r>
        <w:rPr>
          <w:rtl w:val="0"/>
        </w:rPr>
      </w:r>
    </w:p>
    <w:p w:rsidR="00000000" w:rsidDel="00000000" w:rsidP="00000000" w:rsidRDefault="00000000" w:rsidRPr="00000000" w14:paraId="0000002A">
      <w:pPr>
        <w:spacing w:after="100" w:before="0" w:lineRule="auto"/>
        <w:jc w:val="center"/>
        <w:rPr/>
      </w:pPr>
      <w:r>
        <w:rPr>
          <w:rFonts w:ascii="Calibri" w:cs="Calibri" w:eastAsia="Calibri" w:hAnsi="Calibri"/>
          <w:i w:val="1"/>
          <w:iCs w:val="1"/>
          <w:color w:val="555555"/>
          <w:sz w:val="16"/>
          <w:szCs w:val="16"/>
          <w:rtl w:val="0"/>
        </w:rPr>
        <w:t xml:space="preserve">Step 2: Business Banking Hub</w:t>
      </w:r>
      <w:r>
        <w:rPr>
          <w:rtl w:val="0"/>
        </w:rPr>
      </w:r>
    </w:p>
    <w:p w:rsidR="00000000" w:rsidDel="00000000" w:rsidP="00000000" w:rsidRDefault="00000000" w:rsidRPr="00000000" w14:paraId="0000002B">
      <w:pPr>
        <w:spacing w:after="80" w:before="0" w:lineRule="auto"/>
        <w:rPr/>
      </w:pPr>
      <w:r>
        <w:rPr>
          <w:rtl w:val="0"/>
        </w:rPr>
      </w:r>
    </w:p>
    <w:p w:rsidR="00000000" w:rsidDel="00000000" w:rsidP="00000000" w:rsidRDefault="00000000" w:rsidRPr="00000000" w14:paraId="0000002C">
      <w:pPr>
        <w:pBdr>
          <w:bottom w:color="1c3f6e" w:space="0" w:sz="4" w:val="single"/>
        </w:pBdr>
        <w:spacing w:after="60" w:before="200" w:lineRule="auto"/>
        <w:rPr/>
      </w:pPr>
      <w:r>
        <w:rPr>
          <w:rFonts w:ascii="Calibri" w:cs="Calibri" w:eastAsia="Calibri" w:hAnsi="Calibri"/>
          <w:b w:val="1"/>
          <w:bCs w:val="1"/>
          <w:color w:val="1c3f6e"/>
          <w:sz w:val="22"/>
          <w:szCs w:val="22"/>
          <w:rtl w:val="0"/>
        </w:rPr>
        <w:t xml:space="preserve">Step 3 — Transfer Account Management</w:t>
      </w:r>
      <w:r>
        <w:rPr>
          <w:rtl w:val="0"/>
        </w:rPr>
      </w:r>
    </w:p>
    <w:p w:rsidR="00000000" w:rsidDel="00000000" w:rsidP="00000000" w:rsidRDefault="00000000" w:rsidRPr="00000000" w14:paraId="0000002D">
      <w:pPr>
        <w:spacing w:after="100" w:before="60" w:lineRule="auto"/>
        <w:rPr/>
      </w:pPr>
      <w:r>
        <w:rPr>
          <w:rFonts w:ascii="Calibri" w:cs="Calibri" w:eastAsia="Calibri" w:hAnsi="Calibri"/>
          <w:color w:val="333333"/>
          <w:sz w:val="20"/>
          <w:szCs w:val="20"/>
          <w:rtl w:val="0"/>
        </w:rPr>
        <w:t xml:space="preserve">The Transfer Account Management screen lists all saved recipients associated with the business. The admin locates the existing recipient — Jamie Smith — and clicks their record to open the Transfer Account Details view, where additional accounts can be added.</w:t>
      </w:r>
      <w:r>
        <w:rPr>
          <w:rtl w:val="0"/>
        </w:rPr>
      </w:r>
    </w:p>
    <w:p w:rsidR="00000000" w:rsidDel="00000000" w:rsidP="00000000" w:rsidRDefault="00000000" w:rsidRPr="00000000" w14:paraId="0000002E">
      <w:pPr>
        <w:spacing w:after="60" w:before="100" w:lineRule="auto"/>
        <w:jc w:val="center"/>
        <w:rPr/>
      </w:pPr>
      <w:r>
        <w:rPr/>
        <w:drawing>
          <wp:inline distB="0" distT="0" distL="114300" distR="114300">
            <wp:extent cx="5486400" cy="7357631"/>
            <wp:effectExtent b="0" l="0" r="0" t="0"/>
            <wp:docPr id="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486400" cy="7357631"/>
                    </a:xfrm>
                    <a:prstGeom prst="rect"/>
                    <a:ln/>
                  </pic:spPr>
                </pic:pic>
              </a:graphicData>
            </a:graphic>
          </wp:inline>
        </w:drawing>
      </w:r>
      <w:r>
        <w:rPr>
          <w:rtl w:val="0"/>
        </w:rPr>
      </w:r>
    </w:p>
    <w:p w:rsidR="00000000" w:rsidDel="00000000" w:rsidP="00000000" w:rsidRDefault="00000000" w:rsidRPr="00000000" w14:paraId="0000002F">
      <w:pPr>
        <w:spacing w:after="100" w:before="0" w:lineRule="auto"/>
        <w:jc w:val="center"/>
        <w:rPr/>
      </w:pPr>
      <w:r>
        <w:rPr>
          <w:rFonts w:ascii="Calibri" w:cs="Calibri" w:eastAsia="Calibri" w:hAnsi="Calibri"/>
          <w:i w:val="1"/>
          <w:iCs w:val="1"/>
          <w:color w:val="555555"/>
          <w:sz w:val="16"/>
          <w:szCs w:val="16"/>
          <w:rtl w:val="0"/>
        </w:rPr>
        <w:t xml:space="preserve">Step 3: Transfer Account Management</w:t>
      </w:r>
      <w:r>
        <w:rPr>
          <w:rtl w:val="0"/>
        </w:rPr>
      </w:r>
    </w:p>
    <w:p w:rsidR="00000000" w:rsidDel="00000000" w:rsidP="00000000" w:rsidRDefault="00000000" w:rsidRPr="00000000" w14:paraId="00000030">
      <w:pPr>
        <w:spacing w:after="80" w:before="0" w:lineRule="auto"/>
        <w:rPr/>
      </w:pPr>
      <w:r>
        <w:rPr>
          <w:rtl w:val="0"/>
        </w:rPr>
      </w:r>
    </w:p>
    <w:p w:rsidR="00000000" w:rsidDel="00000000" w:rsidP="00000000" w:rsidRDefault="00000000" w:rsidRPr="00000000" w14:paraId="00000031">
      <w:pPr>
        <w:pBdr>
          <w:bottom w:color="1c3f6e" w:space="0" w:sz="4" w:val="single"/>
        </w:pBdr>
        <w:spacing w:after="60" w:before="200" w:lineRule="auto"/>
        <w:rPr/>
      </w:pPr>
      <w:r>
        <w:rPr>
          <w:rFonts w:ascii="Calibri" w:cs="Calibri" w:eastAsia="Calibri" w:hAnsi="Calibri"/>
          <w:b w:val="1"/>
          <w:bCs w:val="1"/>
          <w:color w:val="1c3f6e"/>
          <w:sz w:val="22"/>
          <w:szCs w:val="22"/>
          <w:rtl w:val="0"/>
        </w:rPr>
        <w:t xml:space="preserve">Step 4 — Transfer Account Details: Existing Account</w:t>
      </w:r>
      <w:r>
        <w:rPr>
          <w:rtl w:val="0"/>
        </w:rPr>
      </w:r>
    </w:p>
    <w:p w:rsidR="00000000" w:rsidDel="00000000" w:rsidP="00000000" w:rsidRDefault="00000000" w:rsidRPr="00000000" w14:paraId="00000032">
      <w:pPr>
        <w:spacing w:after="100" w:before="60" w:lineRule="auto"/>
        <w:rPr/>
      </w:pPr>
      <w:r>
        <w:rPr>
          <w:rFonts w:ascii="Calibri" w:cs="Calibri" w:eastAsia="Calibri" w:hAnsi="Calibri"/>
          <w:color w:val="333333"/>
          <w:sz w:val="20"/>
          <w:szCs w:val="20"/>
          <w:rtl w:val="0"/>
        </w:rPr>
        <w:t xml:space="preserve">The Transfer Account Details screen shows Jamie Smith’s current profile: one ACH account with nickname “Jamie” linked to BANK OF AMERICA, N.A., with a “Provide Funds” action available. The admin clicks “+ Add Account” to link a second payment account under the same recipient record — avoiding the need to create a duplicate payee entry.</w:t>
      </w:r>
      <w:r>
        <w:rPr>
          <w:rtl w:val="0"/>
        </w:rPr>
      </w:r>
    </w:p>
    <w:p w:rsidR="00000000" w:rsidDel="00000000" w:rsidP="00000000" w:rsidRDefault="00000000" w:rsidRPr="00000000" w14:paraId="00000033">
      <w:pPr>
        <w:spacing w:after="60" w:before="100" w:lineRule="auto"/>
        <w:jc w:val="center"/>
        <w:rPr/>
      </w:pPr>
      <w:r>
        <w:rPr/>
        <w:drawing>
          <wp:inline distB="0" distT="0" distL="114300" distR="114300">
            <wp:extent cx="5486400" cy="5014314"/>
            <wp:effectExtent b="0" l="0" r="0" t="0"/>
            <wp:docPr id="4"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486400" cy="5014314"/>
                    </a:xfrm>
                    <a:prstGeom prst="rect"/>
                    <a:ln/>
                  </pic:spPr>
                </pic:pic>
              </a:graphicData>
            </a:graphic>
          </wp:inline>
        </w:drawing>
      </w:r>
      <w:r>
        <w:rPr>
          <w:rtl w:val="0"/>
        </w:rPr>
      </w:r>
    </w:p>
    <w:p w:rsidR="00000000" w:rsidDel="00000000" w:rsidP="00000000" w:rsidRDefault="00000000" w:rsidRPr="00000000" w14:paraId="00000034">
      <w:pPr>
        <w:spacing w:after="100" w:before="0" w:lineRule="auto"/>
        <w:jc w:val="center"/>
        <w:rPr/>
      </w:pPr>
      <w:r>
        <w:rPr>
          <w:rFonts w:ascii="Calibri" w:cs="Calibri" w:eastAsia="Calibri" w:hAnsi="Calibri"/>
          <w:i w:val="1"/>
          <w:iCs w:val="1"/>
          <w:color w:val="555555"/>
          <w:sz w:val="16"/>
          <w:szCs w:val="16"/>
          <w:rtl w:val="0"/>
        </w:rPr>
        <w:t xml:space="preserve">Step 4: Transfer Account Details — One Account Saved</w:t>
      </w:r>
      <w:r>
        <w:rPr>
          <w:rtl w:val="0"/>
        </w:rPr>
      </w:r>
    </w:p>
    <w:p w:rsidR="00000000" w:rsidDel="00000000" w:rsidP="00000000" w:rsidRDefault="00000000" w:rsidRPr="00000000" w14:paraId="00000035">
      <w:pPr>
        <w:spacing w:after="80" w:before="0" w:lineRule="auto"/>
        <w:rPr/>
      </w:pPr>
      <w:r>
        <w:rPr>
          <w:rtl w:val="0"/>
        </w:rPr>
      </w:r>
    </w:p>
    <w:p w:rsidR="00000000" w:rsidDel="00000000" w:rsidP="00000000" w:rsidRDefault="00000000" w:rsidRPr="00000000" w14:paraId="00000036">
      <w:pPr>
        <w:pBdr>
          <w:bottom w:color="1c3f6e" w:space="0" w:sz="4" w:val="single"/>
        </w:pBdr>
        <w:spacing w:after="60" w:before="200" w:lineRule="auto"/>
        <w:rPr/>
      </w:pPr>
      <w:r>
        <w:rPr>
          <w:rFonts w:ascii="Calibri" w:cs="Calibri" w:eastAsia="Calibri" w:hAnsi="Calibri"/>
          <w:b w:val="1"/>
          <w:bCs w:val="1"/>
          <w:color w:val="1c3f6e"/>
          <w:sz w:val="22"/>
          <w:szCs w:val="22"/>
          <w:rtl w:val="0"/>
        </w:rPr>
        <w:t xml:space="preserve">Step 5 — Add Account: Second Account Details</w:t>
      </w:r>
      <w:r>
        <w:rPr>
          <w:rtl w:val="0"/>
        </w:rPr>
      </w:r>
    </w:p>
    <w:p w:rsidR="00000000" w:rsidDel="00000000" w:rsidP="00000000" w:rsidRDefault="00000000" w:rsidRPr="00000000" w14:paraId="00000037">
      <w:pPr>
        <w:spacing w:after="100" w:before="60" w:lineRule="auto"/>
        <w:rPr/>
      </w:pPr>
      <w:r>
        <w:rPr>
          <w:rFonts w:ascii="Calibri" w:cs="Calibri" w:eastAsia="Calibri" w:hAnsi="Calibri"/>
          <w:color w:val="333333"/>
          <w:sz w:val="20"/>
          <w:szCs w:val="20"/>
          <w:rtl w:val="0"/>
        </w:rPr>
        <w:t xml:space="preserve">The Add Account modal is completed for the second account: ACH payment type, account holder Jamie Smith, account number 123456, account type Savings, and routing number 081500875 — with the institution auto-resolved to BANK OF AMERICA via the institution search. The nickname “James” distinguishes this Savings account from the existing Checking account (“Jamie”) so the admin can identify the correct account at transfer time.</w:t>
      </w:r>
      <w:r>
        <w:rPr>
          <w:rtl w:val="0"/>
        </w:rPr>
      </w:r>
    </w:p>
    <w:p w:rsidR="00000000" w:rsidDel="00000000" w:rsidP="00000000" w:rsidRDefault="00000000" w:rsidRPr="00000000" w14:paraId="00000038">
      <w:pPr>
        <w:spacing w:after="60" w:before="100" w:lineRule="auto"/>
        <w:jc w:val="center"/>
        <w:rPr/>
      </w:pPr>
      <w:r>
        <w:rPr/>
        <w:drawing>
          <wp:inline distB="0" distT="0" distL="114300" distR="114300">
            <wp:extent cx="5486400" cy="4287047"/>
            <wp:effectExtent b="0" l="0" r="0" t="0"/>
            <wp:docPr id="5"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486400" cy="4287047"/>
                    </a:xfrm>
                    <a:prstGeom prst="rect"/>
                    <a:ln/>
                  </pic:spPr>
                </pic:pic>
              </a:graphicData>
            </a:graphic>
          </wp:inline>
        </w:drawing>
      </w:r>
      <w:r>
        <w:rPr>
          <w:rtl w:val="0"/>
        </w:rPr>
      </w:r>
    </w:p>
    <w:p w:rsidR="00000000" w:rsidDel="00000000" w:rsidP="00000000" w:rsidRDefault="00000000" w:rsidRPr="00000000" w14:paraId="00000039">
      <w:pPr>
        <w:spacing w:after="100" w:before="0" w:lineRule="auto"/>
        <w:jc w:val="center"/>
        <w:rPr/>
      </w:pPr>
      <w:r>
        <w:rPr>
          <w:rFonts w:ascii="Calibri" w:cs="Calibri" w:eastAsia="Calibri" w:hAnsi="Calibri"/>
          <w:i w:val="1"/>
          <w:iCs w:val="1"/>
          <w:color w:val="555555"/>
          <w:sz w:val="16"/>
          <w:szCs w:val="16"/>
          <w:rtl w:val="0"/>
        </w:rPr>
        <w:t xml:space="preserve">Step 5: Add Account — Second Account (Savings, ACH)</w:t>
      </w:r>
      <w:r>
        <w:rPr>
          <w:rtl w:val="0"/>
        </w:rPr>
      </w:r>
    </w:p>
    <w:p w:rsidR="00000000" w:rsidDel="00000000" w:rsidP="00000000" w:rsidRDefault="00000000" w:rsidRPr="00000000" w14:paraId="0000003A">
      <w:pPr>
        <w:spacing w:after="80" w:before="0" w:lineRule="auto"/>
        <w:rPr/>
      </w:pPr>
      <w:r>
        <w:rPr>
          <w:rtl w:val="0"/>
        </w:rPr>
      </w:r>
    </w:p>
    <w:p w:rsidR="00000000" w:rsidDel="00000000" w:rsidP="00000000" w:rsidRDefault="00000000" w:rsidRPr="00000000" w14:paraId="0000003B">
      <w:pPr>
        <w:pBdr>
          <w:bottom w:color="1c3f6e" w:space="0" w:sz="4" w:val="single"/>
        </w:pBdr>
        <w:spacing w:after="60" w:before="200" w:lineRule="auto"/>
        <w:rPr/>
      </w:pPr>
      <w:r>
        <w:rPr>
          <w:rFonts w:ascii="Calibri" w:cs="Calibri" w:eastAsia="Calibri" w:hAnsi="Calibri"/>
          <w:b w:val="1"/>
          <w:bCs w:val="1"/>
          <w:color w:val="1c3f6e"/>
          <w:sz w:val="22"/>
          <w:szCs w:val="22"/>
          <w:rtl w:val="0"/>
        </w:rPr>
        <w:t xml:space="preserve">Step 6 — Transfer Account Details: Two Accounts Saved</w:t>
      </w:r>
      <w:r>
        <w:rPr>
          <w:rtl w:val="0"/>
        </w:rPr>
      </w:r>
    </w:p>
    <w:p w:rsidR="00000000" w:rsidDel="00000000" w:rsidP="00000000" w:rsidRDefault="00000000" w:rsidRPr="00000000" w14:paraId="0000003C">
      <w:pPr>
        <w:spacing w:after="100" w:before="60" w:lineRule="auto"/>
        <w:rPr/>
      </w:pPr>
      <w:r>
        <w:rPr>
          <w:rFonts w:ascii="Calibri" w:cs="Calibri" w:eastAsia="Calibri" w:hAnsi="Calibri"/>
          <w:color w:val="333333"/>
          <w:sz w:val="20"/>
          <w:szCs w:val="20"/>
          <w:rtl w:val="0"/>
        </w:rPr>
        <w:t xml:space="preserve">With both accounts saved, the Transfer Account Details screen now displays Jamie Smith with two independently actionable accounts: “Jamie” (Checking) and “James” (Savings), both at BANK OF AMERICA, N.A. Each account carries its own “Provide Funds” button, allowing the admin to direct payments to either account without modifying the recipient record — a key capability for vendors or employees with multiple bank accounts.</w:t>
      </w:r>
      <w:r>
        <w:rPr>
          <w:rtl w:val="0"/>
        </w:rPr>
      </w:r>
    </w:p>
    <w:p w:rsidR="00000000" w:rsidDel="00000000" w:rsidP="00000000" w:rsidRDefault="00000000" w:rsidRPr="00000000" w14:paraId="0000003D">
      <w:pPr>
        <w:spacing w:after="60" w:before="100" w:lineRule="auto"/>
        <w:jc w:val="center"/>
        <w:rPr/>
      </w:pPr>
      <w:r>
        <w:rPr/>
        <w:drawing>
          <wp:inline distB="0" distT="0" distL="114300" distR="114300">
            <wp:extent cx="5486400" cy="5320532"/>
            <wp:effectExtent b="0" l="0" r="0" t="0"/>
            <wp:docPr id="6"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486400" cy="5320532"/>
                    </a:xfrm>
                    <a:prstGeom prst="rect"/>
                    <a:ln/>
                  </pic:spPr>
                </pic:pic>
              </a:graphicData>
            </a:graphic>
          </wp:inline>
        </w:drawing>
      </w:r>
      <w:r>
        <w:rPr>
          <w:rtl w:val="0"/>
        </w:rPr>
      </w:r>
    </w:p>
    <w:p w:rsidR="00000000" w:rsidDel="00000000" w:rsidP="00000000" w:rsidRDefault="00000000" w:rsidRPr="00000000" w14:paraId="0000003E">
      <w:pPr>
        <w:spacing w:after="100" w:before="0" w:lineRule="auto"/>
        <w:jc w:val="center"/>
        <w:rPr/>
      </w:pPr>
      <w:r>
        <w:rPr>
          <w:rFonts w:ascii="Calibri" w:cs="Calibri" w:eastAsia="Calibri" w:hAnsi="Calibri"/>
          <w:i w:val="1"/>
          <w:iCs w:val="1"/>
          <w:color w:val="555555"/>
          <w:sz w:val="16"/>
          <w:szCs w:val="16"/>
          <w:rtl w:val="0"/>
        </w:rPr>
        <w:t xml:space="preserve">Step 6: Transfer Account Details — Two Accounts Saved</w:t>
      </w:r>
      <w:r>
        <w:rPr>
          <w:rtl w:val="0"/>
        </w:rPr>
      </w:r>
    </w:p>
    <w:sectPr>
      <w:pgSz w:h="15840" w:w="12240" w:orient="portrait"/>
      <w:pgMar w:bottom="1080" w:top="1080" w:left="1080" w:right="108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333333"/>
      </w:rPr>
    </w:rPrDefault>
    <w:pPrDefault>
      <w:pPr>
        <w:spacing w:after="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FsPrSiLOf60DDWjxq1NkmNzSfw==">CgMxLjA4AHIhMUY4NHlGdWZ3VmRsbF9JdTBRVHRBUFJubmZZRXBZd2pI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