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p="http://schemas.openxmlformats.org/drawingml/2006/wordprocessingDrawing" xmlns:w="http://schemas.openxmlformats.org/wordprocessingml/2006/main">
  <w:body>
    <w:p>
      <w:pPr>
        <w:spacing w:before="0" w:after="0"/>
        <w:shd w:val="clear" w:color="auto" w:fill="1C3F6E"/>
      </w:pPr>
      <w:r>
        <w:rPr>
          <w:rFonts w:ascii="Calibri" w:hAnsi="Calibri"/>
          <w:b/>
          <w:bCs/>
          <w:color w:val="B0C8E8"/>
          <w:sz w:val="16"/>
          <w:szCs w:val="16"/>
        </w:rPr>
        <w:t xml:space="preserve">  SUMMERVILLE CREDIT UNION  ·  CONSOLIDATED MEMBER GUIDE  ·  CSUM-27 of 30</w:t>
      </w:r>
    </w:p>
    <w:p>
      <w:pPr>
        <w:spacing w:before="160" w:after="40"/>
      </w:pPr>
      <w:r>
        <w:rPr>
          <w:rFonts w:ascii="Calibri" w:hAnsi="Calibri"/>
          <w:b/>
          <w:bCs/>
          <w:color w:val="1C3F6E"/>
          <w:sz w:val="44"/>
          <w:szCs w:val="44"/>
        </w:rPr>
        <w:t xml:space="preserve">Credit Score &amp; Financial Tools</w:t>
      </w:r>
    </w:p>
    <w:p>
      <w:pPr>
        <w:spacing w:before="0" w:after="200"/>
        <w:pBdr>
          <w:bottom w:val="single" w:sz="18" w:color="E08C3C"/>
        </w:pBdr>
      </w:pPr>
    </w:p>
    <w:p>
      <w:pPr>
        <w:spacing w:before="0" w:after="80"/>
      </w:pPr>
      <w:r>
        <w:rPr>
          <w:rFonts w:ascii="Calibri" w:hAnsi="Calibri"/>
          <w:color w:val="555555"/>
          <w:sz w:val="18"/>
          <w:szCs w:val="18"/>
        </w:rPr>
        <w:t xml:space="preserve">Module: nFinia Digital Banking &gt; More &gt; Credit Score / Financial Tools</w:t>
      </w:r>
    </w:p>
    <w:p>
      <w:pPr>
        <w:spacing w:before="0" w:after="160"/>
      </w:pPr>
      <w:r>
        <w:rPr>
          <w:rFonts w:ascii="Calibri" w:hAnsi="Calibri"/>
          <w:i/>
          <w:color w:val="777777"/>
          <w:sz w:val="16"/>
          <w:szCs w:val="16"/>
        </w:rPr>
        <w:t xml:space="preserve">Sources: Summerville Reports Series A (36 docs) + Series B (25 docs) | Features: nFinia Documentation Features Spreadsheet</w:t>
      </w:r>
    </w:p>
    <w:p>
      <w:pPr>
        <w:spacing w:before="280" w:after="120"/>
        <w:shd w:val="clear" w:color="auto" w:fill="1C3F6E"/>
        <w:ind w:left="216"/>
      </w:pPr>
      <w:r>
        <w:rPr>
          <w:rFonts w:ascii="Calibri" w:hAnsi="Calibri"/>
          <w:b/>
          <w:bCs/>
          <w:color w:val="FFFFFF"/>
          <w:sz w:val="26"/>
          <w:szCs w:val="26"/>
        </w:rPr>
        <w:t xml:space="preserve">  01  PRODUCT SUMMARY</w:t>
      </w:r>
    </w:p>
    <w:p>
      <w:pPr>
        <w:spacing w:before="0" w:after="80"/>
      </w:pPr>
    </w:p>
    <w:p>
      <w:pPr>
        <w:spacing w:before="0" w:after="140"/>
      </w:pPr>
      <w:r>
        <w:rPr>
          <w:rFonts w:ascii="Calibri" w:hAnsi="Calibri"/>
          <w:color w:val="333333"/>
          <w:sz w:val="20"/>
          <w:szCs w:val="20"/>
        </w:rPr>
        <w:t xml:space="preserve">The Credit Score feature gives members on-demand access to their latest credit score and credit report summary without impacting their credit rating. The score is retrieved via a soft pull from an integrated credit bureau partner. Members must provide consent during their first access; after that, the score is refreshed periodically automatically.</w:t>
      </w:r>
    </w:p>
    <w:p>
      <w:pPr>
        <w:spacing w:before="0" w:after="140"/>
      </w:pPr>
      <w:r>
        <w:rPr>
          <w:rFonts w:ascii="Calibri" w:hAnsi="Calibri"/>
          <w:color w:val="333333"/>
          <w:sz w:val="20"/>
          <w:szCs w:val="20"/>
        </w:rPr>
        <w:t xml:space="preserve">The credit score display includes the member's current score, score range, score rating, key factors affecting the score, and score history trend. FICO Score FAQs are available within the feature to help members understand what their score means and how to improve it.</w:t>
      </w:r>
    </w:p>
    <w:p>
      <w:pPr>
        <w:spacing w:before="0" w:after="140"/>
      </w:pPr>
      <w:r>
        <w:rPr>
          <w:rFonts w:ascii="Calibri" w:hAnsi="Calibri"/>
          <w:color w:val="333333"/>
          <w:sz w:val="20"/>
          <w:szCs w:val="20"/>
        </w:rPr>
        <w:t xml:space="preserve">Financial Tools (where available) provide additional money management capabilities including goals tracking, budget planning, and spending analysis linked to the member's transaction data. These tools help members connect their daily banking activity to longer-term financial goals.</w:t>
      </w:r>
    </w:p>
    <w:p>
      <w:pPr>
        <w:spacing w:before="0" w:after="80"/>
      </w:pPr>
    </w:p>
    <w:p>
      <w:pPr>
        <w:spacing w:before="240" w:after="80"/>
        <w:pBdr>
          <w:bottom w:val="single" w:sz="4" w:color="1C3F6E"/>
        </w:pBdr>
      </w:pPr>
      <w:r>
        <w:rPr>
          <w:rFonts w:ascii="Calibri" w:hAnsi="Calibri"/>
          <w:b/>
          <w:bCs/>
          <w:color w:val="1C3F6E"/>
          <w:sz w:val="22"/>
          <w:szCs w:val="22"/>
        </w:rPr>
        <w:t xml:space="preserve">At a Glance</w:t>
      </w:r>
    </w:p>
    <w:p>
      <w:pPr>
        <w:spacing w:before="0" w:after="60"/>
      </w:pPr>
    </w:p>
    <w:tbl>
      <w:tblPr>
        <w:tblW w:type="dxa" w:w="9360"/>
        <w:tblBorders>
          <w:top w:val="single" w:sz="4" w:color="D0D7E8"/>
          <w:left w:val="single" w:sz="4" w:color="D0D7E8"/>
          <w:bottom w:val="single" w:sz="4" w:color="D0D7E8"/>
          <w:right w:val="single" w:sz="4" w:color="D0D7E8"/>
          <w:insideH w:val="single" w:sz="4" w:color="D0D7E8"/>
          <w:insideV w:val="single" w:sz="4" w:color="D0D7E8"/>
        </w:tblBorders>
      </w:tblPr>
      <w:tblGrid>
        <w:gridCol w:w="2800"/>
        <w:gridCol w:w="6560"/>
      </w:tblGrid>
      <w:tr>
        <w:tc>
          <w:tcPr>
            <w:tcW w:type="dxa" w:w="28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Attribute</w:t>
            </w:r>
          </w:p>
        </w:tc>
        <w:tc>
          <w:tcPr>
            <w:tcW w:type="dxa" w:w="656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Detail</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Module</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More &gt; Credit Score / Financial Tools</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Credit Bureau</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Integrated third-party credit bureau (soft pull — no credit impact)</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First Access</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Consent screen required; thereafter auto-refreshed periodically</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Score Display</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Current score, rating, key factors, score history</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Financial Tools</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Goals, budgeting, spending analysis (availability varies)</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Related Reports</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CSUM-24 (My Insights), CSUM-03 (Account Overview)</w:t>
            </w:r>
          </w:p>
        </w:tc>
      </w:tr>
    </w:tbl>
    <w:p>
      <w:pPr>
        <w:spacing w:before="0" w:after="200"/>
      </w:pPr>
    </w:p>
    <w:p>
      <w:pPr>
        <w:spacing w:before="280" w:after="120"/>
        <w:shd w:val="clear" w:color="auto" w:fill="1C3F6E"/>
        <w:ind w:left="216"/>
      </w:pPr>
      <w:r>
        <w:rPr>
          <w:rFonts w:ascii="Calibri" w:hAnsi="Calibri"/>
          <w:b/>
          <w:bCs/>
          <w:color w:val="FFFFFF"/>
          <w:sz w:val="26"/>
          <w:szCs w:val="26"/>
        </w:rPr>
        <w:t xml:space="preserve">  02  KEY USE CASES</w:t>
      </w:r>
    </w:p>
    <w:p>
      <w:pPr>
        <w:spacing w:before="0" w:after="80"/>
      </w:pPr>
    </w:p>
    <w:tbl>
      <w:tblPr>
        <w:tblW w:type="dxa" w:w="9360"/>
        <w:tblBorders>
          <w:top w:val="single" w:sz="4" w:color="D0D7E8"/>
          <w:left w:val="single" w:sz="4" w:color="D0D7E8"/>
          <w:bottom w:val="single" w:sz="4" w:color="D0D7E8"/>
          <w:right w:val="single" w:sz="4" w:color="D0D7E8"/>
          <w:insideH w:val="single" w:sz="4" w:color="D0D7E8"/>
          <w:insideV w:val="single" w:sz="4" w:color="D0D7E8"/>
        </w:tblBorders>
      </w:tblPr>
      <w:tblGrid>
        <w:gridCol w:w="1800"/>
        <w:gridCol w:w="1600"/>
        <w:gridCol w:w="3000"/>
        <w:gridCol w:w="2960"/>
      </w:tblGrid>
      <w:tr>
        <w:tc>
          <w:tcPr>
            <w:tcW w:type="dxa" w:w="18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Use Case</w:t>
            </w:r>
          </w:p>
        </w:tc>
        <w:tc>
          <w:tcPr>
            <w:tcW w:type="dxa" w:w="16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Who Uses It</w:t>
            </w:r>
          </w:p>
        </w:tc>
        <w:tc>
          <w:tcPr>
            <w:tcW w:type="dxa" w:w="30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What They Do</w:t>
            </w:r>
          </w:p>
        </w:tc>
        <w:tc>
          <w:tcPr>
            <w:tcW w:type="dxa" w:w="296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Business Value</w:t>
            </w:r>
          </w:p>
        </w:tc>
      </w:tr>
      <w:tr>
        <w:tc>
          <w:tcPr>
            <w:tcW w:type="dxa" w:w="1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Check Credit Score</w:t>
            </w:r>
          </w:p>
        </w:tc>
        <w:tc>
          <w:tcPr>
            <w:tcW w:type="dxa" w:w="16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monitoring credit health</w:t>
            </w:r>
          </w:p>
        </w:tc>
        <w:tc>
          <w:tcPr>
            <w:tcW w:type="dxa" w:w="30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Open Credit Score &gt; accept consent &gt; view current score</w:t>
            </w:r>
          </w:p>
        </w:tc>
        <w:tc>
          <w:tcPr>
            <w:tcW w:type="dxa" w:w="29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Free on-demand credit monitoring without a hard inquiry or credit impact</w:t>
            </w:r>
          </w:p>
        </w:tc>
      </w:tr>
      <w:tr>
        <w:tc>
          <w:tcPr>
            <w:tcW w:type="dxa" w:w="1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Review Score Factors</w:t>
            </w:r>
          </w:p>
        </w:tc>
        <w:tc>
          <w:tcPr>
            <w:tcW w:type="dxa" w:w="16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working on credit improvement</w:t>
            </w:r>
          </w:p>
        </w:tc>
        <w:tc>
          <w:tcPr>
            <w:tcW w:type="dxa" w:w="30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Read the key factors section in Credit Score</w:t>
            </w:r>
          </w:p>
        </w:tc>
        <w:tc>
          <w:tcPr>
            <w:tcW w:type="dxa" w:w="29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Identifies specific factors to address for targeted score improvement</w:t>
            </w:r>
          </w:p>
        </w:tc>
      </w:tr>
      <w:tr>
        <w:tc>
          <w:tcPr>
            <w:tcW w:type="dxa" w:w="1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Set Financial Goals</w:t>
            </w:r>
          </w:p>
        </w:tc>
        <w:tc>
          <w:tcPr>
            <w:tcW w:type="dxa" w:w="16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planning savings targets</w:t>
            </w:r>
          </w:p>
        </w:tc>
        <w:tc>
          <w:tcPr>
            <w:tcW w:type="dxa" w:w="30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Open Financial Tools &gt; Goals &gt; set a savings goal with target amount</w:t>
            </w:r>
          </w:p>
        </w:tc>
        <w:tc>
          <w:tcPr>
            <w:tcW w:type="dxa" w:w="29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Connects daily banking behaviour to specific financial milestones</w:t>
            </w:r>
          </w:p>
        </w:tc>
      </w:tr>
      <w:tr>
        <w:tc>
          <w:tcPr>
            <w:tcW w:type="dxa" w:w="1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Understand FICO</w:t>
            </w:r>
          </w:p>
        </w:tc>
        <w:tc>
          <w:tcPr>
            <w:tcW w:type="dxa" w:w="16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new to credit monitoring</w:t>
            </w:r>
          </w:p>
        </w:tc>
        <w:tc>
          <w:tcPr>
            <w:tcW w:type="dxa" w:w="30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Open FICO FAQs from the Credit Score section</w:t>
            </w:r>
          </w:p>
        </w:tc>
        <w:tc>
          <w:tcPr>
            <w:tcW w:type="dxa" w:w="29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Educational resource explaining what the score means and how it is calculated</w:t>
            </w:r>
          </w:p>
        </w:tc>
      </w:tr>
    </w:tbl>
    <w:p>
      <w:pPr>
        <w:spacing w:before="0" w:after="200"/>
      </w:pPr>
    </w:p>
    <w:p>
      <w:pPr>
        <w:spacing w:before="280" w:after="120"/>
        <w:shd w:val="clear" w:color="auto" w:fill="1C3F6E"/>
        <w:ind w:left="216"/>
      </w:pPr>
      <w:r>
        <w:rPr>
          <w:rFonts w:ascii="Calibri" w:hAnsi="Calibri"/>
          <w:b/>
          <w:bCs/>
          <w:color w:val="FFFFFF"/>
          <w:sz w:val="26"/>
          <w:szCs w:val="26"/>
        </w:rPr>
        <w:t xml:space="preserve">  03  STEP-BY-STEP GUIDE</w:t>
      </w:r>
    </w:p>
    <w:p>
      <w:pPr>
        <w:spacing w:before="0" w:after="60"/>
      </w:pPr>
    </w:p>
    <w:p>
      <w:pPr>
        <w:spacing w:before="0" w:after="60"/>
        <w:ind w:left="360"/>
      </w:pPr>
      <w:r>
        <w:rPr>
          <w:rFonts w:ascii="Calibri" w:hAnsi="Calibri"/>
          <w:i/>
          <w:color w:val="555555"/>
          <w:sz w:val="18"/>
          <w:szCs w:val="18"/>
        </w:rPr>
        <w:t xml:space="preserve">Navigation: Dashboard &gt; More &gt; 'Credit Score' OR 'Financial Tools'.</w:t>
      </w:r>
    </w:p>
    <w:p>
      <w:pPr>
        <w:spacing w:before="200" w:after="60"/>
        <w:pBdr>
          <w:bottom w:val="single" w:sz="4" w:color="1C3F6E"/>
        </w:pBdr>
      </w:pPr>
      <w:r>
        <w:rPr>
          <w:rFonts w:ascii="Calibri" w:hAnsi="Calibri"/>
          <w:b/>
          <w:bCs/>
          <w:color w:val="1C3F6E"/>
          <w:sz w:val="22"/>
          <w:szCs w:val="22"/>
        </w:rPr>
        <w:t xml:space="preserve">Step 1 — Start from Dashboard</w:t>
      </w:r>
    </w:p>
    <w:p>
      <w:pPr>
        <w:spacing w:before="60" w:after="100"/>
      </w:pPr>
      <w:r>
        <w:rPr>
          <w:rFonts w:ascii="Calibri" w:hAnsi="Calibri"/>
          <w:color w:val="333333"/>
          <w:sz w:val="20"/>
          <w:szCs w:val="20"/>
        </w:rPr>
        <w:t xml:space="preserve">The member begins at the Dashboard after logging in. The Dashboard displays all account balances, upcoming payments, quick-action tiles, and the top navigation bar with links to Accounts, Move Money, and More.</w:t>
      </w:r>
    </w:p>
    <w:p>
      <w:pPr>
        <w:jc w:val="center"/>
        <w:spacing w:before="100" w:after="60"/>
      </w:pPr>
      <w:r>
        <w:drawing>
          <wp:inline xmlns:a="http://schemas.openxmlformats.org/drawingml/2006/main" xmlns:pic="http://schemas.openxmlformats.org/drawingml/2006/picture">
            <wp:extent cx="5486400" cy="6879431"/>
            <wp:docPr id="1" name="01_dashboard_home.png"/>
            <wp:cNvGraphicFramePr>
              <a:graphicFrameLocks noChangeAspect="1"/>
            </wp:cNvGraphicFramePr>
            <a:graphic>
              <a:graphicData uri="http://schemas.openxmlformats.org/drawingml/2006/picture">
                <pic:pic>
                  <pic:nvPicPr>
                    <pic:cNvPr id="0" name="01_dashboard_home.png"/>
                    <pic:cNvPicPr/>
                  </pic:nvPicPr>
                  <pic:blipFill>
                    <a:blip r:embed="rId3"/>
                    <a:stretch>
                      <a:fillRect/>
                    </a:stretch>
                  </pic:blipFill>
                  <pic:spPr>
                    <a:xfrm>
                      <a:off x="0" y="0"/>
                      <a:ext cx="5486400" cy="6879431"/>
                    </a:xfrm>
                    <a:prstGeom prst="rect"/>
                  </pic:spPr>
                </pic:pic>
              </a:graphicData>
            </a:graphic>
          </wp:inline>
        </w:drawing>
      </w:r>
    </w:p>
    <w:p>
      <w:pPr>
        <w:jc w:val="center"/>
        <w:spacing w:before="0" w:after="100"/>
      </w:pPr>
      <w:r>
        <w:rPr>
          <w:rFonts w:ascii="Calibri" w:hAnsi="Calibri"/>
          <w:i/>
          <w:color w:val="555555"/>
          <w:sz w:val="16"/>
          <w:szCs w:val="16"/>
        </w:rPr>
        <w:t xml:space="preserve">Step 1: Start from Dashboard</w:t>
      </w:r>
    </w:p>
    <w:p>
      <w:pPr>
        <w:spacing w:before="0" w:after="80"/>
      </w:pPr>
    </w:p>
    <w:p>
      <w:pPr>
        <w:spacing w:before="200" w:after="60"/>
        <w:pBdr>
          <w:bottom w:val="single" w:sz="4" w:color="1C3F6E"/>
        </w:pBdr>
      </w:pPr>
      <w:r>
        <w:rPr>
          <w:rFonts w:ascii="Calibri" w:hAnsi="Calibri"/>
          <w:b/>
          <w:bCs/>
          <w:color w:val="1C3F6E"/>
          <w:sz w:val="22"/>
          <w:szCs w:val="22"/>
        </w:rPr>
        <w:t xml:space="preserve">Step 2 — Open the More Menu</w:t>
      </w:r>
    </w:p>
    <w:p>
      <w:pPr>
        <w:spacing w:before="60" w:after="100"/>
      </w:pPr>
      <w:r>
        <w:rPr>
          <w:rFonts w:ascii="Calibri" w:hAnsi="Calibri"/>
          <w:color w:val="333333"/>
          <w:sz w:val="20"/>
          <w:szCs w:val="20"/>
        </w:rPr>
        <w:t xml:space="preserve">The member clicks ‘More’ in the top navigation bar. The More options panel expands to show additional features: Check Deposit, User ID and Password, eDocuments, Account Alerts, General Alerts, Password, Forms, One-Time Passcode, Skip A Pay, Do-Not-Disturb, Manage Devices, My Insights, Alert Settings, Recent Activities, and Card Services.</w:t>
      </w:r>
    </w:p>
    <w:p>
      <w:pPr>
        <w:jc w:val="center"/>
        <w:spacing w:before="100" w:after="60"/>
      </w:pPr>
      <w:r>
        <w:drawing>
          <wp:inline xmlns:a="http://schemas.openxmlformats.org/drawingml/2006/main" xmlns:pic="http://schemas.openxmlformats.org/drawingml/2006/picture">
            <wp:extent cx="5486400" cy="4101981"/>
            <wp:docPr id="2" name="01_more_menu_top.png"/>
            <wp:cNvGraphicFramePr>
              <a:graphicFrameLocks noChangeAspect="1"/>
            </wp:cNvGraphicFramePr>
            <a:graphic>
              <a:graphicData uri="http://schemas.openxmlformats.org/drawingml/2006/picture">
                <pic:pic>
                  <pic:nvPicPr>
                    <pic:cNvPr id="0" name="01_more_menu_top.png"/>
                    <pic:cNvPicPr/>
                  </pic:nvPicPr>
                  <pic:blipFill>
                    <a:blip r:embed="rId4"/>
                    <a:stretch>
                      <a:fillRect/>
                    </a:stretch>
                  </pic:blipFill>
                  <pic:spPr>
                    <a:xfrm>
                      <a:off x="0" y="0"/>
                      <a:ext cx="5486400" cy="4101981"/>
                    </a:xfrm>
                    <a:prstGeom prst="rect"/>
                  </pic:spPr>
                </pic:pic>
              </a:graphicData>
            </a:graphic>
          </wp:inline>
        </w:drawing>
      </w:r>
    </w:p>
    <w:p>
      <w:pPr>
        <w:jc w:val="center"/>
        <w:spacing w:before="0" w:after="100"/>
      </w:pPr>
      <w:r>
        <w:rPr>
          <w:rFonts w:ascii="Calibri" w:hAnsi="Calibri"/>
          <w:i/>
          <w:color w:val="555555"/>
          <w:sz w:val="16"/>
          <w:szCs w:val="16"/>
        </w:rPr>
        <w:t xml:space="preserve">Step 2: More Menu</w:t>
      </w:r>
    </w:p>
    <w:p>
      <w:pPr>
        <w:spacing w:before="0" w:after="80"/>
      </w:pPr>
    </w:p>
    <w:p>
      <w:pPr>
        <w:spacing w:before="0" w:after="80"/>
      </w:pPr>
    </w:p>
    <w:p>
      <w:pPr>
        <w:spacing w:before="200" w:after="60"/>
        <w:pBdr>
          <w:bottom w:val="single" w:sz="4" w:color="1C3F6E"/>
        </w:pBdr>
      </w:pPr>
      <w:r>
        <w:rPr>
          <w:rFonts w:ascii="Calibri" w:hAnsi="Calibri"/>
          <w:b/>
          <w:bCs/>
          <w:color w:val="1C3F6E"/>
          <w:sz w:val="22"/>
          <w:szCs w:val="22"/>
        </w:rPr>
        <w:t xml:space="preserve">Step 3 — Navigate from Dashboard to Credit Score</w:t>
      </w:r>
    </w:p>
    <w:p>
      <w:pPr>
        <w:spacing w:before="60" w:after="100"/>
      </w:pPr>
      <w:r>
        <w:rPr>
          <w:rFonts w:ascii="Calibri" w:hAnsi="Calibri"/>
          <w:color w:val="333333"/>
          <w:sz w:val="20"/>
          <w:szCs w:val="20"/>
        </w:rPr>
        <w:t xml:space="preserve">The Credit Score page is displayed with consent information describing the credit score service and a blue action button for the member to access their credit score data.</w:t>
      </w:r>
    </w:p>
    <w:p>
      <w:pPr>
        <w:jc w:val="center"/>
        <w:spacing w:before="100" w:after="60"/>
      </w:pPr>
      <w:r>
        <w:drawing>
          <wp:inline xmlns:a="http://schemas.openxmlformats.org/drawingml/2006/main" xmlns:pic="http://schemas.openxmlformats.org/drawingml/2006/picture">
            <wp:extent cx="5486400" cy="5335610"/>
            <wp:docPr id="3" name="01_credit_score_consent.png"/>
            <wp:cNvGraphicFramePr>
              <a:graphicFrameLocks noChangeAspect="1"/>
            </wp:cNvGraphicFramePr>
            <a:graphic>
              <a:graphicData uri="http://schemas.openxmlformats.org/drawingml/2006/picture">
                <pic:pic>
                  <pic:nvPicPr>
                    <pic:cNvPr id="0" name="01_credit_score_consent.png"/>
                    <pic:cNvPicPr/>
                  </pic:nvPicPr>
                  <pic:blipFill>
                    <a:blip r:embed="rId5"/>
                    <a:stretch>
                      <a:fillRect/>
                    </a:stretch>
                  </pic:blipFill>
                  <pic:spPr>
                    <a:xfrm>
                      <a:off x="0" y="0"/>
                      <a:ext cx="5486400" cy="5335610"/>
                    </a:xfrm>
                    <a:prstGeom prst="rect"/>
                  </pic:spPr>
                </pic:pic>
              </a:graphicData>
            </a:graphic>
          </wp:inline>
        </w:drawing>
      </w:r>
    </w:p>
    <w:p>
      <w:pPr>
        <w:jc w:val="center"/>
        <w:spacing w:before="0" w:after="100"/>
      </w:pPr>
      <w:r>
        <w:rPr>
          <w:rFonts w:ascii="Calibri" w:hAnsi="Calibri"/>
          <w:i/>
          <w:color w:val="555555"/>
          <w:sz w:val="16"/>
          <w:szCs w:val="16"/>
        </w:rPr>
        <w:t xml:space="preserve">Step 3: Navigate from Dashboard to Credit Score</w:t>
      </w:r>
    </w:p>
    <w:p>
      <w:pPr>
        <w:spacing w:before="0" w:after="80"/>
      </w:pPr>
    </w:p>
    <w:p>
      <w:pPr>
        <w:spacing w:before="200" w:after="60"/>
        <w:pBdr>
          <w:bottom w:val="single" w:sz="4" w:color="1C3F6E"/>
        </w:pBdr>
      </w:pPr>
      <w:r>
        <w:rPr>
          <w:rFonts w:ascii="Calibri" w:hAnsi="Calibri"/>
          <w:b/>
          <w:bCs/>
          <w:color w:val="1C3F6E"/>
          <w:sz w:val="22"/>
          <w:szCs w:val="22"/>
        </w:rPr>
        <w:t xml:space="preserve">Step 4 — Score Not Found — Thin Credit File</w:t>
      </w:r>
    </w:p>
    <w:p>
      <w:pPr>
        <w:spacing w:before="60" w:after="100"/>
      </w:pPr>
      <w:r>
        <w:rPr>
          <w:rFonts w:ascii="Calibri" w:hAnsi="Calibri"/>
          <w:color w:val="333333"/>
          <w:sz w:val="20"/>
          <w:szCs w:val="20"/>
        </w:rPr>
        <w:t xml:space="preserve">The Credit Score page shows a message indicating that credit score information is not currently available, with a button to proceed or retry the lookup.</w:t>
      </w:r>
    </w:p>
    <w:p>
      <w:pPr>
        <w:jc w:val="center"/>
        <w:spacing w:before="100" w:after="60"/>
      </w:pPr>
      <w:r>
        <w:drawing>
          <wp:inline xmlns:a="http://schemas.openxmlformats.org/drawingml/2006/main" xmlns:pic="http://schemas.openxmlformats.org/drawingml/2006/picture">
            <wp:extent cx="5486400" cy="5243843"/>
            <wp:docPr id="4" name="02_credit_score_not_found.png"/>
            <wp:cNvGraphicFramePr>
              <a:graphicFrameLocks noChangeAspect="1"/>
            </wp:cNvGraphicFramePr>
            <a:graphic>
              <a:graphicData uri="http://schemas.openxmlformats.org/drawingml/2006/picture">
                <pic:pic>
                  <pic:nvPicPr>
                    <pic:cNvPr id="0" name="02_credit_score_not_found.png"/>
                    <pic:cNvPicPr/>
                  </pic:nvPicPr>
                  <pic:blipFill>
                    <a:blip r:embed="rId6"/>
                    <a:stretch>
                      <a:fillRect/>
                    </a:stretch>
                  </pic:blipFill>
                  <pic:spPr>
                    <a:xfrm>
                      <a:off x="0" y="0"/>
                      <a:ext cx="5486400" cy="5243843"/>
                    </a:xfrm>
                    <a:prstGeom prst="rect"/>
                  </pic:spPr>
                </pic:pic>
              </a:graphicData>
            </a:graphic>
          </wp:inline>
        </w:drawing>
      </w:r>
    </w:p>
    <w:p>
      <w:pPr>
        <w:jc w:val="center"/>
        <w:spacing w:before="0" w:after="100"/>
      </w:pPr>
      <w:r>
        <w:rPr>
          <w:rFonts w:ascii="Calibri" w:hAnsi="Calibri"/>
          <w:i/>
          <w:color w:val="555555"/>
          <w:sz w:val="16"/>
          <w:szCs w:val="16"/>
        </w:rPr>
        <w:t xml:space="preserve">Step 4: Score Not Found — Thin Credit File</w:t>
      </w:r>
    </w:p>
    <w:p>
      <w:pPr>
        <w:spacing w:before="0" w:after="80"/>
      </w:pPr>
    </w:p>
    <w:p>
      <w:pPr>
        <w:spacing w:before="200" w:after="60"/>
        <w:pBdr>
          <w:bottom w:val="single" w:sz="4" w:color="1C3F6E"/>
        </w:pBdr>
      </w:pPr>
      <w:r>
        <w:rPr>
          <w:rFonts w:ascii="Calibri" w:hAnsi="Calibri"/>
          <w:b/>
          <w:bCs/>
          <w:color w:val="1C3F6E"/>
          <w:sz w:val="22"/>
          <w:szCs w:val="22"/>
        </w:rPr>
        <w:t xml:space="preserve">Step 5 — Re-Confirm Credit Score Consent</w:t>
      </w:r>
    </w:p>
    <w:p>
      <w:pPr>
        <w:spacing w:before="60" w:after="100"/>
      </w:pPr>
      <w:r>
        <w:rPr>
          <w:rFonts w:ascii="Calibri" w:hAnsi="Calibri"/>
          <w:color w:val="333333"/>
          <w:sz w:val="20"/>
          <w:szCs w:val="20"/>
        </w:rPr>
        <w:t xml:space="preserve">The Credit Score page displays a re-confirmation consent screen with updated terms and information about accessing credit score data.</w:t>
      </w:r>
    </w:p>
    <w:p>
      <w:pPr>
        <w:jc w:val="center"/>
        <w:spacing w:before="100" w:after="60"/>
      </w:pPr>
      <w:r>
        <w:drawing>
          <wp:inline xmlns:a="http://schemas.openxmlformats.org/drawingml/2006/main" xmlns:pic="http://schemas.openxmlformats.org/drawingml/2006/picture">
            <wp:extent cx="5486400" cy="5177145"/>
            <wp:docPr id="5" name="03_credit_score_consent2.png"/>
            <wp:cNvGraphicFramePr>
              <a:graphicFrameLocks noChangeAspect="1"/>
            </wp:cNvGraphicFramePr>
            <a:graphic>
              <a:graphicData uri="http://schemas.openxmlformats.org/drawingml/2006/picture">
                <pic:pic>
                  <pic:nvPicPr>
                    <pic:cNvPr id="0" name="03_credit_score_consent2.png"/>
                    <pic:cNvPicPr/>
                  </pic:nvPicPr>
                  <pic:blipFill>
                    <a:blip r:embed="rId7"/>
                    <a:stretch>
                      <a:fillRect/>
                    </a:stretch>
                  </pic:blipFill>
                  <pic:spPr>
                    <a:xfrm>
                      <a:off x="0" y="0"/>
                      <a:ext cx="5486400" cy="5177145"/>
                    </a:xfrm>
                    <a:prstGeom prst="rect"/>
                  </pic:spPr>
                </pic:pic>
              </a:graphicData>
            </a:graphic>
          </wp:inline>
        </w:drawing>
      </w:r>
    </w:p>
    <w:p>
      <w:pPr>
        <w:jc w:val="center"/>
        <w:spacing w:before="0" w:after="100"/>
      </w:pPr>
      <w:r>
        <w:rPr>
          <w:rFonts w:ascii="Calibri" w:hAnsi="Calibri"/>
          <w:i/>
          <w:color w:val="555555"/>
          <w:sz w:val="16"/>
          <w:szCs w:val="16"/>
        </w:rPr>
        <w:t xml:space="preserve">Step 5: Re-Confirm Credit Score Consent</w:t>
      </w:r>
    </w:p>
    <w:p>
      <w:pPr>
        <w:spacing w:before="0" w:after="80"/>
      </w:pPr>
    </w:p>
    <w:sectPr>
      <w:pgSz w:w="12240" w:h="15840"/>
      <w:pgMar w:top="1080" w:right="1080" w:bottom="1080" w:left="108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0"/>
        <w:szCs w:val="20"/>
        <w:color w:val="333333"/>
      </w:rPr>
    </w:rPrDefault>
  </w:docDefaults>
  <w:style w:type="paragraph" w:styleId="Normal">
    <w:name w:val="Normal"/>
    <w:pPr>
      <w:spacing w:after="1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01_dashboard_home.png"/>
  <Relationship Id="rId4" Type="http://schemas.openxmlformats.org/officeDocument/2006/relationships/image" Target="media/01_more_menu_top.png"/>
  <Relationship Id="rId5" Type="http://schemas.openxmlformats.org/officeDocument/2006/relationships/image" Target="media/01_credit_score_consent.png"/>
  <Relationship Id="rId6" Type="http://schemas.openxmlformats.org/officeDocument/2006/relationships/image" Target="media/02_credit_score_not_found.png"/>
  <Relationship Id="rId7" Type="http://schemas.openxmlformats.org/officeDocument/2006/relationships/image" Target="media/03_credit_score_consent2.png"/>
</Relationships>
</file>