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CSUM-01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Business Banking Hub</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Hub</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Business Banking Hub is the central command center for all commercial banking operations within the nFinia digital banking platform. It provides business owners and authorized signers with a single-screen overview of every available business banking feature, organized into logical categories: Transfers (ACH Transfer, Domestic Wire Transfer, Transfer Templates, Payment From File), Manage (Role Management, User Management, Approved Settings, Recipient Management), and More Options (Commercial Activity, Reports, Approvals).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This hub eliminates the need for business members to navigate through multiple menus to find key functions. Each tile is a direct entry point to the corresponding feature module, reducing clicks and improving operational efficiency. For credit unions, the hub serves as a visual catalog of their business banking capabilities, reinforcing the breadth of services offered to commercial members.</w:t>
      </w:r>
      <w:r w:rsidDel="00000000" w:rsidR="00000000" w:rsidRPr="00000000">
        <w:rPr>
          <w:rtl w:val="0"/>
        </w:rPr>
      </w:r>
    </w:p>
    <w:p w:rsidR="00000000" w:rsidDel="00000000" w:rsidP="00000000" w:rsidRDefault="00000000" w:rsidRPr="00000000" w14:paraId="0000000A">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color w:val="333333"/>
                <w:sz w:val="20"/>
                <w:szCs w:val="20"/>
                <w:rtl w:val="0"/>
              </w:rPr>
              <w:t xml:space="preserve">Business Banking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20"/>
                <w:szCs w:val="20"/>
                <w:rtl w:val="0"/>
              </w:rPr>
              <w:t xml:space="preserve">Business Banking &gt;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20"/>
                <w:szCs w:val="20"/>
                <w:rtl w:val="0"/>
              </w:rPr>
              <w:t xml:space="preserve">Dashboard → Business Banking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20"/>
                <w:szCs w:val="20"/>
                <w:rtl w:val="0"/>
              </w:rPr>
              <w:t xml:space="preserve">Role-based; tiles visible based on assigned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20"/>
                <w:szCs w:val="20"/>
                <w:rtl w:val="0"/>
              </w:rPr>
              <w:t xml:space="preserve">Navigate to any business banking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20"/>
                <w:szCs w:val="20"/>
                <w:rtl w:val="0"/>
              </w:rPr>
              <w:t xml:space="preserve">N/A (navigation hub)</w:t>
            </w:r>
            <w:r w:rsidDel="00000000" w:rsidR="00000000" w:rsidRPr="00000000">
              <w:rPr>
                <w:rtl w:val="0"/>
              </w:rPr>
            </w:r>
          </w:p>
        </w:tc>
      </w:tr>
    </w:tbl>
    <w:p w:rsidR="00000000" w:rsidDel="00000000" w:rsidP="00000000" w:rsidRDefault="00000000" w:rsidRPr="00000000" w14:paraId="0000001B">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D">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color w:val="333333"/>
                <w:sz w:val="18"/>
                <w:szCs w:val="18"/>
                <w:rtl w:val="0"/>
              </w:rPr>
              <w:t xml:space="preserve">Daily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Access hub to initiate ACH, wire, or file-based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Single entry point reduces time navigating between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User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Navigate to Role or User Management from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Centralized access to administrative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Payment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Access Approvals tile to review pending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Quick access to dual-control approval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Navigate to Reports or Commercial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Immediate access to transaction history and analytics</w:t>
            </w:r>
            <w:r w:rsidDel="00000000" w:rsidR="00000000" w:rsidRPr="00000000">
              <w:rPr>
                <w:rtl w:val="0"/>
              </w:rPr>
            </w:r>
          </w:p>
        </w:tc>
      </w:tr>
    </w:tbl>
    <w:p w:rsidR="00000000" w:rsidDel="00000000" w:rsidP="00000000" w:rsidRDefault="00000000" w:rsidRPr="00000000" w14:paraId="00000032">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4">
      <w:pPr>
        <w:spacing w:before="100" w:lineRule="auto"/>
        <w:rPr/>
      </w:pPr>
      <w:r w:rsidDel="00000000" w:rsidR="00000000" w:rsidRPr="00000000">
        <w:rPr>
          <w:rtl w:val="0"/>
        </w:rPr>
      </w:r>
    </w:p>
    <w:p w:rsidR="00000000" w:rsidDel="00000000" w:rsidP="00000000" w:rsidRDefault="00000000" w:rsidRPr="00000000" w14:paraId="00000035">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w:t>
      </w:r>
      <w:r w:rsidDel="00000000" w:rsidR="00000000" w:rsidRPr="00000000">
        <w:rPr>
          <w:rtl w:val="0"/>
        </w:rPr>
      </w:r>
    </w:p>
    <w:p w:rsidR="00000000" w:rsidDel="00000000" w:rsidP="00000000" w:rsidRDefault="00000000" w:rsidRPr="00000000" w14:paraId="00000036">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7">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8">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1.png"/>
            <a:graphic>
              <a:graphicData uri="http://schemas.openxmlformats.org/drawingml/2006/picture">
                <pic:pic>
                  <pic:nvPicPr>
                    <pic:cNvPr descr="Figure 1 — Log In and Open the Dashboard" id="0" name="image1.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A">
      <w:pPr>
        <w:spacing w:before="250" w:lineRule="auto"/>
        <w:rPr/>
      </w:pPr>
      <w:r w:rsidDel="00000000" w:rsidR="00000000" w:rsidRPr="00000000">
        <w:rPr>
          <w:rFonts w:ascii="Calibri" w:cs="Calibri" w:eastAsia="Calibri" w:hAnsi="Calibri"/>
          <w:b w:val="1"/>
          <w:bCs w:val="1"/>
          <w:color w:val="1f5c99"/>
          <w:sz w:val="24"/>
          <w:szCs w:val="24"/>
          <w:rtl w:val="0"/>
        </w:rPr>
        <w:t xml:space="preserve">Step 2: Log In and Navigate to Business Banking</w:t>
      </w:r>
      <w:r w:rsidDel="00000000" w:rsidR="00000000" w:rsidRPr="00000000">
        <w:rPr>
          <w:rtl w:val="0"/>
        </w:rPr>
      </w:r>
    </w:p>
    <w:p w:rsidR="00000000" w:rsidDel="00000000" w:rsidP="00000000" w:rsidRDefault="00000000" w:rsidRPr="00000000" w14:paraId="0000003B">
      <w:pPr>
        <w:spacing w:after="100" w:before="100" w:lineRule="auto"/>
        <w:rPr/>
      </w:pPr>
      <w:r w:rsidDel="00000000" w:rsidR="00000000" w:rsidRPr="00000000">
        <w:rPr>
          <w:rFonts w:ascii="Calibri" w:cs="Calibri" w:eastAsia="Calibri" w:hAnsi="Calibri"/>
          <w:color w:val="333333"/>
          <w:sz w:val="20"/>
          <w:szCs w:val="20"/>
          <w:rtl w:val="0"/>
        </w:rPr>
        <w:t xml:space="preserve">Log in to the nFinia digital banking platform using your credentials. Once you arrive at the main Dashboard, locate the left-side navigation menu. Click on "Business Banking" to enter the Business Banking Hub. You will see the Hub's tile-based layout divided into sections. The top section labeled "Transfers" contains four tiles: ACH Transfer, Domestic Wire Transfer, Transfer Template, and Payment From File. These are your primary payment initiation tools. Below that, the "Manage" section displays four administrative tiles: Role Management, User Management, Approval Settings, and Recipient Management. Each tile shows an icon and label. Only tiles your role has permission to access will be visible — if you do not see a tile, check with your business administrator to confirm your role includes that feature.</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drawing>
          <wp:inline distB="0" distT="0" distL="0" distR="0">
            <wp:extent cx="5524500" cy="3448050"/>
            <wp:effectExtent b="0" l="0" r="0" t="0"/>
            <wp:docPr descr="Figure 2 — Log In and Navigate to Business Banking" id="4" name="image2.png"/>
            <a:graphic>
              <a:graphicData uri="http://schemas.openxmlformats.org/drawingml/2006/picture">
                <pic:pic>
                  <pic:nvPicPr>
                    <pic:cNvPr descr="Figure 2 — Log In and Navigate to Business Banking" id="0" name="image2.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Log In and Navigate to Business Banking</w:t>
      </w:r>
      <w:r w:rsidDel="00000000" w:rsidR="00000000" w:rsidRPr="00000000">
        <w:rPr>
          <w:rtl w:val="0"/>
        </w:rPr>
      </w:r>
    </w:p>
    <w:p w:rsidR="00000000" w:rsidDel="00000000" w:rsidP="00000000" w:rsidRDefault="00000000" w:rsidRPr="00000000" w14:paraId="0000003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before="250" w:lineRule="auto"/>
        <w:rPr/>
      </w:pPr>
      <w:r w:rsidDel="00000000" w:rsidR="00000000" w:rsidRPr="00000000">
        <w:rPr>
          <w:rFonts w:ascii="Calibri" w:cs="Calibri" w:eastAsia="Calibri" w:hAnsi="Calibri"/>
          <w:b w:val="1"/>
          <w:bCs w:val="1"/>
          <w:color w:val="1f5c99"/>
          <w:sz w:val="24"/>
          <w:szCs w:val="24"/>
          <w:rtl w:val="0"/>
        </w:rPr>
        <w:t xml:space="preserve">Step 3: Scroll Down to View More Options</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rFonts w:ascii="Calibri" w:cs="Calibri" w:eastAsia="Calibri" w:hAnsi="Calibri"/>
          <w:color w:val="333333"/>
          <w:sz w:val="20"/>
          <w:szCs w:val="20"/>
          <w:rtl w:val="0"/>
        </w:rPr>
        <w:t xml:space="preserve">Scroll down below the Manage section to reveal the "More Options" area. Here you will find three additional tiles: Commercial Activity (click to view a full transaction ledger of all business payments), Reports (click to generate, schedule, and download financial reports in BAI2, PDF, and XLSX formats), and Approvals (click to open the dual-control approval queue where you can review, approve, or decline pending payment requests). These tiles are also role-gated — they only appear if your assigned role includes the corresponding permission. From this Hub screen, you can click on any tile to navigate directly into that feature. To return to the Hub at any time, use the left-side navigation menu and click "Business Banking" again.</w:t>
      </w: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drawing>
          <wp:inline distB="0" distT="0" distL="0" distR="0">
            <wp:extent cx="5524500" cy="3448050"/>
            <wp:effectExtent b="0" l="0" r="0" t="0"/>
            <wp:docPr descr="Figure 3 — Scroll Down to View More Options" id="3" name="image3.png"/>
            <a:graphic>
              <a:graphicData uri="http://schemas.openxmlformats.org/drawingml/2006/picture">
                <pic:pic>
                  <pic:nvPicPr>
                    <pic:cNvPr descr="Figure 3 — Scroll Down to View More Options" id="0" name="image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Scroll Down to View More Options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gVDXvmwlZ0KxL435pN3i14U2g==">CgMxLjA4AHIhMVlkZnp6VUlKbWpNeDRuNzZ3R2NyekdncE9RcmJQUzRo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2026-04-05T20:53:48.102Z</dcterms:created>
  <dc:creator>Un-named</dc:creator>
</cp:coreProperties>
</file>

<file path=docProps/custom.xml><?xml version="1.0" encoding="utf-8"?>
<Properties xmlns="http://schemas.openxmlformats.org/officeDocument/2006/custom-properties" xmlns:vt="http://schemas.openxmlformats.org/officeDocument/2006/docPropsVTypes"/>
</file>