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CSUM-03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Domestic Wire Transfer</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Domestic Wire Transfer</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 → Domestic Wire Transfer</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The Domestic Wire Transfer feature allows business members to send same-day, irrevocable fund transfers to domestic bank accounts through the Federal Reserve wire system. Wire transfers are used for high-value, time-sensitive payments where ACH settlement timelines are insufficient. The workflow mirrors the ACH transfer with a three-step guided process: Set up Transfer, Review, and Finish.</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The user selects a source account, picks a pre-configured wire transfer account, enters the amount, and provides wire-specific details including beneficiary information. Wire transfers are subject to stricter limits and may require dual-control approval depending on the business approval settings. OTP verification is enforced for all wire submissions.</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Fonts w:ascii="Calibri" w:cs="Calibri" w:eastAsia="Calibri" w:hAnsi="Calibri"/>
          <w:color w:val="333333"/>
          <w:sz w:val="20"/>
          <w:szCs w:val="20"/>
          <w:rtl w:val="0"/>
        </w:rPr>
        <w:t xml:space="preserve">For credit unions, offering domestic wire capabilities is essential to serve business members who need to make real estate closings, vendor deposits, or emergency payments that cannot wait for ACH processing.</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20"/>
                <w:szCs w:val="20"/>
                <w:rtl w:val="0"/>
              </w:rPr>
              <w:t xml:space="preserve">Domestic Wire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20"/>
                <w:szCs w:val="20"/>
                <w:rtl w:val="0"/>
              </w:rPr>
              <w:t xml:space="preserve">Business Banking &gt; Domestic Wire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20"/>
                <w:szCs w:val="20"/>
                <w:rtl w:val="0"/>
              </w:rPr>
              <w:t xml:space="preserve">Dashboard → Business Banking → Domestic Wire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20"/>
                <w:szCs w:val="20"/>
                <w:rtl w:val="0"/>
              </w:rPr>
              <w:t xml:space="preserve">Business Owner, Authorized Signer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20"/>
                <w:szCs w:val="20"/>
                <w:rtl w:val="0"/>
              </w:rPr>
              <w:t xml:space="preserve">Role-based with wire-specific limits; dual-control approval may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20"/>
                <w:szCs w:val="20"/>
                <w:rtl w:val="0"/>
              </w:rPr>
              <w:t xml:space="preserve">Initiate Wire, Review, Confirm, OTP 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20"/>
                <w:szCs w:val="20"/>
                <w:rtl w:val="0"/>
              </w:rPr>
              <w:t xml:space="preserve">Regulation J, BSA/AML, OFAC screening, dual-control requirements</w:t>
            </w:r>
            <w:r w:rsidDel="00000000" w:rsidR="00000000" w:rsidRPr="00000000">
              <w:rPr>
                <w:rtl w:val="0"/>
              </w:rPr>
            </w:r>
          </w:p>
        </w:tc>
      </w:tr>
    </w:tbl>
    <w:p w:rsidR="00000000" w:rsidDel="00000000" w:rsidP="00000000" w:rsidRDefault="00000000" w:rsidRPr="00000000" w14:paraId="0000001C">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E">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Real Estate Closing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Send same-day wire for property purchase or closing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Enables time-critical high-value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Vendor 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Authorized 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Wire payment to vendor requiring immediate 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Same-day settlement meets urgent payment deadlines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Dual-Control Wire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Authorized 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Submit wire that requires second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Dual-control reduces fraud risk on high-value transfers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Wire to New Recipient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Select from saved wire transfer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Pre-configured recipients reduce errors in wire details</w:t>
            </w:r>
            <w:r w:rsidDel="00000000" w:rsidR="00000000" w:rsidRPr="00000000">
              <w:rPr>
                <w:rtl w:val="0"/>
              </w:rPr>
            </w:r>
          </w:p>
        </w:tc>
      </w:tr>
    </w:tbl>
    <w:p w:rsidR="00000000" w:rsidDel="00000000" w:rsidP="00000000" w:rsidRDefault="00000000" w:rsidRPr="00000000" w14:paraId="00000033">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5">
      <w:pPr>
        <w:spacing w:before="100" w:lineRule="auto"/>
        <w:rPr/>
      </w:pPr>
      <w:r w:rsidDel="00000000" w:rsidR="00000000" w:rsidRPr="00000000">
        <w:rPr>
          <w:rtl w:val="0"/>
        </w:rPr>
      </w:r>
    </w:p>
    <w:p w:rsidR="00000000" w:rsidDel="00000000" w:rsidP="00000000" w:rsidRDefault="00000000" w:rsidRPr="00000000" w14:paraId="00000036">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 → Domestic Wire Transfer</w:t>
      </w:r>
      <w:r w:rsidDel="00000000" w:rsidR="00000000" w:rsidRPr="00000000">
        <w:rPr>
          <w:rtl w:val="0"/>
        </w:rPr>
      </w:r>
    </w:p>
    <w:p w:rsidR="00000000" w:rsidDel="00000000" w:rsidP="00000000" w:rsidRDefault="00000000" w:rsidRPr="00000000" w14:paraId="00000037">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drawing>
          <wp:inline distB="0" distT="0" distL="0" distR="0">
            <wp:extent cx="5524500" cy="3448050"/>
            <wp:effectExtent b="0" l="0" r="0" t="0"/>
            <wp:docPr descr="Figure 1 — Log In and Open the Dashboard" id="5" name="image2.png"/>
            <a:graphic>
              <a:graphicData uri="http://schemas.openxmlformats.org/drawingml/2006/picture">
                <pic:pic>
                  <pic:nvPicPr>
                    <pic:cNvPr descr="Figure 1 — Log In and Open the Dashboard" id="0" name="image2.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B">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250" w:lineRule="auto"/>
        <w:rPr/>
      </w:pPr>
      <w:r w:rsidDel="00000000" w:rsidR="00000000" w:rsidRPr="00000000">
        <w:rPr>
          <w:rFonts w:ascii="Calibri" w:cs="Calibri" w:eastAsia="Calibri" w:hAnsi="Calibri"/>
          <w:b w:val="1"/>
          <w:bCs w:val="1"/>
          <w:color w:val="1f5c99"/>
          <w:sz w:val="24"/>
          <w:szCs w:val="24"/>
          <w:rtl w:val="0"/>
        </w:rPr>
        <w:t xml:space="preserve">Step 2: Open the Business Banking Hub</w:t>
      </w:r>
      <w:r w:rsidDel="00000000" w:rsidR="00000000" w:rsidRPr="00000000">
        <w:rPr>
          <w:rtl w:val="0"/>
        </w:rPr>
      </w:r>
    </w:p>
    <w:p w:rsidR="00000000" w:rsidDel="00000000" w:rsidP="00000000" w:rsidRDefault="00000000" w:rsidRPr="00000000" w14:paraId="0000003D">
      <w:pPr>
        <w:spacing w:after="100" w:before="100" w:lineRule="auto"/>
        <w:rPr/>
      </w:pPr>
      <w:r w:rsidDel="00000000" w:rsidR="00000000" w:rsidRPr="00000000">
        <w:rPr>
          <w:rFonts w:ascii="Calibri" w:cs="Calibri" w:eastAsia="Calibri" w:hAnsi="Calibri"/>
          <w:color w:val="333333"/>
          <w:sz w:val="20"/>
          <w:szCs w:val="20"/>
          <w:rtl w:val="0"/>
        </w:rPr>
        <w:t xml:space="preserve">After clicking "Business Banking" in the top navigation bar, the Business Banking Hub loads. This is the central command center for all commercial banking operations. The Hub is organized into three sections: "Transfers" at the top (with tiles for ACH Transfer, Domestic Wire Transfer, Transfer Template, and Payment From File), "Manage" in the middle (with tiles for Role Management, User Management, Approval Settings, and Recipient Management), and "More Options" at the bottom (with tiles for Commercial Activity, Reports, and Approvals). Each tile is a direct entry point to its corresponding feature. Only tiles your role has permission to access will be visible. From here, locate and click the tile for the feature you need — the next steps will guide you through the specific workflow.</w:t>
      </w:r>
      <w:r w:rsidDel="00000000" w:rsidR="00000000" w:rsidRPr="00000000">
        <w:rPr>
          <w:rtl w:val="0"/>
        </w:rPr>
      </w:r>
    </w:p>
    <w:p w:rsidR="00000000" w:rsidDel="00000000" w:rsidP="00000000" w:rsidRDefault="00000000" w:rsidRPr="00000000" w14:paraId="0000003E">
      <w:pPr>
        <w:spacing w:after="100" w:before="200" w:lineRule="auto"/>
        <w:rPr/>
      </w:pPr>
      <w:r w:rsidDel="00000000" w:rsidR="00000000" w:rsidRPr="00000000">
        <w:rPr/>
        <w:drawing>
          <wp:inline distB="0" distT="0" distL="0" distR="0">
            <wp:extent cx="5524500" cy="3448050"/>
            <wp:effectExtent b="0" l="0" r="0" t="0"/>
            <wp:docPr descr="Figure 2 — Open the Business Banking Hub" id="7" name="image1.png"/>
            <a:graphic>
              <a:graphicData uri="http://schemas.openxmlformats.org/drawingml/2006/picture">
                <pic:pic>
                  <pic:nvPicPr>
                    <pic:cNvPr descr="Figure 2 — Open the Business Banking Hub" id="0" name="image1.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Open the Business Banking Hub</w:t>
      </w:r>
      <w:r w:rsidDel="00000000" w:rsidR="00000000" w:rsidRPr="00000000">
        <w:rPr>
          <w:rtl w:val="0"/>
        </w:rPr>
      </w:r>
    </w:p>
    <w:p w:rsidR="00000000" w:rsidDel="00000000" w:rsidP="00000000" w:rsidRDefault="00000000" w:rsidRPr="00000000" w14:paraId="00000040">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before="250" w:lineRule="auto"/>
        <w:rPr/>
      </w:pPr>
      <w:r w:rsidDel="00000000" w:rsidR="00000000" w:rsidRPr="00000000">
        <w:rPr>
          <w:rFonts w:ascii="Calibri" w:cs="Calibri" w:eastAsia="Calibri" w:hAnsi="Calibri"/>
          <w:b w:val="1"/>
          <w:bCs w:val="1"/>
          <w:color w:val="1f5c99"/>
          <w:sz w:val="24"/>
          <w:szCs w:val="24"/>
          <w:rtl w:val="0"/>
        </w:rPr>
        <w:t xml:space="preserve">Step 3: Navigate to Domestic Wire Transfer</w:t>
      </w:r>
      <w:r w:rsidDel="00000000" w:rsidR="00000000" w:rsidRPr="00000000">
        <w:rPr>
          <w:rtl w:val="0"/>
        </w:rPr>
      </w:r>
    </w:p>
    <w:p w:rsidR="00000000" w:rsidDel="00000000" w:rsidP="00000000" w:rsidRDefault="00000000" w:rsidRPr="00000000" w14:paraId="00000042">
      <w:pPr>
        <w:spacing w:after="100" w:before="100" w:lineRule="auto"/>
        <w:rPr/>
      </w:pPr>
      <w:r w:rsidDel="00000000" w:rsidR="00000000" w:rsidRPr="00000000">
        <w:rPr>
          <w:rFonts w:ascii="Calibri" w:cs="Calibri" w:eastAsia="Calibri" w:hAnsi="Calibri"/>
          <w:color w:val="333333"/>
          <w:sz w:val="20"/>
          <w:szCs w:val="20"/>
          <w:rtl w:val="0"/>
        </w:rPr>
        <w:t xml:space="preserve">From the Dashboard, click "Business Banking" in the left-side navigation menu to open the Business Banking Hub. In the Transfers section at the top, click the "Domestic Wire Transfer" tile. The Wire Transfer screen opens to Step 1 — "Set up Transfer." The "From" field is pre-populated with your business account (e.g., Business Money Market Account) showing the credit union name (Summerville CU) and masked account number. Below it, the "To" field prompts you to select a saved Wire Transfer Account. Note: Wire recipients are separate from ACH recipients — they contain additional beneficiary bank routing details required by the Fedwire system.</w:t>
      </w:r>
      <w:r w:rsidDel="00000000" w:rsidR="00000000" w:rsidRPr="00000000">
        <w:rPr>
          <w:rtl w:val="0"/>
        </w:rPr>
      </w:r>
    </w:p>
    <w:p w:rsidR="00000000" w:rsidDel="00000000" w:rsidP="00000000" w:rsidRDefault="00000000" w:rsidRPr="00000000" w14:paraId="00000043">
      <w:pPr>
        <w:spacing w:after="100" w:before="200" w:lineRule="auto"/>
        <w:rPr/>
      </w:pPr>
      <w:r w:rsidDel="00000000" w:rsidR="00000000" w:rsidRPr="00000000">
        <w:rPr/>
        <w:drawing>
          <wp:inline distB="0" distT="0" distL="0" distR="0">
            <wp:extent cx="5524500" cy="3448050"/>
            <wp:effectExtent b="0" l="0" r="0" t="0"/>
            <wp:docPr descr="Figure 3 — Navigate to Domestic Wire Transfer" id="6" name="image4.png"/>
            <a:graphic>
              <a:graphicData uri="http://schemas.openxmlformats.org/drawingml/2006/picture">
                <pic:pic>
                  <pic:nvPicPr>
                    <pic:cNvPr descr="Figure 3 — Navigate to Domestic Wire Transfer" id="0" name="image4.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Navigate to Domestic Wire Transfer</w:t>
      </w:r>
      <w:r w:rsidDel="00000000" w:rsidR="00000000" w:rsidRPr="00000000">
        <w:rPr>
          <w:rtl w:val="0"/>
        </w:rPr>
      </w:r>
    </w:p>
    <w:p w:rsidR="00000000" w:rsidDel="00000000" w:rsidP="00000000" w:rsidRDefault="00000000" w:rsidRPr="00000000" w14:paraId="00000045">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250" w:lineRule="auto"/>
        <w:rPr/>
      </w:pPr>
      <w:r w:rsidDel="00000000" w:rsidR="00000000" w:rsidRPr="00000000">
        <w:rPr>
          <w:rFonts w:ascii="Calibri" w:cs="Calibri" w:eastAsia="Calibri" w:hAnsi="Calibri"/>
          <w:b w:val="1"/>
          <w:bCs w:val="1"/>
          <w:color w:val="1f5c99"/>
          <w:sz w:val="24"/>
          <w:szCs w:val="24"/>
          <w:rtl w:val="0"/>
        </w:rPr>
        <w:t xml:space="preserve">Step 4: Select the Wire Recipient</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rFonts w:ascii="Calibri" w:cs="Calibri" w:eastAsia="Calibri" w:hAnsi="Calibri"/>
          <w:color w:val="333333"/>
          <w:sz w:val="20"/>
          <w:szCs w:val="20"/>
          <w:rtl w:val="0"/>
        </w:rPr>
        <w:t xml:space="preserve">Click the "To" dropdown to expand the list of saved wire transfer accounts. Each entry shows the beneficiary name and associated bank details. Scroll through and click on the recipient you want to wire funds to. If the recipient you need is not listed, you must first add them through Recipient Management (go back to the Hub → Recipient Management → Add Transfer Account, and select "Wire" as the account type). Important: Wire transfers are irrevocable once submitted. There is no recall mechanism, so double-check you are selecting the correct beneficiary before proceeding.</w:t>
      </w:r>
      <w:r w:rsidDel="00000000" w:rsidR="00000000" w:rsidRPr="00000000">
        <w:rPr>
          <w:rtl w:val="0"/>
        </w:rPr>
      </w:r>
    </w:p>
    <w:p w:rsidR="00000000" w:rsidDel="00000000" w:rsidP="00000000" w:rsidRDefault="00000000" w:rsidRPr="00000000" w14:paraId="00000048">
      <w:pPr>
        <w:spacing w:after="100" w:before="200" w:lineRule="auto"/>
        <w:rPr/>
      </w:pPr>
      <w:r w:rsidDel="00000000" w:rsidR="00000000" w:rsidRPr="00000000">
        <w:rPr/>
        <w:drawing>
          <wp:inline distB="0" distT="0" distL="0" distR="0">
            <wp:extent cx="5524500" cy="3448050"/>
            <wp:effectExtent b="0" l="0" r="0" t="0"/>
            <wp:docPr descr="Figure 4 — Select the Wire Recipient" id="9" name="image3.png"/>
            <a:graphic>
              <a:graphicData uri="http://schemas.openxmlformats.org/drawingml/2006/picture">
                <pic:pic>
                  <pic:nvPicPr>
                    <pic:cNvPr descr="Figure 4 — Select the Wire Recipient" id="0" name="image3.png"/>
                    <pic:cNvPicPr preferRelativeResize="0"/>
                  </pic:nvPicPr>
                  <pic:blipFill>
                    <a:blip r:embed="rId10"/>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4 — Select the Wire Recipient</w:t>
      </w:r>
      <w:r w:rsidDel="00000000" w:rsidR="00000000" w:rsidRPr="00000000">
        <w:rPr>
          <w:rtl w:val="0"/>
        </w:rPr>
      </w:r>
    </w:p>
    <w:p w:rsidR="00000000" w:rsidDel="00000000" w:rsidP="00000000" w:rsidRDefault="00000000" w:rsidRPr="00000000" w14:paraId="0000004A">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before="250" w:lineRule="auto"/>
        <w:rPr/>
      </w:pPr>
      <w:r w:rsidDel="00000000" w:rsidR="00000000" w:rsidRPr="00000000">
        <w:rPr>
          <w:rFonts w:ascii="Calibri" w:cs="Calibri" w:eastAsia="Calibri" w:hAnsi="Calibri"/>
          <w:b w:val="1"/>
          <w:bCs w:val="1"/>
          <w:color w:val="1f5c99"/>
          <w:sz w:val="24"/>
          <w:szCs w:val="24"/>
          <w:rtl w:val="0"/>
        </w:rPr>
        <w:t xml:space="preserve">Step 5: Verify the Selected Beneficiary</w:t>
      </w:r>
      <w:r w:rsidDel="00000000" w:rsidR="00000000" w:rsidRPr="00000000">
        <w:rPr>
          <w:rtl w:val="0"/>
        </w:rPr>
      </w:r>
    </w:p>
    <w:p w:rsidR="00000000" w:rsidDel="00000000" w:rsidP="00000000" w:rsidRDefault="00000000" w:rsidRPr="00000000" w14:paraId="0000004C">
      <w:pPr>
        <w:spacing w:after="100" w:before="100" w:lineRule="auto"/>
        <w:rPr/>
      </w:pPr>
      <w:r w:rsidDel="00000000" w:rsidR="00000000" w:rsidRPr="00000000">
        <w:rPr>
          <w:rFonts w:ascii="Calibri" w:cs="Calibri" w:eastAsia="Calibri" w:hAnsi="Calibri"/>
          <w:color w:val="333333"/>
          <w:sz w:val="20"/>
          <w:szCs w:val="20"/>
          <w:rtl w:val="0"/>
        </w:rPr>
        <w:t xml:space="preserve">After selecting a wire transfer account, the "To" field displays the beneficiary's name and account details. Verify that both the "From" account (your business account) and the "To" account (the wire beneficiary) are correct. The screen now shows both parties side by side so you can confirm the payment direction. If you selected the wrong recipient, click the "To" dropdown again to change your selection. Do not proceed to the amount entry until you have confirmed the correct beneficiary, as wire errors are extremely difficult to reverse.</w:t>
      </w:r>
      <w:r w:rsidDel="00000000" w:rsidR="00000000" w:rsidRPr="00000000">
        <w:rPr>
          <w:rtl w:val="0"/>
        </w:rPr>
      </w:r>
    </w:p>
    <w:p w:rsidR="00000000" w:rsidDel="00000000" w:rsidP="00000000" w:rsidRDefault="00000000" w:rsidRPr="00000000" w14:paraId="0000004D">
      <w:pPr>
        <w:spacing w:after="100" w:before="200" w:lineRule="auto"/>
        <w:rPr/>
      </w:pPr>
      <w:r w:rsidDel="00000000" w:rsidR="00000000" w:rsidRPr="00000000">
        <w:rPr/>
        <w:drawing>
          <wp:inline distB="0" distT="0" distL="0" distR="0">
            <wp:extent cx="5524500" cy="3448050"/>
            <wp:effectExtent b="0" l="0" r="0" t="0"/>
            <wp:docPr descr="Figure 5 — Verify the Selected Beneficiary" id="8" name="image8.png"/>
            <a:graphic>
              <a:graphicData uri="http://schemas.openxmlformats.org/drawingml/2006/picture">
                <pic:pic>
                  <pic:nvPicPr>
                    <pic:cNvPr descr="Figure 5 — Verify the Selected Beneficiary" id="0" name="image8.png"/>
                    <pic:cNvPicPr preferRelativeResize="0"/>
                  </pic:nvPicPr>
                  <pic:blipFill>
                    <a:blip r:embed="rId11"/>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5 — Verify the Selected Beneficiary</w:t>
      </w:r>
      <w:r w:rsidDel="00000000" w:rsidR="00000000" w:rsidRPr="00000000">
        <w:rPr>
          <w:rtl w:val="0"/>
        </w:rPr>
      </w:r>
    </w:p>
    <w:p w:rsidR="00000000" w:rsidDel="00000000" w:rsidP="00000000" w:rsidRDefault="00000000" w:rsidRPr="00000000" w14:paraId="0000004F">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before="250" w:lineRule="auto"/>
        <w:rPr/>
      </w:pPr>
      <w:r w:rsidDel="00000000" w:rsidR="00000000" w:rsidRPr="00000000">
        <w:rPr>
          <w:rFonts w:ascii="Calibri" w:cs="Calibri" w:eastAsia="Calibri" w:hAnsi="Calibri"/>
          <w:b w:val="1"/>
          <w:bCs w:val="1"/>
          <w:color w:val="1f5c99"/>
          <w:sz w:val="24"/>
          <w:szCs w:val="24"/>
          <w:rtl w:val="0"/>
        </w:rPr>
        <w:t xml:space="preserve">Step 6: Enter the Wire Amount</w:t>
      </w:r>
      <w:r w:rsidDel="00000000" w:rsidR="00000000" w:rsidRPr="00000000">
        <w:rPr>
          <w:rtl w:val="0"/>
        </w:rPr>
      </w:r>
    </w:p>
    <w:p w:rsidR="00000000" w:rsidDel="00000000" w:rsidP="00000000" w:rsidRDefault="00000000" w:rsidRPr="00000000" w14:paraId="00000051">
      <w:pPr>
        <w:spacing w:after="100" w:before="100" w:lineRule="auto"/>
        <w:rPr/>
      </w:pPr>
      <w:r w:rsidDel="00000000" w:rsidR="00000000" w:rsidRPr="00000000">
        <w:rPr>
          <w:rFonts w:ascii="Calibri" w:cs="Calibri" w:eastAsia="Calibri" w:hAnsi="Calibri"/>
          <w:color w:val="333333"/>
          <w:sz w:val="20"/>
          <w:szCs w:val="20"/>
          <w:rtl w:val="0"/>
        </w:rPr>
        <w:t xml:space="preserve">Click into the Amount field and enter the dollar amount for the wire transfer. Wire transfers typically involve larger amounts than ACH ($10,000+). The system validates your entry against your role's per-transaction wire limit and daily wire cumulative limit (configured in Role Management → Limits). If the amount exceeds your role's threshold, the transaction will be flagged for dual-control approval or additional verification. Enter the exact amount including cents (e.g., 25000.00). Verify the amount is correct before proceeding.</w:t>
      </w:r>
      <w:r w:rsidDel="00000000" w:rsidR="00000000" w:rsidRPr="00000000">
        <w:rPr>
          <w:rtl w:val="0"/>
        </w:rPr>
      </w:r>
    </w:p>
    <w:p w:rsidR="00000000" w:rsidDel="00000000" w:rsidP="00000000" w:rsidRDefault="00000000" w:rsidRPr="00000000" w14:paraId="00000052">
      <w:pPr>
        <w:spacing w:after="100" w:before="200" w:lineRule="auto"/>
        <w:rPr/>
      </w:pPr>
      <w:r w:rsidDel="00000000" w:rsidR="00000000" w:rsidRPr="00000000">
        <w:rPr/>
        <w:drawing>
          <wp:inline distB="0" distT="0" distL="0" distR="0">
            <wp:extent cx="5524500" cy="3448050"/>
            <wp:effectExtent b="0" l="0" r="0" t="0"/>
            <wp:docPr descr="Figure 6 — Enter the Wire Amount" id="3" name="image6.png"/>
            <a:graphic>
              <a:graphicData uri="http://schemas.openxmlformats.org/drawingml/2006/picture">
                <pic:pic>
                  <pic:nvPicPr>
                    <pic:cNvPr descr="Figure 6 — Enter the Wire Amount" id="0" name="image6.png"/>
                    <pic:cNvPicPr preferRelativeResize="0"/>
                  </pic:nvPicPr>
                  <pic:blipFill>
                    <a:blip r:embed="rId12"/>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6 — Enter the Wire Amount</w:t>
      </w:r>
      <w:r w:rsidDel="00000000" w:rsidR="00000000" w:rsidRPr="00000000">
        <w:rPr>
          <w:rtl w:val="0"/>
        </w:rPr>
      </w:r>
    </w:p>
    <w:p w:rsidR="00000000" w:rsidDel="00000000" w:rsidP="00000000" w:rsidRDefault="00000000" w:rsidRPr="00000000" w14:paraId="00000054">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before="250" w:lineRule="auto"/>
        <w:rPr/>
      </w:pPr>
      <w:r w:rsidDel="00000000" w:rsidR="00000000" w:rsidRPr="00000000">
        <w:rPr>
          <w:rFonts w:ascii="Calibri" w:cs="Calibri" w:eastAsia="Calibri" w:hAnsi="Calibri"/>
          <w:b w:val="1"/>
          <w:bCs w:val="1"/>
          <w:color w:val="1f5c99"/>
          <w:sz w:val="24"/>
          <w:szCs w:val="24"/>
          <w:rtl w:val="0"/>
        </w:rPr>
        <w:t xml:space="preserve">Step 7: Complete Additional Wire Details and Continue</w:t>
      </w:r>
      <w:r w:rsidDel="00000000" w:rsidR="00000000" w:rsidRPr="00000000">
        <w:rPr>
          <w:rtl w:val="0"/>
        </w:rPr>
      </w:r>
    </w:p>
    <w:p w:rsidR="00000000" w:rsidDel="00000000" w:rsidP="00000000" w:rsidRDefault="00000000" w:rsidRPr="00000000" w14:paraId="00000056">
      <w:pPr>
        <w:spacing w:after="100" w:before="100" w:lineRule="auto"/>
        <w:rPr/>
      </w:pPr>
      <w:r w:rsidDel="00000000" w:rsidR="00000000" w:rsidRPr="00000000">
        <w:rPr>
          <w:rFonts w:ascii="Calibri" w:cs="Calibri" w:eastAsia="Calibri" w:hAnsi="Calibri"/>
          <w:color w:val="333333"/>
          <w:sz w:val="20"/>
          <w:szCs w:val="20"/>
          <w:rtl w:val="0"/>
        </w:rPr>
        <w:t xml:space="preserve">Scroll to the bottom of the wire transfer form. Fill in any additional required fields: beneficiary bank details, wire reference information, and any special instructions. These fields capture the detail required by the Fedwire system for processing. Once all fields are complete, the "Continue" button becomes active. Review all entries one final time, then click "Continue" to advance to Step 2 — Review. Incomplete or inaccurate wire details are the most common cause of wire transfer failures, so take extra care at this step.</w:t>
      </w:r>
      <w:r w:rsidDel="00000000" w:rsidR="00000000" w:rsidRPr="00000000">
        <w:rPr>
          <w:rtl w:val="0"/>
        </w:rPr>
      </w:r>
    </w:p>
    <w:p w:rsidR="00000000" w:rsidDel="00000000" w:rsidP="00000000" w:rsidRDefault="00000000" w:rsidRPr="00000000" w14:paraId="00000057">
      <w:pPr>
        <w:spacing w:after="100" w:before="200" w:lineRule="auto"/>
        <w:rPr/>
      </w:pPr>
      <w:r w:rsidDel="00000000" w:rsidR="00000000" w:rsidRPr="00000000">
        <w:rPr/>
        <w:drawing>
          <wp:inline distB="0" distT="0" distL="0" distR="0">
            <wp:extent cx="5524500" cy="3448050"/>
            <wp:effectExtent b="0" l="0" r="0" t="0"/>
            <wp:docPr descr="Figure 7 — Complete Additional Wire Details and Continue" id="2" name="image7.png"/>
            <a:graphic>
              <a:graphicData uri="http://schemas.openxmlformats.org/drawingml/2006/picture">
                <pic:pic>
                  <pic:nvPicPr>
                    <pic:cNvPr descr="Figure 7 — Complete Additional Wire Details and Continue" id="0" name="image7.png"/>
                    <pic:cNvPicPr preferRelativeResize="0"/>
                  </pic:nvPicPr>
                  <pic:blipFill>
                    <a:blip r:embed="rId13"/>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7 — Complete Additional Wire Details and Continue</w:t>
      </w:r>
      <w:r w:rsidDel="00000000" w:rsidR="00000000" w:rsidRPr="00000000">
        <w:rPr>
          <w:rtl w:val="0"/>
        </w:rPr>
      </w:r>
    </w:p>
    <w:p w:rsidR="00000000" w:rsidDel="00000000" w:rsidP="00000000" w:rsidRDefault="00000000" w:rsidRPr="00000000" w14:paraId="00000059">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before="250" w:lineRule="auto"/>
        <w:rPr/>
      </w:pPr>
      <w:r w:rsidDel="00000000" w:rsidR="00000000" w:rsidRPr="00000000">
        <w:rPr>
          <w:rFonts w:ascii="Calibri" w:cs="Calibri" w:eastAsia="Calibri" w:hAnsi="Calibri"/>
          <w:b w:val="1"/>
          <w:bCs w:val="1"/>
          <w:color w:val="1f5c99"/>
          <w:sz w:val="24"/>
          <w:szCs w:val="24"/>
          <w:rtl w:val="0"/>
        </w:rPr>
        <w:t xml:space="preserve">Step 8: Review and Submit the Wire Transfer</w:t>
      </w:r>
      <w:r w:rsidDel="00000000" w:rsidR="00000000" w:rsidRPr="00000000">
        <w:rPr>
          <w:rtl w:val="0"/>
        </w:rPr>
      </w:r>
    </w:p>
    <w:p w:rsidR="00000000" w:rsidDel="00000000" w:rsidP="00000000" w:rsidRDefault="00000000" w:rsidRPr="00000000" w14:paraId="0000005B">
      <w:pPr>
        <w:spacing w:after="100" w:before="100" w:lineRule="auto"/>
        <w:rPr/>
      </w:pPr>
      <w:r w:rsidDel="00000000" w:rsidR="00000000" w:rsidRPr="00000000">
        <w:rPr>
          <w:rFonts w:ascii="Calibri" w:cs="Calibri" w:eastAsia="Calibri" w:hAnsi="Calibri"/>
          <w:color w:val="333333"/>
          <w:sz w:val="20"/>
          <w:szCs w:val="20"/>
          <w:rtl w:val="0"/>
        </w:rPr>
        <w:t xml:space="preserve">You are now on Step 2 — "Review." The screen presents a comprehensive summary of your wire transfer: source account, beneficiary name and account, wire amount, beneficiary bank routing number, and any reference notes. Read every detail carefully — wire transfers are irrevocable once released. If you spot an error, click "Back" to return to Step 1 and make corrections. If everything is accurate, click "Submit." The system will then prompt OTP verification (a one-time passcode sent to your registered device). After OTP verification, the wire is submitted. If your business has dual-control configured for wires (in Approval Settings), the wire goes to the Approvals queue for a second authorized user to approve before release.</w:t>
      </w:r>
      <w:r w:rsidDel="00000000" w:rsidR="00000000" w:rsidRPr="00000000">
        <w:rPr>
          <w:rtl w:val="0"/>
        </w:rPr>
      </w:r>
    </w:p>
    <w:p w:rsidR="00000000" w:rsidDel="00000000" w:rsidP="00000000" w:rsidRDefault="00000000" w:rsidRPr="00000000" w14:paraId="0000005C">
      <w:pPr>
        <w:spacing w:after="100" w:before="200" w:lineRule="auto"/>
        <w:rPr/>
      </w:pPr>
      <w:r w:rsidDel="00000000" w:rsidR="00000000" w:rsidRPr="00000000">
        <w:rPr/>
        <w:drawing>
          <wp:inline distB="0" distT="0" distL="0" distR="0">
            <wp:extent cx="5524500" cy="3448050"/>
            <wp:effectExtent b="0" l="0" r="0" t="0"/>
            <wp:docPr descr="Figure 8 — Review and Submit the Wire Transfer" id="4" name="image5.png"/>
            <a:graphic>
              <a:graphicData uri="http://schemas.openxmlformats.org/drawingml/2006/picture">
                <pic:pic>
                  <pic:nvPicPr>
                    <pic:cNvPr descr="Figure 8 — Review and Submit the Wire Transfer" id="0" name="image5.png"/>
                    <pic:cNvPicPr preferRelativeResize="0"/>
                  </pic:nvPicPr>
                  <pic:blipFill>
                    <a:blip r:embed="rId14"/>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8 — Review and Submit the Wire Transfer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AOAU4COHoO4epE0rZ+NkZRnRIw==">CgMxLjA4AHIhMXdLcTdDUll0X0xrVWpWNGUzOUhkbktOcFJmUWJYaDR3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2026-04-05T20:53:48.691Z</dcterms:created>
  <dc:creator>Un-named</dc:creator>
</cp:coreProperties>
</file>

<file path=docProps/custom.xml><?xml version="1.0" encoding="utf-8"?>
<Properties xmlns="http://schemas.openxmlformats.org/officeDocument/2006/custom-properties" xmlns:vt="http://schemas.openxmlformats.org/officeDocument/2006/docPropsVTypes"/>
</file>