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hd w:fill="1c3f6e" w:val="clear"/>
        <w:spacing w:after="0" w:before="0" w:lineRule="auto"/>
        <w:rPr/>
      </w:pPr>
      <w:r w:rsidDel="00000000" w:rsidR="00000000" w:rsidRPr="00000000">
        <w:rPr>
          <w:rFonts w:ascii="Calibri" w:cs="Calibri" w:eastAsia="Calibri" w:hAnsi="Calibri"/>
          <w:b w:val="1"/>
          <w:bCs w:val="1"/>
          <w:color w:val="b0c8e8"/>
          <w:sz w:val="16"/>
          <w:szCs w:val="16"/>
          <w:rtl w:val="0"/>
        </w:rPr>
        <w:t xml:space="preserve">  SUMMERVILLE CREDIT UNION  ·  CONSOLIDATED MEMBER GUIDE  ·  CSUM-06 of 30</w:t>
      </w:r>
      <w:r w:rsidDel="00000000" w:rsidR="00000000" w:rsidRPr="00000000">
        <w:rPr>
          <w:rtl w:val="0"/>
        </w:rPr>
      </w:r>
    </w:p>
    <w:p w:rsidR="00000000" w:rsidDel="00000000" w:rsidP="00000000" w:rsidRDefault="00000000" w:rsidRPr="00000000" w14:paraId="00000002">
      <w:pPr>
        <w:spacing w:after="40" w:before="160" w:lineRule="auto"/>
        <w:rPr/>
      </w:pPr>
      <w:r w:rsidDel="00000000" w:rsidR="00000000" w:rsidRPr="00000000">
        <w:rPr>
          <w:rFonts w:ascii="Calibri" w:cs="Calibri" w:eastAsia="Calibri" w:hAnsi="Calibri"/>
          <w:b w:val="1"/>
          <w:bCs w:val="1"/>
          <w:color w:val="1c3f6e"/>
          <w:sz w:val="44"/>
          <w:szCs w:val="44"/>
          <w:rtl w:val="0"/>
        </w:rPr>
        <w:t xml:space="preserve">Move Money Hub</w:t>
      </w:r>
      <w:r w:rsidDel="00000000" w:rsidR="00000000" w:rsidRPr="00000000">
        <w:rPr>
          <w:rtl w:val="0"/>
        </w:rPr>
      </w:r>
    </w:p>
    <w:p w:rsidR="00000000" w:rsidDel="00000000" w:rsidP="00000000" w:rsidRDefault="00000000" w:rsidRPr="00000000" w14:paraId="00000003">
      <w:pPr>
        <w:pBdr>
          <w:bottom w:color="e08c3c" w:space="0" w:sz="18" w:val="single"/>
        </w:pBdr>
        <w:spacing w:after="200" w:before="0" w:lineRule="auto"/>
        <w:rPr/>
      </w:pPr>
      <w:r w:rsidDel="00000000" w:rsidR="00000000" w:rsidRPr="00000000">
        <w:rPr>
          <w:rtl w:val="0"/>
        </w:rPr>
      </w:r>
    </w:p>
    <w:p w:rsidR="00000000" w:rsidDel="00000000" w:rsidP="00000000" w:rsidRDefault="00000000" w:rsidRPr="00000000" w14:paraId="00000004">
      <w:pPr>
        <w:spacing w:after="80" w:before="0" w:lineRule="auto"/>
        <w:rPr/>
      </w:pPr>
      <w:r w:rsidDel="00000000" w:rsidR="00000000" w:rsidRPr="00000000">
        <w:rPr>
          <w:rFonts w:ascii="Calibri" w:cs="Calibri" w:eastAsia="Calibri" w:hAnsi="Calibri"/>
          <w:color w:val="555555"/>
          <w:sz w:val="18"/>
          <w:szCs w:val="18"/>
          <w:rtl w:val="0"/>
        </w:rPr>
        <w:t xml:space="preserve">Module: nFinia Digital Banking &gt; Move Money</w:t>
      </w:r>
      <w:r w:rsidDel="00000000" w:rsidR="00000000" w:rsidRPr="00000000">
        <w:rPr>
          <w:rtl w:val="0"/>
        </w:rPr>
      </w:r>
    </w:p>
    <w:p w:rsidR="00000000" w:rsidDel="00000000" w:rsidP="00000000" w:rsidRDefault="00000000" w:rsidRPr="00000000" w14:paraId="00000005">
      <w:pPr>
        <w:spacing w:after="160" w:before="0" w:lineRule="auto"/>
        <w:rPr/>
      </w:pPr>
      <w:r w:rsidDel="00000000" w:rsidR="00000000" w:rsidRPr="00000000">
        <w:rPr>
          <w:rFonts w:ascii="Calibri" w:cs="Calibri" w:eastAsia="Calibri" w:hAnsi="Calibri"/>
          <w:i w:val="1"/>
          <w:iCs w:val="1"/>
          <w:color w:val="777777"/>
          <w:sz w:val="16"/>
          <w:szCs w:val="16"/>
          <w:rtl w:val="0"/>
        </w:rPr>
        <w:t xml:space="preserve">Sources: Summerville Reports Series A (36 docs) + Series B (25 docs) | Features: nFinia Documentation Features Spreadsheet</w:t>
      </w:r>
      <w:r w:rsidDel="00000000" w:rsidR="00000000" w:rsidRPr="00000000">
        <w:rPr>
          <w:rtl w:val="0"/>
        </w:rPr>
      </w:r>
    </w:p>
    <w:p w:rsidR="00000000" w:rsidDel="00000000" w:rsidP="00000000" w:rsidRDefault="00000000" w:rsidRPr="00000000" w14:paraId="00000006">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01  PRODUCT SUMMARY</w:t>
      </w:r>
      <w:r w:rsidDel="00000000" w:rsidR="00000000" w:rsidRPr="00000000">
        <w:rPr>
          <w:rtl w:val="0"/>
        </w:rPr>
      </w:r>
    </w:p>
    <w:p w:rsidR="00000000" w:rsidDel="00000000" w:rsidP="00000000" w:rsidRDefault="00000000" w:rsidRPr="00000000" w14:paraId="00000007">
      <w:pPr>
        <w:spacing w:after="80" w:before="0" w:lineRule="auto"/>
        <w:rPr/>
      </w:pPr>
      <w:r w:rsidDel="00000000" w:rsidR="00000000" w:rsidRPr="00000000">
        <w:rPr>
          <w:rtl w:val="0"/>
        </w:rPr>
      </w:r>
    </w:p>
    <w:p w:rsidR="00000000" w:rsidDel="00000000" w:rsidP="00000000" w:rsidRDefault="00000000" w:rsidRPr="00000000" w14:paraId="00000008">
      <w:pPr>
        <w:spacing w:after="140" w:before="0" w:lineRule="auto"/>
        <w:rPr/>
      </w:pPr>
      <w:r w:rsidDel="00000000" w:rsidR="00000000" w:rsidRPr="00000000">
        <w:rPr>
          <w:rFonts w:ascii="Calibri" w:cs="Calibri" w:eastAsia="Calibri" w:hAnsi="Calibri"/>
          <w:color w:val="333333"/>
          <w:sz w:val="20"/>
          <w:szCs w:val="20"/>
          <w:rtl w:val="0"/>
        </w:rPr>
        <w:t xml:space="preserve">The Move Money Hub is the central launchpad for all payment and transfer activities within nFinia Digital Banking. From one consolidated screen, members can access Quick Pay (loan payments), Internal Transfers, transfers to other Credit Union members, external ACH transfers, FedNow Instant Pay, Zelle, Bill Pay, Wire Transfers, and more.</w:t>
      </w:r>
      <w:r w:rsidDel="00000000" w:rsidR="00000000" w:rsidRPr="00000000">
        <w:rPr>
          <w:rtl w:val="0"/>
        </w:rPr>
      </w:r>
    </w:p>
    <w:p w:rsidR="00000000" w:rsidDel="00000000" w:rsidP="00000000" w:rsidRDefault="00000000" w:rsidRPr="00000000" w14:paraId="00000009">
      <w:pPr>
        <w:spacing w:after="140" w:before="0" w:lineRule="auto"/>
        <w:rPr/>
      </w:pPr>
      <w:r w:rsidDel="00000000" w:rsidR="00000000" w:rsidRPr="00000000">
        <w:rPr>
          <w:rFonts w:ascii="Calibri" w:cs="Calibri" w:eastAsia="Calibri" w:hAnsi="Calibri"/>
          <w:color w:val="333333"/>
          <w:sz w:val="20"/>
          <w:szCs w:val="20"/>
          <w:rtl w:val="0"/>
        </w:rPr>
        <w:t xml:space="preserve">This hub eliminates navigation complexity by surfacing every money-movement option in a clear tile layout. Members identify the correct transfer type quickly and navigate directly to the appropriate workflow without searching through menus or sub-menus. The Move Money hub is also where Online Forms and Recipient Management are accessible.</w:t>
      </w:r>
      <w:r w:rsidDel="00000000" w:rsidR="00000000" w:rsidRPr="00000000">
        <w:rPr>
          <w:rtl w:val="0"/>
        </w:rPr>
      </w:r>
    </w:p>
    <w:p w:rsidR="00000000" w:rsidDel="00000000" w:rsidP="00000000" w:rsidRDefault="00000000" w:rsidRPr="00000000" w14:paraId="0000000A">
      <w:pPr>
        <w:spacing w:after="140" w:before="0" w:lineRule="auto"/>
        <w:rPr/>
      </w:pPr>
      <w:r w:rsidDel="00000000" w:rsidR="00000000" w:rsidRPr="00000000">
        <w:rPr>
          <w:rFonts w:ascii="Calibri" w:cs="Calibri" w:eastAsia="Calibri" w:hAnsi="Calibri"/>
          <w:color w:val="333333"/>
          <w:sz w:val="20"/>
          <w:szCs w:val="20"/>
          <w:rtl w:val="0"/>
        </w:rPr>
        <w:t xml:space="preserve">For Summerville staff and power users, the hub also surfaces transfer templates, multi-payee transfer options, and business payment features under the same navigation node, making it the single entry point for all outgoing fund movements.</w:t>
      </w:r>
      <w:r w:rsidDel="00000000" w:rsidR="00000000" w:rsidRPr="00000000">
        <w:rPr>
          <w:rtl w:val="0"/>
        </w:rPr>
      </w:r>
    </w:p>
    <w:p w:rsidR="00000000" w:rsidDel="00000000" w:rsidP="00000000" w:rsidRDefault="00000000" w:rsidRPr="00000000" w14:paraId="0000000B">
      <w:pPr>
        <w:spacing w:after="80" w:before="0" w:lineRule="auto"/>
        <w:rPr/>
      </w:pPr>
      <w:r w:rsidDel="00000000" w:rsidR="00000000" w:rsidRPr="00000000">
        <w:rPr>
          <w:rtl w:val="0"/>
        </w:rPr>
      </w:r>
    </w:p>
    <w:p w:rsidR="00000000" w:rsidDel="00000000" w:rsidP="00000000" w:rsidRDefault="00000000" w:rsidRPr="00000000" w14:paraId="0000000C">
      <w:pPr>
        <w:pBdr>
          <w:bottom w:color="1c3f6e" w:space="0" w:sz="4" w:val="single"/>
        </w:pBdr>
        <w:spacing w:after="80" w:before="240" w:lineRule="auto"/>
        <w:rPr/>
      </w:pPr>
      <w:r w:rsidDel="00000000" w:rsidR="00000000" w:rsidRPr="00000000">
        <w:rPr>
          <w:rFonts w:ascii="Calibri" w:cs="Calibri" w:eastAsia="Calibri" w:hAnsi="Calibri"/>
          <w:b w:val="1"/>
          <w:bCs w:val="1"/>
          <w:color w:val="1c3f6e"/>
          <w:sz w:val="22"/>
          <w:szCs w:val="22"/>
          <w:rtl w:val="0"/>
        </w:rPr>
        <w:t xml:space="preserve">At a Glance</w:t>
      </w:r>
      <w:r w:rsidDel="00000000" w:rsidR="00000000" w:rsidRPr="00000000">
        <w:rPr>
          <w:rtl w:val="0"/>
        </w:rPr>
      </w:r>
    </w:p>
    <w:p w:rsidR="00000000" w:rsidDel="00000000" w:rsidP="00000000" w:rsidRDefault="00000000" w:rsidRPr="00000000" w14:paraId="0000000D">
      <w:pPr>
        <w:spacing w:after="60" w:before="0" w:lineRule="auto"/>
        <w:rPr/>
      </w:pPr>
      <w:r w:rsidDel="00000000" w:rsidR="00000000" w:rsidRPr="00000000">
        <w:rPr>
          <w:rtl w:val="0"/>
        </w:rPr>
      </w:r>
    </w:p>
    <w:tbl>
      <w:tblPr>
        <w:tblStyle w:val="Table1"/>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2800"/>
        <w:gridCol w:w="6560"/>
        <w:tblGridChange w:id="0">
          <w:tblGrid>
            <w:gridCol w:w="2800"/>
            <w:gridCol w:w="65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E">
            <w:pPr>
              <w:rPr/>
            </w:pPr>
            <w:r w:rsidDel="00000000" w:rsidR="00000000" w:rsidRPr="00000000">
              <w:rPr>
                <w:rFonts w:ascii="Calibri" w:cs="Calibri" w:eastAsia="Calibri" w:hAnsi="Calibri"/>
                <w:b w:val="1"/>
                <w:bCs w:val="1"/>
                <w:color w:val="ffffff"/>
                <w:sz w:val="18"/>
                <w:szCs w:val="18"/>
                <w:rtl w:val="0"/>
              </w:rPr>
              <w:t xml:space="preserve">Attribute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0F">
            <w:pPr>
              <w:rPr/>
            </w:pPr>
            <w:r w:rsidDel="00000000" w:rsidR="00000000" w:rsidRPr="00000000">
              <w:rPr>
                <w:rFonts w:ascii="Calibri" w:cs="Calibri" w:eastAsia="Calibri" w:hAnsi="Calibri"/>
                <w:b w:val="1"/>
                <w:bCs w:val="1"/>
                <w:color w:val="ffffff"/>
                <w:sz w:val="18"/>
                <w:szCs w:val="18"/>
                <w:rtl w:val="0"/>
              </w:rPr>
              <w:t xml:space="preserve">Detail</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0">
            <w:pPr>
              <w:rPr/>
            </w:pPr>
            <w:r w:rsidDel="00000000" w:rsidR="00000000" w:rsidRPr="00000000">
              <w:rPr>
                <w:rFonts w:ascii="Calibri" w:cs="Calibri" w:eastAsia="Calibri" w:hAnsi="Calibri"/>
                <w:color w:val="333333"/>
                <w:sz w:val="18"/>
                <w:szCs w:val="18"/>
                <w:rtl w:val="0"/>
              </w:rPr>
              <w:t xml:space="preserve">Module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1">
            <w:pPr>
              <w:rPr/>
            </w:pPr>
            <w:r w:rsidDel="00000000" w:rsidR="00000000" w:rsidRPr="00000000">
              <w:rPr>
                <w:rFonts w:ascii="Calibri" w:cs="Calibri" w:eastAsia="Calibri" w:hAnsi="Calibri"/>
                <w:color w:val="333333"/>
                <w:sz w:val="18"/>
                <w:szCs w:val="18"/>
                <w:rtl w:val="0"/>
              </w:rPr>
              <w:t xml:space="preserve">Move Money</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2">
            <w:pPr>
              <w:rPr/>
            </w:pPr>
            <w:r w:rsidDel="00000000" w:rsidR="00000000" w:rsidRPr="00000000">
              <w:rPr>
                <w:rFonts w:ascii="Calibri" w:cs="Calibri" w:eastAsia="Calibri" w:hAnsi="Calibri"/>
                <w:color w:val="333333"/>
                <w:sz w:val="18"/>
                <w:szCs w:val="18"/>
                <w:rtl w:val="0"/>
              </w:rPr>
              <w:t xml:space="preserve">Transfer Options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3">
            <w:pPr>
              <w:rPr/>
            </w:pPr>
            <w:r w:rsidDel="00000000" w:rsidR="00000000" w:rsidRPr="00000000">
              <w:rPr>
                <w:rFonts w:ascii="Calibri" w:cs="Calibri" w:eastAsia="Calibri" w:hAnsi="Calibri"/>
                <w:color w:val="333333"/>
                <w:sz w:val="18"/>
                <w:szCs w:val="18"/>
                <w:rtl w:val="0"/>
              </w:rPr>
              <w:t xml:space="preserve">Quick Pay, Own Account, Other Members, External, FedNow, Zelle, Bill Pay, Wire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4">
            <w:pPr>
              <w:rPr/>
            </w:pPr>
            <w:r w:rsidDel="00000000" w:rsidR="00000000" w:rsidRPr="00000000">
              <w:rPr>
                <w:rFonts w:ascii="Calibri" w:cs="Calibri" w:eastAsia="Calibri" w:hAnsi="Calibri"/>
                <w:color w:val="333333"/>
                <w:sz w:val="18"/>
                <w:szCs w:val="18"/>
                <w:rtl w:val="0"/>
              </w:rPr>
              <w:t xml:space="preserve">Recipient Management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5">
            <w:pPr>
              <w:rPr/>
            </w:pPr>
            <w:r w:rsidDel="00000000" w:rsidR="00000000" w:rsidRPr="00000000">
              <w:rPr>
                <w:rFonts w:ascii="Calibri" w:cs="Calibri" w:eastAsia="Calibri" w:hAnsi="Calibri"/>
                <w:color w:val="333333"/>
                <w:sz w:val="18"/>
                <w:szCs w:val="18"/>
                <w:rtl w:val="0"/>
              </w:rPr>
              <w:t xml:space="preserve">Accessible from </w:t>
            </w:r>
            <w:r w:rsidDel="00000000" w:rsidR="00000000" w:rsidRPr="00000000">
              <w:rPr>
                <w:sz w:val="18"/>
                <w:szCs w:val="18"/>
                <w:rtl w:val="0"/>
              </w:rPr>
              <w:t xml:space="preserve">the </w:t>
            </w:r>
            <w:r w:rsidDel="00000000" w:rsidR="00000000" w:rsidRPr="00000000">
              <w:rPr>
                <w:rFonts w:ascii="Calibri" w:cs="Calibri" w:eastAsia="Calibri" w:hAnsi="Calibri"/>
                <w:color w:val="333333"/>
                <w:sz w:val="18"/>
                <w:szCs w:val="18"/>
                <w:rtl w:val="0"/>
              </w:rPr>
              <w:t xml:space="preserve">Move Money hub</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6">
            <w:pPr>
              <w:rPr/>
            </w:pPr>
            <w:r w:rsidDel="00000000" w:rsidR="00000000" w:rsidRPr="00000000">
              <w:rPr>
                <w:rFonts w:ascii="Calibri" w:cs="Calibri" w:eastAsia="Calibri" w:hAnsi="Calibri"/>
                <w:color w:val="333333"/>
                <w:sz w:val="18"/>
                <w:szCs w:val="18"/>
                <w:rtl w:val="0"/>
              </w:rPr>
              <w:t xml:space="preserve">Online Forms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Calibri" w:cs="Calibri" w:eastAsia="Calibri" w:hAnsi="Calibri"/>
                <w:color w:val="333333"/>
                <w:sz w:val="18"/>
                <w:szCs w:val="18"/>
                <w:rtl w:val="0"/>
              </w:rPr>
              <w:t xml:space="preserve">ACH, Wire, Address, Skip Pay forms accessible here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Calibri" w:cs="Calibri" w:eastAsia="Calibri" w:hAnsi="Calibri"/>
                <w:color w:val="333333"/>
                <w:sz w:val="18"/>
                <w:szCs w:val="18"/>
                <w:rtl w:val="0"/>
              </w:rPr>
              <w:t xml:space="preserve">Business Features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Calibri" w:cs="Calibri" w:eastAsia="Calibri" w:hAnsi="Calibri"/>
                <w:color w:val="333333"/>
                <w:sz w:val="18"/>
                <w:szCs w:val="18"/>
                <w:rtl w:val="0"/>
              </w:rPr>
              <w:t xml:space="preserve">Transfer templates, Multi-payee, ACH batch (business accounts)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Calibri" w:cs="Calibri" w:eastAsia="Calibri" w:hAnsi="Calibri"/>
                <w:color w:val="333333"/>
                <w:sz w:val="18"/>
                <w:szCs w:val="18"/>
                <w:rtl w:val="0"/>
              </w:rPr>
              <w:t xml:space="preserve">Related Reports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Calibri" w:cs="Calibri" w:eastAsia="Calibri" w:hAnsi="Calibri"/>
                <w:color w:val="333333"/>
                <w:sz w:val="18"/>
                <w:szCs w:val="18"/>
                <w:rtl w:val="0"/>
              </w:rPr>
              <w:t xml:space="preserve">CSUM-07–15 (all transfer/payment reports)</w:t>
            </w:r>
            <w:r w:rsidDel="00000000" w:rsidR="00000000" w:rsidRPr="00000000">
              <w:rPr>
                <w:rtl w:val="0"/>
              </w:rPr>
            </w:r>
          </w:p>
        </w:tc>
      </w:tr>
    </w:tbl>
    <w:p w:rsidR="00000000" w:rsidDel="00000000" w:rsidP="00000000" w:rsidRDefault="00000000" w:rsidRPr="00000000" w14:paraId="0000001C">
      <w:pPr>
        <w:spacing w:after="200" w:before="0" w:lineRule="auto"/>
        <w:rPr/>
      </w:pPr>
      <w:r w:rsidDel="00000000" w:rsidR="00000000" w:rsidRPr="00000000">
        <w:rPr>
          <w:rtl w:val="0"/>
        </w:rPr>
      </w:r>
    </w:p>
    <w:p w:rsidR="00000000" w:rsidDel="00000000" w:rsidP="00000000" w:rsidRDefault="00000000" w:rsidRPr="00000000" w14:paraId="0000001D">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02  KEY USE CASES</w:t>
      </w:r>
      <w:r w:rsidDel="00000000" w:rsidR="00000000" w:rsidRPr="00000000">
        <w:rPr>
          <w:rtl w:val="0"/>
        </w:rPr>
      </w:r>
    </w:p>
    <w:p w:rsidR="00000000" w:rsidDel="00000000" w:rsidP="00000000" w:rsidRDefault="00000000" w:rsidRPr="00000000" w14:paraId="0000001E">
      <w:pPr>
        <w:spacing w:after="80" w:before="0" w:lineRule="auto"/>
        <w:rPr/>
      </w:pPr>
      <w:r w:rsidDel="00000000" w:rsidR="00000000" w:rsidRPr="00000000">
        <w:rPr>
          <w:rtl w:val="0"/>
        </w:rPr>
      </w:r>
    </w:p>
    <w:tbl>
      <w:tblPr>
        <w:tblStyle w:val="Table2"/>
        <w:tblW w:w="9360.0" w:type="dxa"/>
        <w:jc w:val="left"/>
        <w:tblInd w:w="-120.0" w:type="dxa"/>
        <w:tblBorders>
          <w:top w:color="d0d7e8" w:space="0" w:sz="4" w:val="single"/>
          <w:left w:color="d0d7e8" w:space="0" w:sz="4" w:val="single"/>
          <w:bottom w:color="d0d7e8" w:space="0" w:sz="4" w:val="single"/>
          <w:right w:color="d0d7e8" w:space="0" w:sz="4" w:val="single"/>
          <w:insideH w:color="d0d7e8" w:space="0" w:sz="4" w:val="single"/>
          <w:insideV w:color="d0d7e8" w:space="0" w:sz="4" w:val="single"/>
        </w:tblBorders>
        <w:tblLayout w:type="fixed"/>
        <w:tblLook w:val="0000"/>
      </w:tblPr>
      <w:tblGrid>
        <w:gridCol w:w="1800"/>
        <w:gridCol w:w="1600"/>
        <w:gridCol w:w="3000"/>
        <w:gridCol w:w="2960"/>
        <w:tblGridChange w:id="0">
          <w:tblGrid>
            <w:gridCol w:w="1800"/>
            <w:gridCol w:w="1600"/>
            <w:gridCol w:w="3000"/>
            <w:gridCol w:w="2960"/>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Calibri" w:cs="Calibri" w:eastAsia="Calibri" w:hAnsi="Calibri"/>
                <w:b w:val="1"/>
                <w:bCs w:val="1"/>
                <w:color w:val="ffffff"/>
                <w:sz w:val="18"/>
                <w:szCs w:val="18"/>
                <w:rtl w:val="0"/>
              </w:rPr>
              <w:t xml:space="preserve">Use Case</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Calibri" w:cs="Calibri" w:eastAsia="Calibri" w:hAnsi="Calibri"/>
                <w:b w:val="1"/>
                <w:bCs w:val="1"/>
                <w:color w:val="ffffff"/>
                <w:sz w:val="18"/>
                <w:szCs w:val="18"/>
                <w:rtl w:val="0"/>
              </w:rPr>
              <w:t xml:space="preserve">Who Uses It</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Calibri" w:cs="Calibri" w:eastAsia="Calibri" w:hAnsi="Calibri"/>
                <w:b w:val="1"/>
                <w:bCs w:val="1"/>
                <w:color w:val="ffffff"/>
                <w:sz w:val="18"/>
                <w:szCs w:val="18"/>
                <w:rtl w:val="0"/>
              </w:rPr>
              <w:t xml:space="preserve">What They Do</w:t>
            </w:r>
            <w:r w:rsidDel="00000000" w:rsidR="00000000" w:rsidRPr="00000000">
              <w:rPr>
                <w:rtl w:val="0"/>
              </w:rPr>
            </w:r>
          </w:p>
        </w:tc>
        <w:tc>
          <w:tcPr>
            <w:tcBorders>
              <w:top w:color="ffffff" w:space="0" w:sz="4" w:val="single"/>
              <w:left w:color="ffffff" w:space="0" w:sz="4" w:val="single"/>
              <w:bottom w:color="ffffff" w:space="0" w:sz="4" w:val="single"/>
              <w:right w:color="ffffff" w:space="0" w:sz="4" w:val="single"/>
            </w:tcBorders>
            <w:shd w:fill="1c3f6e"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Calibri" w:cs="Calibri" w:eastAsia="Calibri" w:hAnsi="Calibri"/>
                <w:b w:val="1"/>
                <w:bCs w:val="1"/>
                <w:color w:val="ffffff"/>
                <w:sz w:val="18"/>
                <w:szCs w:val="18"/>
                <w:rtl w:val="0"/>
              </w:rPr>
              <w:t xml:space="preserve">Business Value</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Calibri" w:cs="Calibri" w:eastAsia="Calibri" w:hAnsi="Calibri"/>
                <w:color w:val="333333"/>
                <w:sz w:val="18"/>
                <w:szCs w:val="18"/>
                <w:rtl w:val="0"/>
              </w:rPr>
              <w:t xml:space="preserve">Select Transfer Type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Calibri" w:cs="Calibri" w:eastAsia="Calibri" w:hAnsi="Calibri"/>
                <w:color w:val="333333"/>
                <w:sz w:val="18"/>
                <w:szCs w:val="18"/>
                <w:rtl w:val="0"/>
              </w:rPr>
              <w:t xml:space="preserve">Members initiating any payment</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Calibri" w:cs="Calibri" w:eastAsia="Calibri" w:hAnsi="Calibri"/>
                <w:color w:val="333333"/>
                <w:sz w:val="18"/>
                <w:szCs w:val="18"/>
                <w:rtl w:val="0"/>
              </w:rPr>
              <w:t xml:space="preserve">View all payment options on one screen, select the matching tile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6">
            <w:pPr>
              <w:rPr/>
            </w:pPr>
            <w:r w:rsidDel="00000000" w:rsidR="00000000" w:rsidRPr="00000000">
              <w:rPr>
                <w:rFonts w:ascii="Calibri" w:cs="Calibri" w:eastAsia="Calibri" w:hAnsi="Calibri"/>
                <w:color w:val="333333"/>
                <w:sz w:val="18"/>
                <w:szCs w:val="18"/>
                <w:rtl w:val="0"/>
              </w:rPr>
              <w:t xml:space="preserve">Reduces payment errors from navigating to </w:t>
            </w:r>
            <w:r w:rsidDel="00000000" w:rsidR="00000000" w:rsidRPr="00000000">
              <w:rPr>
                <w:sz w:val="18"/>
                <w:szCs w:val="18"/>
                <w:rtl w:val="0"/>
              </w:rPr>
              <w:t xml:space="preserve">the </w:t>
            </w:r>
            <w:r w:rsidDel="00000000" w:rsidR="00000000" w:rsidRPr="00000000">
              <w:rPr>
                <w:rFonts w:ascii="Calibri" w:cs="Calibri" w:eastAsia="Calibri" w:hAnsi="Calibri"/>
                <w:color w:val="333333"/>
                <w:sz w:val="18"/>
                <w:szCs w:val="18"/>
                <w:rtl w:val="0"/>
              </w:rPr>
              <w:t xml:space="preserve">wrong workflow</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7">
            <w:pPr>
              <w:rPr/>
            </w:pPr>
            <w:r w:rsidDel="00000000" w:rsidR="00000000" w:rsidRPr="00000000">
              <w:rPr>
                <w:rFonts w:ascii="Calibri" w:cs="Calibri" w:eastAsia="Calibri" w:hAnsi="Calibri"/>
                <w:color w:val="333333"/>
                <w:sz w:val="18"/>
                <w:szCs w:val="18"/>
                <w:rtl w:val="0"/>
              </w:rPr>
              <w:t xml:space="preserve">Bill Pay Access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8">
            <w:pPr>
              <w:rPr/>
            </w:pPr>
            <w:r w:rsidDel="00000000" w:rsidR="00000000" w:rsidRPr="00000000">
              <w:rPr>
                <w:rFonts w:ascii="Calibri" w:cs="Calibri" w:eastAsia="Calibri" w:hAnsi="Calibri"/>
                <w:color w:val="333333"/>
                <w:sz w:val="18"/>
                <w:szCs w:val="18"/>
                <w:rtl w:val="0"/>
              </w:rPr>
              <w:t xml:space="preserve">Members paying external bills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9">
            <w:pPr>
              <w:rPr/>
            </w:pPr>
            <w:r w:rsidDel="00000000" w:rsidR="00000000" w:rsidRPr="00000000">
              <w:rPr>
                <w:rFonts w:ascii="Calibri" w:cs="Calibri" w:eastAsia="Calibri" w:hAnsi="Calibri"/>
                <w:color w:val="333333"/>
                <w:sz w:val="18"/>
                <w:szCs w:val="18"/>
                <w:rtl w:val="0"/>
              </w:rPr>
              <w:t xml:space="preserve">Click </w:t>
            </w:r>
            <w:r w:rsidDel="00000000" w:rsidR="00000000" w:rsidRPr="00000000">
              <w:rPr>
                <w:sz w:val="18"/>
                <w:szCs w:val="18"/>
                <w:rtl w:val="0"/>
              </w:rPr>
              <w:t xml:space="preserve">the </w:t>
            </w:r>
            <w:r w:rsidDel="00000000" w:rsidR="00000000" w:rsidRPr="00000000">
              <w:rPr>
                <w:rFonts w:ascii="Calibri" w:cs="Calibri" w:eastAsia="Calibri" w:hAnsi="Calibri"/>
                <w:color w:val="333333"/>
                <w:sz w:val="18"/>
                <w:szCs w:val="18"/>
                <w:rtl w:val="0"/>
              </w:rPr>
              <w:t xml:space="preserve">Pay Bills tile to navigate to </w:t>
            </w:r>
            <w:r w:rsidDel="00000000" w:rsidR="00000000" w:rsidRPr="00000000">
              <w:rPr>
                <w:sz w:val="18"/>
                <w:szCs w:val="18"/>
                <w:rtl w:val="0"/>
              </w:rPr>
              <w:t xml:space="preserve">the </w:t>
            </w:r>
            <w:r w:rsidDel="00000000" w:rsidR="00000000" w:rsidRPr="00000000">
              <w:rPr>
                <w:rFonts w:ascii="Calibri" w:cs="Calibri" w:eastAsia="Calibri" w:hAnsi="Calibri"/>
                <w:color w:val="333333"/>
                <w:sz w:val="18"/>
                <w:szCs w:val="18"/>
                <w:rtl w:val="0"/>
              </w:rPr>
              <w:t xml:space="preserve">bill payment service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A">
            <w:pPr>
              <w:rPr/>
            </w:pPr>
            <w:r w:rsidDel="00000000" w:rsidR="00000000" w:rsidRPr="00000000">
              <w:rPr>
                <w:rFonts w:ascii="Calibri" w:cs="Calibri" w:eastAsia="Calibri" w:hAnsi="Calibri"/>
                <w:color w:val="333333"/>
                <w:sz w:val="18"/>
                <w:szCs w:val="18"/>
                <w:rtl w:val="0"/>
              </w:rPr>
              <w:t xml:space="preserve">One-click access to integrated bill pay from </w:t>
            </w:r>
            <w:r w:rsidDel="00000000" w:rsidR="00000000" w:rsidRPr="00000000">
              <w:rPr>
                <w:sz w:val="18"/>
                <w:szCs w:val="18"/>
                <w:rtl w:val="0"/>
              </w:rPr>
              <w:t xml:space="preserve">the </w:t>
            </w:r>
            <w:r w:rsidDel="00000000" w:rsidR="00000000" w:rsidRPr="00000000">
              <w:rPr>
                <w:rFonts w:ascii="Calibri" w:cs="Calibri" w:eastAsia="Calibri" w:hAnsi="Calibri"/>
                <w:color w:val="333333"/>
                <w:sz w:val="18"/>
                <w:szCs w:val="18"/>
                <w:rtl w:val="0"/>
              </w:rPr>
              <w:t xml:space="preserve">central hub</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B">
            <w:pPr>
              <w:rPr/>
            </w:pPr>
            <w:r w:rsidDel="00000000" w:rsidR="00000000" w:rsidRPr="00000000">
              <w:rPr>
                <w:rFonts w:ascii="Calibri" w:cs="Calibri" w:eastAsia="Calibri" w:hAnsi="Calibri"/>
                <w:color w:val="333333"/>
                <w:sz w:val="18"/>
                <w:szCs w:val="18"/>
                <w:rtl w:val="0"/>
              </w:rPr>
              <w:t xml:space="preserve">Wire Transfer Initiation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C">
            <w:pPr>
              <w:rPr/>
            </w:pPr>
            <w:r w:rsidDel="00000000" w:rsidR="00000000" w:rsidRPr="00000000">
              <w:rPr>
                <w:rFonts w:ascii="Calibri" w:cs="Calibri" w:eastAsia="Calibri" w:hAnsi="Calibri"/>
                <w:color w:val="333333"/>
                <w:sz w:val="18"/>
                <w:szCs w:val="18"/>
                <w:rtl w:val="0"/>
              </w:rPr>
              <w:t xml:space="preserve">Members sending a wire</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D">
            <w:pPr>
              <w:rPr/>
            </w:pPr>
            <w:r w:rsidDel="00000000" w:rsidR="00000000" w:rsidRPr="00000000">
              <w:rPr>
                <w:rFonts w:ascii="Calibri" w:cs="Calibri" w:eastAsia="Calibri" w:hAnsi="Calibri"/>
                <w:color w:val="333333"/>
                <w:sz w:val="18"/>
                <w:szCs w:val="18"/>
                <w:rtl w:val="0"/>
              </w:rPr>
              <w:t xml:space="preserve">Click </w:t>
            </w:r>
            <w:r w:rsidDel="00000000" w:rsidR="00000000" w:rsidRPr="00000000">
              <w:rPr>
                <w:sz w:val="18"/>
                <w:szCs w:val="18"/>
                <w:rtl w:val="0"/>
              </w:rPr>
              <w:t xml:space="preserve">the </w:t>
            </w:r>
            <w:r w:rsidDel="00000000" w:rsidR="00000000" w:rsidRPr="00000000">
              <w:rPr>
                <w:rFonts w:ascii="Calibri" w:cs="Calibri" w:eastAsia="Calibri" w:hAnsi="Calibri"/>
                <w:color w:val="333333"/>
                <w:sz w:val="18"/>
                <w:szCs w:val="18"/>
                <w:rtl w:val="0"/>
              </w:rPr>
              <w:t xml:space="preserve">Wire Transfer tile to open the wire form</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ebf2fb" w:val="clear"/>
            <w:tcMar>
              <w:top w:w="80.0" w:type="dxa"/>
              <w:left w:w="120.0" w:type="dxa"/>
              <w:bottom w:w="80.0" w:type="dxa"/>
              <w:right w:w="120.0" w:type="dxa"/>
            </w:tcMar>
          </w:tcPr>
          <w:p w:rsidR="00000000" w:rsidDel="00000000" w:rsidP="00000000" w:rsidRDefault="00000000" w:rsidRPr="00000000" w14:paraId="0000002E">
            <w:pPr>
              <w:rPr/>
            </w:pPr>
            <w:r w:rsidDel="00000000" w:rsidR="00000000" w:rsidRPr="00000000">
              <w:rPr>
                <w:rFonts w:ascii="Calibri" w:cs="Calibri" w:eastAsia="Calibri" w:hAnsi="Calibri"/>
                <w:color w:val="333333"/>
                <w:sz w:val="18"/>
                <w:szCs w:val="18"/>
                <w:rtl w:val="0"/>
              </w:rPr>
              <w:t xml:space="preserve">Direct access to domestic and international wire request forms</w:t>
            </w:r>
            <w:r w:rsidDel="00000000" w:rsidR="00000000" w:rsidRPr="00000000">
              <w:rPr>
                <w:rtl w:val="0"/>
              </w:rPr>
            </w:r>
          </w:p>
        </w:tc>
      </w:tr>
      <w:tr>
        <w:trPr>
          <w:cantSplit w:val="0"/>
          <w:tblHeader w:val="0"/>
        </w:trPr>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Calibri" w:cs="Calibri" w:eastAsia="Calibri" w:hAnsi="Calibri"/>
                <w:color w:val="333333"/>
                <w:sz w:val="18"/>
                <w:szCs w:val="18"/>
                <w:rtl w:val="0"/>
              </w:rPr>
              <w:t xml:space="preserve">New Member Orientation</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Calibri" w:cs="Calibri" w:eastAsia="Calibri" w:hAnsi="Calibri"/>
                <w:color w:val="333333"/>
                <w:sz w:val="18"/>
                <w:szCs w:val="18"/>
                <w:rtl w:val="0"/>
              </w:rPr>
              <w:t xml:space="preserve">First-time digital banking users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Calibri" w:cs="Calibri" w:eastAsia="Calibri" w:hAnsi="Calibri"/>
                <w:color w:val="333333"/>
                <w:sz w:val="18"/>
                <w:szCs w:val="18"/>
                <w:rtl w:val="0"/>
              </w:rPr>
              <w:t xml:space="preserve">Browse </w:t>
            </w:r>
            <w:r w:rsidDel="00000000" w:rsidR="00000000" w:rsidRPr="00000000">
              <w:rPr>
                <w:sz w:val="18"/>
                <w:szCs w:val="18"/>
                <w:rtl w:val="0"/>
              </w:rPr>
              <w:t xml:space="preserve">the </w:t>
            </w:r>
            <w:r w:rsidDel="00000000" w:rsidR="00000000" w:rsidRPr="00000000">
              <w:rPr>
                <w:rFonts w:ascii="Calibri" w:cs="Calibri" w:eastAsia="Calibri" w:hAnsi="Calibri"/>
                <w:color w:val="333333"/>
                <w:sz w:val="18"/>
                <w:szCs w:val="18"/>
                <w:rtl w:val="0"/>
              </w:rPr>
              <w:t xml:space="preserve">Move Money hub to understand all available payment options</w:t>
            </w:r>
            <w:r w:rsidDel="00000000" w:rsidR="00000000" w:rsidRPr="00000000">
              <w:rPr>
                <w:rtl w:val="0"/>
              </w:rPr>
            </w:r>
          </w:p>
        </w:tc>
        <w:tc>
          <w:tcPr>
            <w:tcBorders>
              <w:top w:color="d0d7e8" w:space="0" w:sz="4" w:val="single"/>
              <w:left w:color="d0d7e8" w:space="0" w:sz="4" w:val="single"/>
              <w:bottom w:color="d0d7e8" w:space="0" w:sz="4" w:val="single"/>
              <w:right w:color="d0d7e8"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Calibri" w:cs="Calibri" w:eastAsia="Calibri" w:hAnsi="Calibri"/>
                <w:color w:val="333333"/>
                <w:sz w:val="18"/>
                <w:szCs w:val="18"/>
                <w:rtl w:val="0"/>
              </w:rPr>
              <w:t xml:space="preserve">Lowers learning curve — all options visible in one location</w:t>
            </w:r>
            <w:r w:rsidDel="00000000" w:rsidR="00000000" w:rsidRPr="00000000">
              <w:rPr>
                <w:rtl w:val="0"/>
              </w:rPr>
            </w:r>
          </w:p>
        </w:tc>
      </w:tr>
    </w:tbl>
    <w:p w:rsidR="00000000" w:rsidDel="00000000" w:rsidP="00000000" w:rsidRDefault="00000000" w:rsidRPr="00000000" w14:paraId="00000033">
      <w:pPr>
        <w:spacing w:after="200" w:before="0" w:lineRule="auto"/>
        <w:rPr/>
      </w:pPr>
      <w:r w:rsidDel="00000000" w:rsidR="00000000" w:rsidRPr="00000000">
        <w:rPr>
          <w:rtl w:val="0"/>
        </w:rPr>
      </w:r>
    </w:p>
    <w:p w:rsidR="00000000" w:rsidDel="00000000" w:rsidP="00000000" w:rsidRDefault="00000000" w:rsidRPr="00000000" w14:paraId="00000034">
      <w:pPr>
        <w:shd w:fill="1c3f6e" w:val="clear"/>
        <w:spacing w:after="120" w:before="280" w:lineRule="auto"/>
        <w:ind w:left="216" w:firstLine="0"/>
        <w:rPr/>
      </w:pPr>
      <w:r w:rsidDel="00000000" w:rsidR="00000000" w:rsidRPr="00000000">
        <w:rPr>
          <w:rFonts w:ascii="Calibri" w:cs="Calibri" w:eastAsia="Calibri" w:hAnsi="Calibri"/>
          <w:b w:val="1"/>
          <w:bCs w:val="1"/>
          <w:color w:val="ffffff"/>
          <w:sz w:val="26"/>
          <w:szCs w:val="26"/>
          <w:rtl w:val="0"/>
        </w:rPr>
        <w:t xml:space="preserve">  03  STEP-BY-STEP GUIDE</w:t>
      </w:r>
      <w:r w:rsidDel="00000000" w:rsidR="00000000" w:rsidRPr="00000000">
        <w:rPr>
          <w:rtl w:val="0"/>
        </w:rPr>
      </w:r>
    </w:p>
    <w:p w:rsidR="00000000" w:rsidDel="00000000" w:rsidP="00000000" w:rsidRDefault="00000000" w:rsidRPr="00000000" w14:paraId="00000035">
      <w:pPr>
        <w:spacing w:after="60" w:before="0" w:lineRule="auto"/>
        <w:rPr/>
      </w:pPr>
      <w:r w:rsidDel="00000000" w:rsidR="00000000" w:rsidRPr="00000000">
        <w:rPr>
          <w:rtl w:val="0"/>
        </w:rPr>
      </w:r>
    </w:p>
    <w:p w:rsidR="00000000" w:rsidDel="00000000" w:rsidP="00000000" w:rsidRDefault="00000000" w:rsidRPr="00000000" w14:paraId="00000036">
      <w:pPr>
        <w:spacing w:after="60" w:before="0" w:lineRule="auto"/>
        <w:ind w:left="360" w:firstLine="0"/>
        <w:rPr/>
      </w:pPr>
      <w:r w:rsidDel="00000000" w:rsidR="00000000" w:rsidRPr="00000000">
        <w:rPr>
          <w:rFonts w:ascii="Calibri" w:cs="Calibri" w:eastAsia="Calibri" w:hAnsi="Calibri"/>
          <w:i w:val="1"/>
          <w:iCs w:val="1"/>
          <w:color w:val="555555"/>
          <w:sz w:val="18"/>
          <w:szCs w:val="18"/>
          <w:rtl w:val="0"/>
        </w:rPr>
        <w:t xml:space="preserve">Navigation: Dashboard &gt; 'Move Money' in top navigation bar.</w:t>
      </w:r>
      <w:r w:rsidDel="00000000" w:rsidR="00000000" w:rsidRPr="00000000">
        <w:rPr>
          <w:rtl w:val="0"/>
        </w:rPr>
      </w:r>
    </w:p>
    <w:p w:rsidR="00000000" w:rsidDel="00000000" w:rsidP="00000000" w:rsidRDefault="00000000" w:rsidRPr="00000000" w14:paraId="00000037">
      <w:pPr>
        <w:pBdr>
          <w:bottom w:color="1c3f6e" w:space="0" w:sz="4" w:val="single"/>
        </w:pBdr>
        <w:spacing w:after="60" w:before="200" w:lineRule="auto"/>
        <w:rPr>
          <w:b w:val="1"/>
          <w:bCs w:val="1"/>
          <w:color w:val="1c3f6e"/>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38">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1 — Start from Dashboard</w:t>
      </w:r>
      <w:r w:rsidDel="00000000" w:rsidR="00000000" w:rsidRPr="00000000">
        <w:rPr>
          <w:rtl w:val="0"/>
        </w:rPr>
      </w:r>
    </w:p>
    <w:p w:rsidR="00000000" w:rsidDel="00000000" w:rsidP="00000000" w:rsidRDefault="00000000" w:rsidRPr="00000000" w14:paraId="00000039">
      <w:pPr>
        <w:spacing w:after="100" w:before="60" w:lineRule="auto"/>
        <w:rPr/>
      </w:pPr>
      <w:r w:rsidDel="00000000" w:rsidR="00000000" w:rsidRPr="00000000">
        <w:rPr>
          <w:rFonts w:ascii="Calibri" w:cs="Calibri" w:eastAsia="Calibri" w:hAnsi="Calibri"/>
          <w:color w:val="333333"/>
          <w:sz w:val="20"/>
          <w:szCs w:val="20"/>
          <w:rtl w:val="0"/>
        </w:rPr>
        <w:t xml:space="preserve">The member begins at the Dashboard after logging in. The Dashboard displays all account balances, upcoming payments, quick-action tiles, and the top navigation bar with links to Accounts, Move Money, and More.</w:t>
      </w:r>
      <w:r w:rsidDel="00000000" w:rsidR="00000000" w:rsidRPr="00000000">
        <w:rPr>
          <w:rtl w:val="0"/>
        </w:rPr>
      </w:r>
    </w:p>
    <w:p w:rsidR="00000000" w:rsidDel="00000000" w:rsidP="00000000" w:rsidRDefault="00000000" w:rsidRPr="00000000" w14:paraId="0000003A">
      <w:pPr>
        <w:spacing w:after="60" w:before="100" w:lineRule="auto"/>
        <w:jc w:val="center"/>
        <w:rPr/>
      </w:pPr>
      <w:r w:rsidDel="00000000" w:rsidR="00000000" w:rsidRPr="00000000">
        <w:rPr/>
        <w:drawing>
          <wp:inline distB="0" distT="0" distL="114300" distR="114300">
            <wp:extent cx="5486400" cy="6879431"/>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486400" cy="6879431"/>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1: Start from Dashboard</w:t>
      </w:r>
      <w:r w:rsidDel="00000000" w:rsidR="00000000" w:rsidRPr="00000000">
        <w:rPr>
          <w:rtl w:val="0"/>
        </w:rPr>
      </w:r>
    </w:p>
    <w:p w:rsidR="00000000" w:rsidDel="00000000" w:rsidP="00000000" w:rsidRDefault="00000000" w:rsidRPr="00000000" w14:paraId="0000003C">
      <w:pPr>
        <w:spacing w:after="80" w:before="0" w:lineRule="auto"/>
        <w:rPr/>
      </w:pPr>
      <w:r w:rsidDel="00000000" w:rsidR="00000000" w:rsidRPr="00000000">
        <w:rPr>
          <w:rtl w:val="0"/>
        </w:rPr>
      </w:r>
    </w:p>
    <w:p w:rsidR="00000000" w:rsidDel="00000000" w:rsidP="00000000" w:rsidRDefault="00000000" w:rsidRPr="00000000" w14:paraId="0000003D">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2 — Navigate to Move Money Hub</w:t>
      </w:r>
      <w:r w:rsidDel="00000000" w:rsidR="00000000" w:rsidRPr="00000000">
        <w:rPr>
          <w:rtl w:val="0"/>
        </w:rPr>
      </w:r>
    </w:p>
    <w:p w:rsidR="00000000" w:rsidDel="00000000" w:rsidP="00000000" w:rsidRDefault="00000000" w:rsidRPr="00000000" w14:paraId="0000003E">
      <w:pPr>
        <w:spacing w:after="100" w:before="60" w:lineRule="auto"/>
        <w:rPr/>
      </w:pPr>
      <w:r w:rsidDel="00000000" w:rsidR="00000000" w:rsidRPr="00000000">
        <w:rPr>
          <w:rFonts w:ascii="Calibri" w:cs="Calibri" w:eastAsia="Calibri" w:hAnsi="Calibri"/>
          <w:color w:val="333333"/>
          <w:sz w:val="20"/>
          <w:szCs w:val="20"/>
          <w:rtl w:val="0"/>
        </w:rPr>
        <w:t xml:space="preserve">The member clicks ‘Move Money’ in the top navigation bar. The Move Money Hub displays all payment and transfer options as tiles</w:t>
      </w:r>
      <w:r w:rsidDel="00000000" w:rsidR="00000000" w:rsidRPr="00000000">
        <w:rPr>
          <w:rtl w:val="0"/>
        </w:rPr>
        <w:t xml:space="preserve">,</w:t>
      </w:r>
      <w:r w:rsidDel="00000000" w:rsidR="00000000" w:rsidRPr="00000000">
        <w:rPr>
          <w:rFonts w:ascii="Calibri" w:cs="Calibri" w:eastAsia="Calibri" w:hAnsi="Calibri"/>
          <w:color w:val="333333"/>
          <w:sz w:val="20"/>
          <w:szCs w:val="20"/>
          <w:rtl w:val="0"/>
        </w:rPr>
        <w:t xml:space="preserve"> including Pay Bills, Quick Pay, Zelle Payment, Internal Transfers, Other Members, Same-Day Transfers, Send Instantly, Manage Recipients, Add Recipient, Transaction History, Scheduled Transfers, and P2P Transfer.</w:t>
      </w:r>
      <w:r w:rsidDel="00000000" w:rsidR="00000000" w:rsidRPr="00000000">
        <w:rPr>
          <w:rtl w:val="0"/>
        </w:rPr>
      </w:r>
    </w:p>
    <w:p w:rsidR="00000000" w:rsidDel="00000000" w:rsidP="00000000" w:rsidRDefault="00000000" w:rsidRPr="00000000" w14:paraId="0000003F">
      <w:pPr>
        <w:spacing w:after="60" w:before="100" w:lineRule="auto"/>
        <w:jc w:val="center"/>
        <w:rPr/>
      </w:pPr>
      <w:r w:rsidDel="00000000" w:rsidR="00000000" w:rsidRPr="00000000">
        <w:rPr/>
        <w:drawing>
          <wp:inline distB="0" distT="0" distL="114300" distR="114300">
            <wp:extent cx="5486400" cy="6292215"/>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486400" cy="629221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2: Move Money Hub</w:t>
      </w:r>
      <w:r w:rsidDel="00000000" w:rsidR="00000000" w:rsidRPr="00000000">
        <w:rPr>
          <w:rtl w:val="0"/>
        </w:rPr>
      </w:r>
    </w:p>
    <w:p w:rsidR="00000000" w:rsidDel="00000000" w:rsidP="00000000" w:rsidRDefault="00000000" w:rsidRPr="00000000" w14:paraId="00000041">
      <w:pPr>
        <w:spacing w:after="80" w:before="0" w:lineRule="auto"/>
        <w:rPr/>
      </w:pPr>
      <w:r w:rsidDel="00000000" w:rsidR="00000000" w:rsidRPr="00000000">
        <w:rPr>
          <w:rtl w:val="0"/>
        </w:rPr>
      </w:r>
    </w:p>
    <w:p w:rsidR="00000000" w:rsidDel="00000000" w:rsidP="00000000" w:rsidRDefault="00000000" w:rsidRPr="00000000" w14:paraId="00000042">
      <w:pPr>
        <w:spacing w:after="100" w:before="60" w:lineRule="auto"/>
        <w:rPr/>
      </w:pPr>
      <w:r w:rsidDel="00000000" w:rsidR="00000000" w:rsidRPr="00000000">
        <w:rPr>
          <w:rtl w:val="0"/>
        </w:rPr>
      </w:r>
    </w:p>
    <w:p w:rsidR="00000000" w:rsidDel="00000000" w:rsidP="00000000" w:rsidRDefault="00000000" w:rsidRPr="00000000" w14:paraId="00000043">
      <w:pPr>
        <w:spacing w:after="100" w:before="0" w:lineRule="auto"/>
        <w:jc w:val="left"/>
        <w:rPr/>
      </w:pPr>
      <w:r w:rsidDel="00000000" w:rsidR="00000000" w:rsidRPr="00000000">
        <w:rPr>
          <w:rtl w:val="0"/>
        </w:rPr>
      </w:r>
    </w:p>
    <w:p w:rsidR="00000000" w:rsidDel="00000000" w:rsidP="00000000" w:rsidRDefault="00000000" w:rsidRPr="00000000" w14:paraId="00000044">
      <w:pPr>
        <w:spacing w:after="80" w:before="0" w:lineRule="auto"/>
        <w:rPr/>
      </w:pPr>
      <w:r w:rsidDel="00000000" w:rsidR="00000000" w:rsidRPr="00000000">
        <w:rPr>
          <w:rtl w:val="0"/>
        </w:rPr>
      </w:r>
    </w:p>
    <w:p w:rsidR="00000000" w:rsidDel="00000000" w:rsidP="00000000" w:rsidRDefault="00000000" w:rsidRPr="00000000" w14:paraId="00000045">
      <w:pPr>
        <w:pBdr>
          <w:bottom w:color="1c3f6e" w:space="0" w:sz="4" w:val="single"/>
        </w:pBdr>
        <w:spacing w:after="60" w:before="200" w:lineRule="auto"/>
        <w:rPr/>
      </w:pPr>
      <w:r w:rsidDel="00000000" w:rsidR="00000000" w:rsidRPr="00000000">
        <w:rPr>
          <w:rFonts w:ascii="Calibri" w:cs="Calibri" w:eastAsia="Calibri" w:hAnsi="Calibri"/>
          <w:b w:val="1"/>
          <w:bCs w:val="1"/>
          <w:color w:val="1c3f6e"/>
          <w:sz w:val="22"/>
          <w:szCs w:val="22"/>
          <w:rtl w:val="0"/>
        </w:rPr>
        <w:t xml:space="preserve">Step </w:t>
      </w:r>
      <w:r w:rsidDel="00000000" w:rsidR="00000000" w:rsidRPr="00000000">
        <w:rPr>
          <w:b w:val="1"/>
          <w:bCs w:val="1"/>
          <w:color w:val="1c3f6e"/>
          <w:sz w:val="22"/>
          <w:szCs w:val="22"/>
          <w:rtl w:val="0"/>
        </w:rPr>
        <w:t xml:space="preserve">3</w:t>
      </w:r>
      <w:r w:rsidDel="00000000" w:rsidR="00000000" w:rsidRPr="00000000">
        <w:rPr>
          <w:rFonts w:ascii="Calibri" w:cs="Calibri" w:eastAsia="Calibri" w:hAnsi="Calibri"/>
          <w:b w:val="1"/>
          <w:bCs w:val="1"/>
          <w:color w:val="1c3f6e"/>
          <w:sz w:val="22"/>
          <w:szCs w:val="22"/>
          <w:rtl w:val="0"/>
        </w:rPr>
        <w:t xml:space="preserve"> — Browse Payment Options &amp; Bill Pay</w:t>
      </w:r>
      <w:r w:rsidDel="00000000" w:rsidR="00000000" w:rsidRPr="00000000">
        <w:rPr>
          <w:rtl w:val="0"/>
        </w:rPr>
      </w:r>
    </w:p>
    <w:p w:rsidR="00000000" w:rsidDel="00000000" w:rsidP="00000000" w:rsidRDefault="00000000" w:rsidRPr="00000000" w14:paraId="00000046">
      <w:pPr>
        <w:spacing w:after="100" w:before="60" w:lineRule="auto"/>
        <w:rPr/>
      </w:pPr>
      <w:r w:rsidDel="00000000" w:rsidR="00000000" w:rsidRPr="00000000">
        <w:rPr>
          <w:rFonts w:ascii="Calibri" w:cs="Calibri" w:eastAsia="Calibri" w:hAnsi="Calibri"/>
          <w:color w:val="333333"/>
          <w:sz w:val="20"/>
          <w:szCs w:val="20"/>
          <w:rtl w:val="0"/>
        </w:rPr>
        <w:t xml:space="preserve">The Move Money hub continues with the same grid layout of payment options. A promotional banner appears below the grid, and an upcoming payments section on the right shows account balances.</w:t>
      </w:r>
      <w:r w:rsidDel="00000000" w:rsidR="00000000" w:rsidRPr="00000000">
        <w:rPr>
          <w:rtl w:val="0"/>
        </w:rPr>
      </w:r>
    </w:p>
    <w:p w:rsidR="00000000" w:rsidDel="00000000" w:rsidP="00000000" w:rsidRDefault="00000000" w:rsidRPr="00000000" w14:paraId="00000047">
      <w:pPr>
        <w:spacing w:after="60" w:before="100" w:lineRule="auto"/>
        <w:jc w:val="center"/>
        <w:rPr/>
      </w:pPr>
      <w:r w:rsidDel="00000000" w:rsidR="00000000" w:rsidRPr="00000000">
        <w:rPr/>
        <w:drawing>
          <wp:inline distB="0" distT="0" distL="114300" distR="114300">
            <wp:extent cx="5486400" cy="7188041"/>
            <wp:effectExtent b="0" l="0" r="0" t="0"/>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7188041"/>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100" w:before="0" w:lineRule="auto"/>
        <w:jc w:val="center"/>
        <w:rPr/>
      </w:pPr>
      <w:r w:rsidDel="00000000" w:rsidR="00000000" w:rsidRPr="00000000">
        <w:rPr>
          <w:rFonts w:ascii="Calibri" w:cs="Calibri" w:eastAsia="Calibri" w:hAnsi="Calibri"/>
          <w:i w:val="1"/>
          <w:iCs w:val="1"/>
          <w:color w:val="555555"/>
          <w:sz w:val="16"/>
          <w:szCs w:val="16"/>
          <w:rtl w:val="0"/>
        </w:rPr>
        <w:t xml:space="preserve">Step </w:t>
      </w:r>
      <w:r w:rsidDel="00000000" w:rsidR="00000000" w:rsidRPr="00000000">
        <w:rPr>
          <w:i w:val="1"/>
          <w:iCs w:val="1"/>
          <w:color w:val="555555"/>
          <w:sz w:val="16"/>
          <w:szCs w:val="16"/>
          <w:rtl w:val="0"/>
        </w:rPr>
        <w:t xml:space="preserve">3</w:t>
      </w:r>
      <w:r w:rsidDel="00000000" w:rsidR="00000000" w:rsidRPr="00000000">
        <w:rPr>
          <w:rFonts w:ascii="Calibri" w:cs="Calibri" w:eastAsia="Calibri" w:hAnsi="Calibri"/>
          <w:i w:val="1"/>
          <w:iCs w:val="1"/>
          <w:color w:val="555555"/>
          <w:sz w:val="16"/>
          <w:szCs w:val="16"/>
          <w:rtl w:val="0"/>
        </w:rPr>
        <w:t xml:space="preserve">: Browse Payment Options &amp; Bill Pay</w:t>
      </w:r>
      <w:r w:rsidDel="00000000" w:rsidR="00000000" w:rsidRPr="00000000">
        <w:rPr>
          <w:rtl w:val="0"/>
        </w:rPr>
      </w:r>
    </w:p>
    <w:p w:rsidR="00000000" w:rsidDel="00000000" w:rsidP="00000000" w:rsidRDefault="00000000" w:rsidRPr="00000000" w14:paraId="00000049">
      <w:pPr>
        <w:spacing w:after="80" w:before="0" w:lineRule="auto"/>
        <w:rPr/>
      </w:pPr>
      <w:r w:rsidDel="00000000" w:rsidR="00000000" w:rsidRPr="00000000">
        <w:rPr>
          <w:rtl w:val="0"/>
        </w:rPr>
      </w:r>
    </w:p>
    <w:sectPr>
      <w:pgSz w:h="15840" w:w="12240" w:orient="portrait"/>
      <w:pgMar w:bottom="1080" w:top="108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333333"/>
      </w:rPr>
    </w:rPrDefault>
    <w:pPrDefault>
      <w:pPr>
        <w:spacing w:after="12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FsPrSiLOf60DDWjxq1NkmNzSfw==">CgMxLjA4AHIhMUY4NHlGdWZ3VmRsbF9JdTBRVHRBUFJubmZZRXBZd2pI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