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SYMBIOSIS INSTITUTE OF TECHNOLOGY, PUNE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Artificial Intelligence and Machine Learning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Multimodal AI Mini Project — CA-2 Report</w:t>
      </w:r>
    </w:p>
    <w:p>
      <w:pPr>
        <w:jc w:val="center"/>
      </w:pPr>
      <w:r>
        <w:rPr>
          <w:rFonts w:ascii="Times New Roman" w:hAnsi="Times New Roman"/>
          <w:b/>
          <w:i w:val="0"/>
          <w:sz w:val="36"/>
        </w:rPr>
        <w:t>SpecSnap: Multimodal AI for Automated Test Case Generation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from UI Screenshots and Natural Language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4"/>
        </w:rPr>
        <w:t>Group Number: _______________  (fill before upload)</w:t>
      </w:r>
    </w:p>
    <w:p>
      <w:pPr>
        <w:pStyle w:val="Heading2"/>
        <w:spacing w:after="80"/>
      </w:pPr>
      <w:r>
        <w:rPr>
          <w:rFonts w:ascii="Times New Roman" w:hAnsi="Times New Roman"/>
          <w:b/>
          <w:i w:val="0"/>
          <w:color w:val="1F4E79"/>
          <w:sz w:val="24"/>
        </w:rPr>
        <w:t>Group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86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Sr.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Name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PRN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Shwet Gaur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23070126126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Member 2 (fill name)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Member 3 (fill name)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Member 4 (fill name)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Faculty Guide: Prof. Nivedita Mishra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Submission Date: September 2026</w:t>
      </w:r>
    </w:p>
    <w:p>
      <w:r>
        <w:br w:type="page"/>
      </w:r>
    </w:p>
    <w:p>
      <w:pPr>
        <w:pStyle w:val="Heading1"/>
        <w:spacing w:after="160"/>
      </w:pPr>
      <w:r>
        <w:rPr>
          <w:rFonts w:ascii="Times New Roman" w:hAnsi="Times New Roman"/>
          <w:b/>
          <w:i w:val="0"/>
          <w:color w:val="1F4E79"/>
          <w:sz w:val="28"/>
        </w:rPr>
        <w:t>1. Introduction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This CA-2 report extends the CA-1 ideation review for SpecSnap — a Multimodal AI mini project aligned with SDG 9 (Industry, Innovation and Infrastructure). SpecSnap accepts a UI screenshot and a natural-language test objective, then produces structured executable test cases (ordered steps, expected outcomes, assertions). CA-1 defined the problem statement, literature review, and late-fusion architecture (vision encoder + LLM). CA-2 documents resource allocation and risk analysis, the selected dataset, modalities chosen, and EDA on image and text inputs as required by the department.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Manual QA engineers visually inspect interfaces and write test plans in plain English. SpecSnap automates the bridge from that workflow to machine-readable tests by fusing what the tester sees (screenshot) with what they intend (text). Sections 2–5 cover resources, dataset, modalities, and EDA; Section 6 summarizes progress since CA-1; Section 7 concludes with next steps.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1.1 CA-2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Resource allocation and risk analysis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Section 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Dataset 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Section 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Modalities chosen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Section 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EDA / preliminary analysis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Section 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</w:tr>
    </w:tbl>
    <w:p>
      <w:pPr>
        <w:spacing w:after="80"/>
      </w:pPr>
    </w:p>
    <w:p>
      <w:pPr>
        <w:pStyle w:val="Heading1"/>
        <w:spacing w:after="160"/>
      </w:pPr>
      <w:r>
        <w:rPr>
          <w:rFonts w:ascii="Times New Roman" w:hAnsi="Times New Roman"/>
          <w:b/>
          <w:i w:val="0"/>
          <w:color w:val="1F4E79"/>
          <w:sz w:val="28"/>
        </w:rPr>
        <w:t>2. Resource Allocation and Risk Analysis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SpecSnap is a four-member group project (July–September 2026). Resources span human roles, compute/API budget, software stack, and a scored risk register reviewed in weekly Saturday syncs.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2.1 Human resource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Member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Primary responsibility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Tools / modules owned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Shwet Gaur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Lead, integration, CA reports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Pipeline wiring, Moodle submission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Member 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Vision encoder, preprocessing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CLIP embeddings, resize/letterbox, OCR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Member 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LLM prompts, JSON schema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Groq/OpenAI calls, output validation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Member 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Dataset curation, EDA</w:t>
            </w:r>
          </w:p>
        </w:tc>
        <w:tc>
          <w:tcPr>
            <w:tcW w:type="dxa" w:w="460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Rico/MobilityUI sampling, notebooks</w:t>
            </w:r>
          </w:p>
        </w:tc>
      </w:tr>
    </w:tbl>
    <w:p>
      <w:pPr>
        <w:spacing w:after="80"/>
      </w:pP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2.2 Compute and software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44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Resource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Allocation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Developer laptops (4)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Prototyping, EDA notebooks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Shared lab slots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Google Colab GPU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Batch CLIP embedding extraction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Free tier ~10 hrs/week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Groq / OpenAI API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LLM test-step generation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Free tier + eval budget &lt; ₹500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Hugging Face Hub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CLIP, BLIP-2 pretrained weights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Public downloads</w:t>
            </w:r>
          </w:p>
        </w:tc>
      </w:tr>
      <w:tr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GitHub (private)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Code, manifests, notebooks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Group repo</w:t>
            </w:r>
          </w:p>
        </w:tc>
      </w:tr>
    </w:tbl>
    <w:p>
      <w:pPr>
        <w:spacing w:after="80"/>
      </w:pP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Stack: Python 3.11, transformers, Pillow, pandas, matplotlib, pytesseract, jsonschema. CLIP ViT-B/32 (~350 MB) is cached locally; Groq Llama 3.1 8B handles development inference; GPT-4o-mini is reserved for final eval runs.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2.3 Risk analysis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73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Likelihood</w:t>
            </w:r>
          </w:p>
        </w:tc>
        <w:tc>
          <w:tcPr>
            <w:tcW w:type="dxa" w:w="374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Mitigation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LLM hallucinated steps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37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JSON schema; temperature=0.2; max 8 steps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Screenshot–text misalignment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Manual QA on 10% sample; OCR cross-check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Mobile vs web domain shift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Stratified split; expand web corpus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Low-res / blurry screenshots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Letterbox 512×512; reject blur &lt; 100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GPU/API quota limits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37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Cache embeddings and LLM responses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Copyright on proprietary UIs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374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Rico/MobilityUI + public demo apps only</w:t>
            </w:r>
          </w:p>
        </w:tc>
      </w:tr>
    </w:tbl>
    <w:p>
      <w:pPr>
        <w:spacing w:after="80"/>
      </w:pP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Highest priority: LLM hallucination (strict schema + low temperature) and domain shift between mobile portrait (Rico) and web landscape screenshots (manual corpus), addressed via letterbox preprocessing and stratified train/validation/test splits.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2.4 Project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15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Phase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Activities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W1–W2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CA-1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Literature review, problem statement, architecture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W3–W4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Dataset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Rico download, MobilityUI sampling, web captures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W5–W6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EDA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Resolution, text stats, category labelling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W7–W8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Prototype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CLIP + Groq LLM zero-shot pipeline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CA-2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This report — resources, dataset, EDA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W10–W12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CA-3</w:t>
            </w:r>
          </w:p>
        </w:tc>
        <w:tc>
          <w:tcPr>
            <w:tcW w:type="dxa" w:w="64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Prompt tuning, Playwright integration, eval</w:t>
            </w:r>
          </w:p>
        </w:tc>
      </w:tr>
    </w:tbl>
    <w:p>
      <w:pPr>
        <w:spacing w:after="80"/>
      </w:pPr>
    </w:p>
    <w:p>
      <w:pPr>
        <w:pStyle w:val="Heading1"/>
        <w:spacing w:after="160"/>
      </w:pPr>
      <w:r>
        <w:rPr>
          <w:rFonts w:ascii="Times New Roman" w:hAnsi="Times New Roman"/>
          <w:b/>
          <w:i w:val="0"/>
          <w:color w:val="1F4E79"/>
          <w:sz w:val="28"/>
        </w:rPr>
        <w:t>3. Description of the Selected Dataset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SpecSnap uses paired multimodal records: each item has a UI screenshot (image), natural-language objective and expected outcome (text), and optional ground-truth JSON steps for evaluation — analogous to MS COCO but for QA.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3.1 Dataset sources and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Source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Samples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Modalities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Rico (Deka et al., 2017)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PNG + UI hierarchy JSON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Mobile UI diversity, auto-labels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MobilityUI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PNG + layout metadata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Second mobile source for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Manual web corpus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PNG + NL + human steps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Login, cart, dashboard demo flows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Synthetic augmentation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Cropped widgets + captions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Control-level grounding</w:t>
            </w:r>
          </w:p>
        </w:tc>
      </w:tr>
    </w:tbl>
    <w:p>
      <w:pPr>
        <w:spacing w:after="80"/>
      </w:pP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Rico contains 66,261 Android screens from 9,293 apps. We stratified-sample 500 screens with ≥1 interactive widget (Button/EditText ≥ 32×32 px), excluding duplicates (pHash), dark screens (mean intensity &lt; 40), and low OCR confidence. Manual web captures use Sauce Demo and similar public apps at 1280×720 with dummy credentials.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3.2 Record schema and data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01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446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sample_id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44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Unique ID (e.g., rico_00421)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image_path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PNG</w:t>
            </w:r>
          </w:p>
        </w:tc>
        <w:tc>
          <w:tcPr>
            <w:tcW w:type="dxa" w:w="44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Full-screen UI screenshot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nl_objective / nl_expected_outcome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4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Tester-written goal and outcome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ground_truth_steps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JSON</w:t>
            </w:r>
          </w:p>
        </w:tc>
        <w:tc>
          <w:tcPr>
            <w:tcW w:type="dxa" w:w="44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Optional human steps for eval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app_category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44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login, e-commerce, settings, navigation, forms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446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rico | mobilityui | manual_web | synthetic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Split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Count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%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Train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600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70.6%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Prompt tuning, embedding cache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Validation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17.6%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Temperature / top-k selection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Test (held-out)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11.8%</w:t>
            </w:r>
          </w:p>
        </w:tc>
        <w:tc>
          <w:tcPr>
            <w:tcW w:type="dxa" w:w="561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Final evaluation — no peeking</w:t>
            </w:r>
          </w:p>
        </w:tc>
      </w:tr>
    </w:tbl>
    <w:p>
      <w:pPr>
        <w:spacing w:after="80"/>
      </w:pP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3.3 Filtering pipeline (Rico)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Step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Remaining screens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Raw Rico corpus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66,261 unique screens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66,261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Interactivity filter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≥1 widget ≥ 32×32 px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25,061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Duplicate removal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pHash Hamming distance &lt; 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6,661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Brightness filter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intensity ≥ 40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5,771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OCR readability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Tesseract confidence &gt; 0.7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3,671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Stratified sample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500 proportional to category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500</w:t>
            </w:r>
          </w:p>
        </w:tc>
      </w:tr>
    </w:tbl>
    <w:p>
      <w:pPr>
        <w:spacing w:after="80"/>
      </w:pP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Example record web_sauce_001: Sauce Demo login at 1280×720; objective — verify valid login reaches inventory; steps — fill username/password, click Login, assert URL contains inventory.html, assert 'Products' visible. Each manual pair was dual-reviewed before inclusion.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Total pilot corpus: 850 records. Rico/MobilityUI are academic-licensed; manual screenshots use only public demo sites. No PII or proprietary UIs included.</w:t>
      </w:r>
    </w:p>
    <w:p>
      <w:pPr>
        <w:pStyle w:val="Heading1"/>
        <w:spacing w:after="160"/>
      </w:pPr>
      <w:r>
        <w:rPr>
          <w:rFonts w:ascii="Times New Roman" w:hAnsi="Times New Roman"/>
          <w:b/>
          <w:i w:val="0"/>
          <w:color w:val="1F4E79"/>
          <w:sz w:val="28"/>
        </w:rPr>
        <w:t>4. Modalities Chosen for the Project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SpecSnap is a two-modality system: Vision (UI screenshots) and Language (NL specifications → JSON test steps), following Baltrušaitis et al. (2019) representation–alignment–fusion taxonomy. Audio and video were rejected (QA uses written plans; video storage cost). DOM-only input was rejected (SPAs hide elements via CSS).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4.1 Modality roles and fusion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Modality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Format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Encoder / decoder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UI screenshot PNG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CLIP ViT-B/32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Layout, buttons, fields, labels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Text (input)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NL objective + outcome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Test intent from human tester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Text (auxiliary)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OCR + UI hierarchy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Tesseract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Grounding hints for LLM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Text (output)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JSON test steps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Groq Llama / GPT-4o-mini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Executable test case</w:t>
            </w:r>
          </w:p>
        </w:tc>
      </w:tr>
    </w:tbl>
    <w:p>
      <w:pPr>
        <w:spacing w:after="80"/>
      </w:pP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Late fusion pipeline: (1) letterbox resize to 512×512 + ImageNet normalize; (2) CLIP embedding (512-dim); (3) assemble prompt from NL text, OCR strings, top-5 CLIP label matches; (4) LLM generates JSON steps; (5) jsonschema validation. Output actions: click, fill, select, assert_text, assert_url, goto.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Image + text matches industry QA practice (visual inspection + written test plans), aligns with Applitools and Playwright trace workflows, and leverages mature 2026 models (CLIP, LLaVA family, instruction-tuned LLMs).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4.2 Modality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Criterion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Image+Text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DOM only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Video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Matches QA workflow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Rare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Captures visual layout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Storage per sample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~200 KB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~50 KB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~20 MB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2026 model maturity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Medium</w:t>
            </w:r>
          </w:p>
        </w:tc>
      </w:tr>
    </w:tbl>
    <w:p>
      <w:pPr>
        <w:spacing w:after="80"/>
      </w:pP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4.3 Model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Why selected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CLIP ViT-B/32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Vision encoder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350 MB, ~180 ms CPU, 400M pair pretraining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BLIP-2 OPT-2.7B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Caption baseline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Image-to-text for comparison runs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Groq Llama 3.1 8B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Dev LLM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Free tier, fast JSON output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GPT-4o-mini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Eval LLM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Upper-bound quality on 50 samples</w:t>
            </w:r>
          </w:p>
        </w:tc>
      </w:tr>
    </w:tbl>
    <w:p>
      <w:pPr>
        <w:spacing w:after="80"/>
      </w:pPr>
    </w:p>
    <w:p>
      <w:pPr>
        <w:pStyle w:val="Heading1"/>
        <w:spacing w:after="160"/>
      </w:pPr>
      <w:r>
        <w:rPr>
          <w:rFonts w:ascii="Times New Roman" w:hAnsi="Times New Roman"/>
          <w:b/>
          <w:i w:val="0"/>
          <w:color w:val="1F4E79"/>
          <w:sz w:val="28"/>
        </w:rPr>
        <w:t>5. Exploratory Data Analysis (EDA)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EDA was performed in Python (notebooks/eda_pilot.ipynb) on 750 train+val records using pandas, matplotlib, Pillow, and pytesseract. Goals: resolution/quality stats, text vocabulary, category balance, cross-modal alignment (OCR vs hierarchy), and baseline comparison of fusion strategies.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5.1 Image modality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Rico (500)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MobilityUI (200)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Manual web (50)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resolution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1440×2560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1080×1920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1280×720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Portrait orientation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88%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file size (KB)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245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198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156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Screens with ≥3 widgets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94%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Excluded (dark/blur)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37 screens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 screens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 screens</w:t>
            </w:r>
          </w:p>
        </w:tc>
      </w:tr>
    </w:tbl>
    <w:p>
      <w:pPr>
        <w:spacing w:after="80"/>
      </w:pP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Mobile sources are predominantly portrait; web captures are landscape. All inputs are letterboxed to 512×512. Widget analysis on Rico hierarchies: Button + EditText = 18.2% of widgets (primary automation targets); TextView = 34.2% (assert_text targets). K-means on colours: 72% light themes, 15% dark (OCR confidence 0.62 vs 0.81).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5.2 Text and cross-modal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Value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Implication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nl_objective length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18.4 words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Fits LLM context with image context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nl_expected_outcome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12.1 words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Concise assertion descriptions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Mean steps per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Schema max set to 8 steps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Top verbs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verify, click, enter, login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Standard QA vocabulary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OCR–hierarchy exact match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71%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Use both as optional LLM context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Category balance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 categories, 17–25% each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Stratified splits applied</w:t>
            </w:r>
          </w:p>
        </w:tc>
      </w:tr>
    </w:tbl>
    <w:p>
      <w:pPr>
        <w:spacing w:after="80"/>
      </w:pP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Ground-truth action mix: click 32.1%, fill 22.2%, assert_text 19.7%, assert_url 12.2%. Chi-square on category vs source confirmed mobile/web domain shift (p &lt; 0.01), motivating stratified sampling.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5.2.1 Widget and 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59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Category / widget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Count or %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Login / authentication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210 (24.7%)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Most common test scenario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E-commerce / cart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185 (21.8%)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Add-to-cart, checkout flows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Settings / profile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142 (16.7%)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Form update and save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Navigation / menu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168 (19.8%)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Sidebar and module selection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Forms / search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145 (17.0%)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Validation message checks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Button + EditText widgets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18.2% of all</w:t>
            </w:r>
          </w:p>
        </w:tc>
        <w:tc>
          <w:tcPr>
            <w:tcW w:type="dxa" w:w="3456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Primary automation targets</w:t>
            </w:r>
          </w:p>
        </w:tc>
      </w:tr>
    </w:tbl>
    <w:p>
      <w:pPr>
        <w:spacing w:after="80"/>
      </w:pP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5.3 Preprocessing and baseline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Preprocessing step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EDA rationale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Resize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512×512 letterbox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Unify portrait/landscape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Normalize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ImageNet mean/std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Stable CLIP inputs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Quality filter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Blur variance ≥ 100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Exclude motion-blur captures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Prompt limit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256 tokens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Prevent context overflow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LLM temperature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Reduce hallucination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Baseline (n=30 val)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Step match rate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A: Text-only LLM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NL objective only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60% (18/30)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B: LLM + OCR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NL + Tesseract 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73% (22/30)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C: LLM + CLIP context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NL + top-5 CLIP matches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90% (27/30)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D: LLM + BLIP-2 caption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NL + auto caption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83% (25/30)</w:t>
            </w:r>
          </w:p>
        </w:tc>
      </w:tr>
    </w:tbl>
    <w:p>
      <w:pPr>
        <w:spacing w:after="80"/>
      </w:pP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Baseline C (CLIP-augmented) selected for the pipeline. t-SNE on CLIP embeddings showed category clusters (login, e-commerce, settings) with mobile/web login overlap. Dual-reviewer rubric on 10 samples: Cohen's κ = 0.82; CLIP pipeline mean score 1.8 vs 1.1 text-only. Failure modes: small icon buttons (27%), modals (20%), hallucinated extra steps (23%).</w:t>
      </w: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5.4 Qualitative review and failure modes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Ten validation pairs were scored by two reviewers (3-point rubric). Cohen's κ = 0.82. CLIP-augmented pipeline mean 1.8 vs 1.1 text-only. t-SNE on CLIP embeddings showed category clusters with mobile/web login overlap. Top failure modes: small icon buttons (27%), modal overlays (20%), hallucinated extra steps (23%).</w:t>
      </w:r>
    </w:p>
    <w:p>
      <w:pPr>
        <w:pStyle w:val="Heading1"/>
        <w:spacing w:after="160"/>
      </w:pPr>
      <w:r>
        <w:rPr>
          <w:rFonts w:ascii="Times New Roman" w:hAnsi="Times New Roman"/>
          <w:b/>
          <w:i w:val="0"/>
          <w:color w:val="1F4E79"/>
          <w:sz w:val="28"/>
        </w:rPr>
        <w:t>6. Progress Since CA-1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CA-1 (Jul–Aug 2026)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CA-2 addition (Aug–Sep 2026)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Problem statement, literature, SDG 9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850-record corpus + schema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Architecture (vision + LLM)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EDA + preprocessing pipeline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Conceptual late fusion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 baselines; 90% val match rate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Modality selection rationale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Resource plan + 6-item risk register</w:t>
            </w:r>
          </w:p>
        </w:tc>
      </w:tr>
    </w:tbl>
    <w:p>
      <w:pPr>
        <w:spacing w:after="80"/>
      </w:pPr>
    </w:p>
    <w:p>
      <w:pPr>
        <w:pStyle w:val="Heading2"/>
        <w:spacing w:after="160"/>
      </w:pPr>
      <w:r>
        <w:rPr>
          <w:rFonts w:ascii="Times New Roman" w:hAnsi="Times New Roman"/>
          <w:b/>
          <w:i w:val="0"/>
          <w:color w:val="1F4E79"/>
          <w:sz w:val="24"/>
        </w:rPr>
        <w:t>6.1 Planned CA-3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Owner</w:t>
            </w:r>
          </w:p>
        </w:tc>
        <w:tc>
          <w:tcPr>
            <w:tcW w:type="dxa" w:w="4032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Target metric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Expand manual web corpus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Member 4</w:t>
            </w:r>
          </w:p>
        </w:tc>
        <w:tc>
          <w:tcPr>
            <w:tcW w:type="dxa" w:w="403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150 curated pairs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Few-shot prompt engineering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Member 3</w:t>
            </w:r>
          </w:p>
        </w:tc>
        <w:tc>
          <w:tcPr>
            <w:tcW w:type="dxa" w:w="403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Val match rate ≥ 93%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Playwright integration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Shwet Gaur</w:t>
            </w:r>
          </w:p>
        </w:tc>
        <w:tc>
          <w:tcPr>
            <w:tcW w:type="dxa" w:w="403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 end-to-end demo flows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Held-out evaluation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All</w:t>
            </w:r>
          </w:p>
        </w:tc>
        <w:tc>
          <w:tcPr>
            <w:tcW w:type="dxa" w:w="4032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Step-level F1 ≥ 0.80</w:t>
            </w:r>
          </w:p>
        </w:tc>
      </w:tr>
    </w:tbl>
    <w:p>
      <w:pPr>
        <w:spacing w:after="80"/>
      </w:pPr>
    </w:p>
    <w:p>
      <w:pPr>
        <w:pStyle w:val="Heading1"/>
        <w:spacing w:after="160"/>
      </w:pPr>
      <w:r>
        <w:rPr>
          <w:rFonts w:ascii="Times New Roman" w:hAnsi="Times New Roman"/>
          <w:b/>
          <w:i w:val="0"/>
          <w:color w:val="1F4E79"/>
          <w:sz w:val="28"/>
        </w:rPr>
        <w:t>7. Conclusion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CA-2 documents SpecSnap's resource plan, multimodal dataset (Rico 500 + MobilityUI 200 + manual 50 + synthetic 100), image+text modality choice with late fusion, and EDA driving preprocessing (512 letterbox, blur/brightness filters, temperature 0.2). CLIP-augmented LLM reached 90% step match vs 60% text-only on validation.</w:t>
      </w:r>
    </w:p>
    <w:p>
      <w:pPr>
        <w:spacing w:line="420" w:lineRule="auto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Next steps (CA-3): expand manual web corpus to 150 pairs, few-shot prompt tuning, Playwright integration, and held-out evaluation targeting step-level F1 ≥ 0.80 on the 100-sample test set.</w:t>
      </w:r>
    </w:p>
    <w:p>
      <w:pPr>
        <w:pStyle w:val="Heading1"/>
        <w:spacing w:after="160"/>
      </w:pPr>
      <w:r>
        <w:rPr>
          <w:rFonts w:ascii="Times New Roman" w:hAnsi="Times New Roman"/>
          <w:b/>
          <w:i w:val="0"/>
          <w:color w:val="1F4E79"/>
          <w:sz w:val="28"/>
        </w:rPr>
        <w:t>References</w:t>
      </w:r>
    </w:p>
    <w:p>
      <w:pPr>
        <w:pStyle w:val="ListNumber"/>
        <w:spacing w:line="420" w:lineRule="auto" w:after="40"/>
      </w:pPr>
      <w:r>
        <w:t>Baltrušaitis, T., Ahuja, C., &amp; Morency, L.-P. (2019). Multimodal Machine Learning: A Survey and Taxonomy. IEEE TPAMI.</w:t>
      </w:r>
    </w:p>
    <w:p>
      <w:pPr>
        <w:pStyle w:val="ListNumber"/>
        <w:spacing w:line="420" w:lineRule="auto" w:after="40"/>
      </w:pPr>
      <w:r>
        <w:t>Deka, M., et al. (2017). Rico: A Mobile App Dataset for Building Data-Driven Design Applications. UIST.</w:t>
      </w:r>
    </w:p>
    <w:p>
      <w:pPr>
        <w:pStyle w:val="ListNumber"/>
        <w:spacing w:line="420" w:lineRule="auto" w:after="40"/>
      </w:pPr>
      <w:r>
        <w:t>Radford, A., et al. (2021). Learning Transferable Visual Models From Natural Language Supervision (CLIP). ICML.</w:t>
      </w:r>
    </w:p>
    <w:p>
      <w:pPr>
        <w:pStyle w:val="ListNumber"/>
        <w:spacing w:line="420" w:lineRule="auto" w:after="40"/>
      </w:pPr>
      <w:r>
        <w:t>Li, J., et al. (2023). BLIP-2: Bootstrapping Language-Image Pre-training with Frozen Image Encoders and LLMs. ICML.</w:t>
      </w:r>
    </w:p>
    <w:p>
      <w:pPr>
        <w:pStyle w:val="ListNumber"/>
        <w:spacing w:line="420" w:lineRule="auto" w:after="40"/>
      </w:pPr>
      <w:r>
        <w:t>Symbiosis Institute of Technology. (2026). Multimodal AI mini project CA-2 submission notice.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