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3E2E8C"/>
          <w:sz w:val="46"/>
          <w:szCs w:val="46"/>
        </w:rPr>
        <w:t xml:space="preserve">AI Idea Forge</w:t>
      </w:r>
    </w:p>
    <w:p>
      <w:pPr>
        <w:spacing w:after="60"/>
        <w:jc w:val="center"/>
      </w:pPr>
      <w:r>
        <w:rPr>
          <w:rFonts w:ascii="Calibri" w:cs="Calibri" w:eastAsia="Calibri" w:hAnsi="Calibri"/>
          <w:b/>
          <w:bCs/>
          <w:color w:val="1B1F2A"/>
          <w:sz w:val="28"/>
          <w:szCs w:val="28"/>
        </w:rPr>
        <w:t xml:space="preserve">AI Product Discovery Platform</w:t>
      </w:r>
    </w:p>
    <w:p>
      <w:pPr>
        <w:spacing w:after="400"/>
        <w:jc w:val="center"/>
      </w:pPr>
      <w:r>
        <w:rPr>
          <w:rFonts w:ascii="Calibri" w:cs="Calibri" w:eastAsia="Calibri" w:hAnsi="Calibri"/>
          <w:i/>
          <w:iCs/>
          <w:color w:val="5B6472"/>
          <w:sz w:val="22"/>
          <w:szCs w:val="22"/>
        </w:rPr>
        <w:t xml:space="preserve">Batch 4 – Group 8</w:t>
      </w:r>
    </w:p>
    <w:p>
      <w:pPr>
        <w:spacing w:after="60" w:before="0"/>
      </w:pPr>
      <w:r>
        <w:rPr>
          <w:rFonts w:ascii="Calibri" w:cs="Calibri" w:eastAsia="Calibri" w:hAnsi="Calibri"/>
          <w:b/>
          <w:bCs/>
          <w:color w:val="5B6472"/>
          <w:sz w:val="18"/>
          <w:szCs w:val="18"/>
        </w:rPr>
        <w:t xml:space="preserve">CHAPTER</w:t>
      </w:r>
    </w:p>
    <w:p>
      <w:pPr>
        <w:pBdr>
          <w:bottom w:val="single" w:color="6C4FE0" w:sz="12" w:space="8"/>
        </w:pBdr>
        <w:spacing w:after="300"/>
      </w:pPr>
      <w:r>
        <w:rPr>
          <w:rFonts w:ascii="Calibri" w:cs="Calibri" w:eastAsia="Calibri" w:hAnsi="Calibri"/>
          <w:b/>
          <w:bCs/>
          <w:color w:val="3E2E8C"/>
          <w:sz w:val="40"/>
          <w:szCs w:val="40"/>
        </w:rPr>
        <w:t xml:space="preserve">Database Design</w:t>
      </w:r>
    </w:p>
    <w:p>
      <w:pPr>
        <w:pStyle w:val="Heading1"/>
        <w:pBdr>
          <w:bottom w:val="single" w:color="6C4FE0" w:sz="8" w:space="6"/>
        </w:pBdr>
        <w:spacing w:after="200" w:before="440"/>
      </w:pPr>
      <w:r>
        <w:rPr>
          <w:rFonts w:ascii="Calibri" w:cs="Calibri" w:eastAsia="Calibri" w:hAnsi="Calibri"/>
          <w:b/>
          <w:bCs/>
          <w:color w:val="3E2E8C"/>
          <w:sz w:val="30"/>
          <w:szCs w:val="30"/>
        </w:rPr>
        <w:t xml:space="preserve">1. Database Overview</w:t>
      </w:r>
    </w:p>
    <w:p>
      <w:pPr>
        <w:spacing w:after="150" w:line="300"/>
        <w:jc w:val="both"/>
      </w:pPr>
      <w:r>
        <w:rPr>
          <w:rFonts w:ascii="Calibri" w:cs="Calibri" w:eastAsia="Calibri" w:hAnsi="Calibri"/>
          <w:color w:val="1B1F2A"/>
          <w:sz w:val="21"/>
          <w:szCs w:val="21"/>
        </w:rPr>
        <w:t xml:space="preserve">The AI Idea Forge platform is backed by a Supabase PostgreSQL database, which serves as the single source of truth for every stage of the idea-validation workflow. The database is responsible for storing user accounts and profiles, submitted startup ideas, AI-generated analyses, the execution status of each analysis stage, confidence scores associated with AI output, generated reports, and a record of user activity across the platform.</w:t>
      </w:r>
    </w:p>
    <w:p>
      <w:pPr>
        <w:spacing w:after="150" w:line="300"/>
        <w:jc w:val="both"/>
      </w:pPr>
      <w:r>
        <w:rPr>
          <w:rFonts w:ascii="Calibri" w:cs="Calibri" w:eastAsia="Calibri" w:hAnsi="Calibri"/>
          <w:color w:val="1B1F2A"/>
          <w:sz w:val="21"/>
          <w:szCs w:val="21"/>
        </w:rPr>
        <w:t xml:space="preserve">The schema is organized around a single, clearly defined workflow: a user submits an idea, the platform's AI generates a consolidated understanding of that idea, and six specialist AI agents independently analyze it from different strategic angles. This design keeps each stage of analysis isolated in its own table while remaining traceable back to the original submission, which simplifies both the application logic and the process of reasoning about the system as a whole.</w:t>
      </w:r>
    </w:p>
    <w:p>
      <w:pPr>
        <w:pStyle w:val="Heading1"/>
        <w:pBdr>
          <w:bottom w:val="single" w:color="6C4FE0" w:sz="8" w:space="6"/>
        </w:pBdr>
        <w:spacing w:after="200" w:before="440"/>
      </w:pPr>
      <w:r>
        <w:rPr>
          <w:rFonts w:ascii="Calibri" w:cs="Calibri" w:eastAsia="Calibri" w:hAnsi="Calibri"/>
          <w:b/>
          <w:bCs/>
          <w:color w:val="3E2E8C"/>
          <w:sz w:val="30"/>
          <w:szCs w:val="30"/>
        </w:rPr>
        <w:t xml:space="preserve">2. Entity Relationship Diagram (ERD)</w:t>
      </w:r>
    </w:p>
    <w:p>
      <w:pPr>
        <w:spacing w:after="150" w:line="300"/>
        <w:jc w:val="both"/>
      </w:pPr>
      <w:r>
        <w:rPr>
          <w:rFonts w:ascii="Calibri" w:cs="Calibri" w:eastAsia="Calibri" w:hAnsi="Calibri"/>
          <w:color w:val="1B1F2A"/>
          <w:sz w:val="21"/>
          <w:szCs w:val="21"/>
        </w:rPr>
        <w:t xml:space="preserve">The diagram below illustrates the core entity relationships of the platform, derived directly from the exported table schemas. The user submits an idea, which is stored in new_analysis_data; this record is the parent of both the AI-generated master record (ai_analysis_data) and the six specialist analysis tables.</w:t>
      </w:r>
    </w:p>
    <w:p>
      <w:pPr>
        <w:spacing w:after="0" w:before="200"/>
        <w:jc w:val="center"/>
      </w:pPr>
      <w:r>
        <w:drawing>
          <wp:inline distT="0" distB="0" distL="0" distR="0">
            <wp:extent cx="4381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905000"/>
                    </a:xfrm>
                    <a:prstGeom prst="rect">
                      <a:avLst/>
                    </a:prstGeom>
                  </pic:spPr>
                </pic:pic>
              </a:graphicData>
            </a:graphic>
          </wp:inline>
        </w:drawing>
      </w:r>
    </w:p>
    <w:p>
      <w:pPr>
        <w:spacing w:after="320" w:before="120"/>
        <w:jc w:val="center"/>
      </w:pPr>
      <w:r>
        <w:rPr>
          <w:rFonts w:ascii="Calibri" w:cs="Calibri" w:eastAsia="Calibri" w:hAnsi="Calibri"/>
          <w:i/>
          <w:iCs/>
          <w:color w:val="5B6472"/>
          <w:sz w:val="19"/>
          <w:szCs w:val="19"/>
        </w:rPr>
        <w:t xml:space="preserve">Figure 1. Entity Relationship Diagram – AI Idea Forge Core Analysis Workflow</w:t>
      </w:r>
    </w:p>
    <w:p>
      <w:pPr>
        <w:spacing w:after="150" w:line="300"/>
        <w:jc w:val="both"/>
      </w:pPr>
      <w:r>
        <w:rPr>
          <w:rFonts w:ascii="Calibri" w:cs="Calibri" w:eastAsia="Calibri" w:hAnsi="Calibri"/>
          <w:color w:val="1B1F2A"/>
          <w:sz w:val="21"/>
          <w:szCs w:val="21"/>
        </w:rPr>
        <w:t xml:space="preserve">A schema-level observation is worth noting for accuracy: while the platform's conceptual workflow presents ai_analysis_data as sitting “between” the idea submission and the six specialist agents, the exported data shows that all seven downstream tables (ai_analysis_data and the six specialist tables) store an analysis_request_id value that references new_analysis_data.id directly — confirmed by matching identical UUID values across these tables. Architecturally, ai_analysis_data and the six specialist tables are therefore parallel children of new_analysis_data rather than a strict linear chain. Conceptually, however, ai_analysis_data still functions as the consolidated “identity record” of the idea, since it is the first AI-generated artifact produced from the raw submission.</w:t>
      </w:r>
    </w:p>
    <w:p>
      <w:pPr>
        <w:pStyle w:val="Heading1"/>
        <w:pBdr>
          <w:bottom w:val="single" w:color="6C4FE0" w:sz="8" w:space="6"/>
        </w:pBdr>
        <w:spacing w:after="200" w:before="440"/>
      </w:pPr>
      <w:r>
        <w:rPr>
          <w:rFonts w:ascii="Calibri" w:cs="Calibri" w:eastAsia="Calibri" w:hAnsi="Calibri"/>
          <w:b/>
          <w:bCs/>
          <w:color w:val="3E2E8C"/>
          <w:sz w:val="30"/>
          <w:szCs w:val="30"/>
        </w:rPr>
        <w:t xml:space="preserve">3. Database Relationship Summary</w:t>
      </w:r>
    </w:p>
    <w:p>
      <w:pPr>
        <w:spacing w:after="150" w:line="300"/>
        <w:jc w:val="both"/>
      </w:pPr>
      <w:r>
        <w:rPr>
          <w:rFonts w:ascii="Calibri" w:cs="Calibri" w:eastAsia="Calibri" w:hAnsi="Calibri"/>
          <w:color w:val="1B1F2A"/>
          <w:sz w:val="21"/>
          <w:szCs w:val="21"/>
        </w:rPr>
        <w:t xml:space="preserve">The table below summarizes every relationship identified from the exported schema data. All relationships listed are explicit, evidenced by matching foreign key values observed across the corresponding CSV exports.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000"/>
      </w:tblGrid>
      <w:tr>
        <w:trPr>
          <w:tblHeader/>
        </w:trPr>
        <w:tc>
          <w:tcPr>
            <w:tcW w:type="dxa" w:w="2000"/>
            <w:shd w:fill="3E2E8C" w:val="clear"/>
          </w:tcPr>
          <w:p>
            <w:r>
              <w:rPr>
                <w:rFonts w:ascii="Calibri" w:cs="Calibri" w:eastAsia="Calibri" w:hAnsi="Calibri"/>
                <w:b/>
                <w:bCs/>
                <w:color w:val="FFFFFF"/>
                <w:sz w:val="19"/>
                <w:szCs w:val="19"/>
              </w:rPr>
              <w:t xml:space="preserve">Parent Table</w:t>
            </w:r>
          </w:p>
        </w:tc>
        <w:tc>
          <w:tcPr>
            <w:tcW w:type="dxa" w:w="2000"/>
            <w:shd w:fill="3E2E8C" w:val="clear"/>
          </w:tcPr>
          <w:p>
            <w:r>
              <w:rPr>
                <w:rFonts w:ascii="Calibri" w:cs="Calibri" w:eastAsia="Calibri" w:hAnsi="Calibri"/>
                <w:b/>
                <w:bCs/>
                <w:color w:val="FFFFFF"/>
                <w:sz w:val="19"/>
                <w:szCs w:val="19"/>
              </w:rPr>
              <w:t xml:space="preserve">Child Table</w:t>
            </w:r>
          </w:p>
        </w:tc>
        <w:tc>
          <w:tcPr>
            <w:tcW w:type="dxa" w:w="1600"/>
            <w:shd w:fill="3E2E8C" w:val="clear"/>
          </w:tcPr>
          <w:p>
            <w:r>
              <w:rPr>
                <w:rFonts w:ascii="Calibri" w:cs="Calibri" w:eastAsia="Calibri" w:hAnsi="Calibri"/>
                <w:b/>
                <w:bCs/>
                <w:color w:val="FFFFFF"/>
                <w:sz w:val="19"/>
                <w:szCs w:val="19"/>
              </w:rPr>
              <w:t xml:space="preserve">Relationship</w:t>
            </w:r>
          </w:p>
        </w:tc>
        <w:tc>
          <w:tcPr>
            <w:tcW w:type="dxa" w:w="3000"/>
            <w:shd w:fill="3E2E8C" w:val="clear"/>
          </w:tcPr>
          <w:p>
            <w:r>
              <w:rPr>
                <w:rFonts w:ascii="Calibri" w:cs="Calibri" w:eastAsia="Calibri" w:hAnsi="Calibri"/>
                <w:b/>
                <w:bCs/>
                <w:color w:val="FFFFFF"/>
                <w:sz w:val="19"/>
                <w:szCs w:val="19"/>
              </w:rPr>
              <w:t xml:space="preserve">Foreign Key</w:t>
            </w:r>
          </w:p>
        </w:tc>
      </w:tr>
      <w:tr>
        <w:trPr>
          <w:tblHeader w:val="false"/>
        </w:trPr>
        <w:tc>
          <w:tcPr>
            <w:tcW w:type="dxa" w:w="2000"/>
          </w:tcPr>
          <w:p>
            <w:r>
              <w:rPr>
                <w:rFonts w:ascii="Calibri" w:cs="Calibri" w:eastAsia="Calibri" w:hAnsi="Calibri"/>
                <w:b w:val="false"/>
                <w:bCs w:val="false"/>
                <w:color w:val="1B1F2A"/>
                <w:sz w:val="19"/>
                <w:szCs w:val="19"/>
              </w:rPr>
              <w:t xml:space="preserve">profiles (User)</w:t>
            </w:r>
          </w:p>
        </w:tc>
        <w:tc>
          <w:tcPr>
            <w:tcW w:type="dxa" w:w="2000"/>
          </w:tcPr>
          <w:p>
            <w:r>
              <w:rPr>
                <w:rFonts w:ascii="Calibri" w:cs="Calibri" w:eastAsia="Calibri" w:hAnsi="Calibri"/>
                <w:b w:val="false"/>
                <w:bCs w:val="false"/>
                <w:color w:val="1B1F2A"/>
                <w:sz w:val="19"/>
                <w:szCs w:val="19"/>
              </w:rPr>
              <w:t xml:space="preserve">new_analysis_data</w:t>
            </w:r>
          </w:p>
        </w:tc>
        <w:tc>
          <w:tcPr>
            <w:tcW w:type="dxa" w:w="1600"/>
          </w:tcPr>
          <w:p>
            <w:r>
              <w:rPr>
                <w:rFonts w:ascii="Calibri" w:cs="Calibri" w:eastAsia="Calibri" w:hAnsi="Calibri"/>
                <w:b w:val="false"/>
                <w:bCs w:val="false"/>
                <w:color w:val="1B1F2A"/>
                <w:sz w:val="19"/>
                <w:szCs w:val="19"/>
              </w:rPr>
              <w:t xml:space="preserve">One-to-Many</w:t>
            </w:r>
          </w:p>
        </w:tc>
        <w:tc>
          <w:tcPr>
            <w:tcW w:type="dxa" w:w="3000"/>
          </w:tcPr>
          <w:p>
            <w:r>
              <w:rPr>
                <w:rFonts w:ascii="Calibri" w:cs="Calibri" w:eastAsia="Calibri" w:hAnsi="Calibri"/>
                <w:b w:val="false"/>
                <w:bCs w:val="false"/>
                <w:color w:val="1B1F2A"/>
                <w:sz w:val="19"/>
                <w:szCs w:val="19"/>
              </w:rPr>
              <w:t xml:space="preserve">new_analysis_data.user_id → profiles.id</w:t>
            </w:r>
          </w:p>
        </w:tc>
      </w:tr>
      <w:tr>
        <w:trPr>
          <w:tblHeader w:val="false"/>
        </w:trPr>
        <w:tc>
          <w:tcPr>
            <w:tcW w:type="dxa" w:w="2000"/>
          </w:tcPr>
          <w:p>
            <w:r>
              <w:rPr>
                <w:rFonts w:ascii="Calibri" w:cs="Calibri" w:eastAsia="Calibri" w:hAnsi="Calibri"/>
                <w:b w:val="false"/>
                <w:bCs w:val="false"/>
                <w:color w:val="1B1F2A"/>
                <w:sz w:val="19"/>
                <w:szCs w:val="19"/>
              </w:rPr>
              <w:t xml:space="preserve">new_analysis_data</w:t>
            </w:r>
          </w:p>
        </w:tc>
        <w:tc>
          <w:tcPr>
            <w:tcW w:type="dxa" w:w="2000"/>
          </w:tcPr>
          <w:p>
            <w:r>
              <w:rPr>
                <w:rFonts w:ascii="Calibri" w:cs="Calibri" w:eastAsia="Calibri" w:hAnsi="Calibri"/>
                <w:b w:val="false"/>
                <w:bCs w:val="false"/>
                <w:color w:val="1B1F2A"/>
                <w:sz w:val="19"/>
                <w:szCs w:val="19"/>
              </w:rPr>
              <w:t xml:space="preserve">ai_analysis_data</w:t>
            </w:r>
          </w:p>
        </w:tc>
        <w:tc>
          <w:tcPr>
            <w:tcW w:type="dxa" w:w="1600"/>
          </w:tcPr>
          <w:p>
            <w:r>
              <w:rPr>
                <w:rFonts w:ascii="Calibri" w:cs="Calibri" w:eastAsia="Calibri" w:hAnsi="Calibri"/>
                <w:b w:val="false"/>
                <w:bCs w:val="false"/>
                <w:color w:val="1B1F2A"/>
                <w:sz w:val="19"/>
                <w:szCs w:val="19"/>
              </w:rPr>
              <w:t xml:space="preserve">One-to-One</w:t>
            </w:r>
          </w:p>
        </w:tc>
        <w:tc>
          <w:tcPr>
            <w:tcW w:type="dxa" w:w="3000"/>
          </w:tcPr>
          <w:p>
            <w:r>
              <w:rPr>
                <w:rFonts w:ascii="Calibri" w:cs="Calibri" w:eastAsia="Calibri" w:hAnsi="Calibri"/>
                <w:b w:val="false"/>
                <w:bCs w:val="false"/>
                <w:color w:val="1B1F2A"/>
                <w:sz w:val="19"/>
                <w:szCs w:val="19"/>
              </w:rPr>
              <w:t xml:space="preserve">ai_analysis_data.analysis_request_id → new_analysis_data.id</w:t>
            </w:r>
          </w:p>
        </w:tc>
      </w:tr>
      <w:tr>
        <w:trPr>
          <w:tblHeader w:val="false"/>
        </w:trPr>
        <w:tc>
          <w:tcPr>
            <w:tcW w:type="dxa" w:w="2000"/>
          </w:tcPr>
          <w:p>
            <w:r>
              <w:rPr>
                <w:rFonts w:ascii="Calibri" w:cs="Calibri" w:eastAsia="Calibri" w:hAnsi="Calibri"/>
                <w:b w:val="false"/>
                <w:bCs w:val="false"/>
                <w:color w:val="1B1F2A"/>
                <w:sz w:val="19"/>
                <w:szCs w:val="19"/>
              </w:rPr>
              <w:t xml:space="preserve">new_analysis_data</w:t>
            </w:r>
          </w:p>
        </w:tc>
        <w:tc>
          <w:tcPr>
            <w:tcW w:type="dxa" w:w="2000"/>
          </w:tcPr>
          <w:p>
            <w:r>
              <w:rPr>
                <w:rFonts w:ascii="Calibri" w:cs="Calibri" w:eastAsia="Calibri" w:hAnsi="Calibri"/>
                <w:b w:val="false"/>
                <w:bCs w:val="false"/>
                <w:color w:val="1B1F2A"/>
                <w:sz w:val="19"/>
                <w:szCs w:val="19"/>
              </w:rPr>
              <w:t xml:space="preserve">market_research</w:t>
            </w:r>
          </w:p>
        </w:tc>
        <w:tc>
          <w:tcPr>
            <w:tcW w:type="dxa" w:w="1600"/>
          </w:tcPr>
          <w:p>
            <w:r>
              <w:rPr>
                <w:rFonts w:ascii="Calibri" w:cs="Calibri" w:eastAsia="Calibri" w:hAnsi="Calibri"/>
                <w:b w:val="false"/>
                <w:bCs w:val="false"/>
                <w:color w:val="1B1F2A"/>
                <w:sz w:val="19"/>
                <w:szCs w:val="19"/>
              </w:rPr>
              <w:t xml:space="preserve">One-to-Zero/One</w:t>
            </w:r>
          </w:p>
        </w:tc>
        <w:tc>
          <w:tcPr>
            <w:tcW w:type="dxa" w:w="3000"/>
          </w:tcPr>
          <w:p>
            <w:r>
              <w:rPr>
                <w:rFonts w:ascii="Calibri" w:cs="Calibri" w:eastAsia="Calibri" w:hAnsi="Calibri"/>
                <w:b w:val="false"/>
                <w:bCs w:val="false"/>
                <w:color w:val="1B1F2A"/>
                <w:sz w:val="19"/>
                <w:szCs w:val="19"/>
              </w:rPr>
              <w:t xml:space="preserve">market_research.analysis_request_id → new_analysis_data.id</w:t>
            </w:r>
          </w:p>
        </w:tc>
      </w:tr>
      <w:tr>
        <w:trPr>
          <w:tblHeader w:val="false"/>
        </w:trPr>
        <w:tc>
          <w:tcPr>
            <w:tcW w:type="dxa" w:w="2000"/>
          </w:tcPr>
          <w:p>
            <w:r>
              <w:rPr>
                <w:rFonts w:ascii="Calibri" w:cs="Calibri" w:eastAsia="Calibri" w:hAnsi="Calibri"/>
                <w:b w:val="false"/>
                <w:bCs w:val="false"/>
                <w:color w:val="1B1F2A"/>
                <w:sz w:val="19"/>
                <w:szCs w:val="19"/>
              </w:rPr>
              <w:t xml:space="preserve">new_analysis_data</w:t>
            </w:r>
          </w:p>
        </w:tc>
        <w:tc>
          <w:tcPr>
            <w:tcW w:type="dxa" w:w="2000"/>
          </w:tcPr>
          <w:p>
            <w:r>
              <w:rPr>
                <w:rFonts w:ascii="Calibri" w:cs="Calibri" w:eastAsia="Calibri" w:hAnsi="Calibri"/>
                <w:b w:val="false"/>
                <w:bCs w:val="false"/>
                <w:color w:val="1B1F2A"/>
                <w:sz w:val="19"/>
                <w:szCs w:val="19"/>
              </w:rPr>
              <w:t xml:space="preserve">competitor_analysis</w:t>
            </w:r>
          </w:p>
        </w:tc>
        <w:tc>
          <w:tcPr>
            <w:tcW w:type="dxa" w:w="1600"/>
          </w:tcPr>
          <w:p>
            <w:r>
              <w:rPr>
                <w:rFonts w:ascii="Calibri" w:cs="Calibri" w:eastAsia="Calibri" w:hAnsi="Calibri"/>
                <w:b w:val="false"/>
                <w:bCs w:val="false"/>
                <w:color w:val="1B1F2A"/>
                <w:sz w:val="19"/>
                <w:szCs w:val="19"/>
              </w:rPr>
              <w:t xml:space="preserve">One-to-Zero/One</w:t>
            </w:r>
          </w:p>
        </w:tc>
        <w:tc>
          <w:tcPr>
            <w:tcW w:type="dxa" w:w="3000"/>
          </w:tcPr>
          <w:p>
            <w:r>
              <w:rPr>
                <w:rFonts w:ascii="Calibri" w:cs="Calibri" w:eastAsia="Calibri" w:hAnsi="Calibri"/>
                <w:b w:val="false"/>
                <w:bCs w:val="false"/>
                <w:color w:val="1B1F2A"/>
                <w:sz w:val="19"/>
                <w:szCs w:val="19"/>
              </w:rPr>
              <w:t xml:space="preserve">competitor_analysis.analysis_request_id → new_analysis_data.id</w:t>
            </w:r>
          </w:p>
        </w:tc>
      </w:tr>
      <w:tr>
        <w:trPr>
          <w:tblHeader w:val="false"/>
        </w:trPr>
        <w:tc>
          <w:tcPr>
            <w:tcW w:type="dxa" w:w="2000"/>
          </w:tcPr>
          <w:p>
            <w:r>
              <w:rPr>
                <w:rFonts w:ascii="Calibri" w:cs="Calibri" w:eastAsia="Calibri" w:hAnsi="Calibri"/>
                <w:b w:val="false"/>
                <w:bCs w:val="false"/>
                <w:color w:val="1B1F2A"/>
                <w:sz w:val="19"/>
                <w:szCs w:val="19"/>
              </w:rPr>
              <w:t xml:space="preserve">new_analysis_data</w:t>
            </w:r>
          </w:p>
        </w:tc>
        <w:tc>
          <w:tcPr>
            <w:tcW w:type="dxa" w:w="2000"/>
          </w:tcPr>
          <w:p>
            <w:r>
              <w:rPr>
                <w:rFonts w:ascii="Calibri" w:cs="Calibri" w:eastAsia="Calibri" w:hAnsi="Calibri"/>
                <w:b w:val="false"/>
                <w:bCs w:val="false"/>
                <w:color w:val="1B1F2A"/>
                <w:sz w:val="19"/>
                <w:szCs w:val="19"/>
              </w:rPr>
              <w:t xml:space="preserve">gap_analysis</w:t>
            </w:r>
          </w:p>
        </w:tc>
        <w:tc>
          <w:tcPr>
            <w:tcW w:type="dxa" w:w="1600"/>
          </w:tcPr>
          <w:p>
            <w:r>
              <w:rPr>
                <w:rFonts w:ascii="Calibri" w:cs="Calibri" w:eastAsia="Calibri" w:hAnsi="Calibri"/>
                <w:b w:val="false"/>
                <w:bCs w:val="false"/>
                <w:color w:val="1B1F2A"/>
                <w:sz w:val="19"/>
                <w:szCs w:val="19"/>
              </w:rPr>
              <w:t xml:space="preserve">One-to-Zero/One</w:t>
            </w:r>
          </w:p>
        </w:tc>
        <w:tc>
          <w:tcPr>
            <w:tcW w:type="dxa" w:w="3000"/>
          </w:tcPr>
          <w:p>
            <w:r>
              <w:rPr>
                <w:rFonts w:ascii="Calibri" w:cs="Calibri" w:eastAsia="Calibri" w:hAnsi="Calibri"/>
                <w:b w:val="false"/>
                <w:bCs w:val="false"/>
                <w:color w:val="1B1F2A"/>
                <w:sz w:val="19"/>
                <w:szCs w:val="19"/>
              </w:rPr>
              <w:t xml:space="preserve">gap_analysis.analysis_request_id → new_analysis_data.id</w:t>
            </w:r>
          </w:p>
        </w:tc>
      </w:tr>
      <w:tr>
        <w:trPr>
          <w:tblHeader w:val="false"/>
        </w:trPr>
        <w:tc>
          <w:tcPr>
            <w:tcW w:type="dxa" w:w="2000"/>
          </w:tcPr>
          <w:p>
            <w:r>
              <w:rPr>
                <w:rFonts w:ascii="Calibri" w:cs="Calibri" w:eastAsia="Calibri" w:hAnsi="Calibri"/>
                <w:b w:val="false"/>
                <w:bCs w:val="false"/>
                <w:color w:val="1B1F2A"/>
                <w:sz w:val="19"/>
                <w:szCs w:val="19"/>
              </w:rPr>
              <w:t xml:space="preserve">new_analysis_data</w:t>
            </w:r>
          </w:p>
        </w:tc>
        <w:tc>
          <w:tcPr>
            <w:tcW w:type="dxa" w:w="2000"/>
          </w:tcPr>
          <w:p>
            <w:r>
              <w:rPr>
                <w:rFonts w:ascii="Calibri" w:cs="Calibri" w:eastAsia="Calibri" w:hAnsi="Calibri"/>
                <w:b w:val="false"/>
                <w:bCs w:val="false"/>
                <w:color w:val="1B1F2A"/>
                <w:sz w:val="19"/>
                <w:szCs w:val="19"/>
              </w:rPr>
              <w:t xml:space="preserve">feasibility_analysis</w:t>
            </w:r>
          </w:p>
        </w:tc>
        <w:tc>
          <w:tcPr>
            <w:tcW w:type="dxa" w:w="1600"/>
          </w:tcPr>
          <w:p>
            <w:r>
              <w:rPr>
                <w:rFonts w:ascii="Calibri" w:cs="Calibri" w:eastAsia="Calibri" w:hAnsi="Calibri"/>
                <w:b w:val="false"/>
                <w:bCs w:val="false"/>
                <w:color w:val="1B1F2A"/>
                <w:sz w:val="19"/>
                <w:szCs w:val="19"/>
              </w:rPr>
              <w:t xml:space="preserve">One-to-Zero/One</w:t>
            </w:r>
          </w:p>
        </w:tc>
        <w:tc>
          <w:tcPr>
            <w:tcW w:type="dxa" w:w="3000"/>
          </w:tcPr>
          <w:p>
            <w:r>
              <w:rPr>
                <w:rFonts w:ascii="Calibri" w:cs="Calibri" w:eastAsia="Calibri" w:hAnsi="Calibri"/>
                <w:b w:val="false"/>
                <w:bCs w:val="false"/>
                <w:color w:val="1B1F2A"/>
                <w:sz w:val="19"/>
                <w:szCs w:val="19"/>
              </w:rPr>
              <w:t xml:space="preserve">feasibility_analysis.analysis_request_id → new_analysis_data.id</w:t>
            </w:r>
          </w:p>
        </w:tc>
      </w:tr>
      <w:tr>
        <w:trPr>
          <w:tblHeader w:val="false"/>
        </w:trPr>
        <w:tc>
          <w:tcPr>
            <w:tcW w:type="dxa" w:w="2000"/>
          </w:tcPr>
          <w:p>
            <w:r>
              <w:rPr>
                <w:rFonts w:ascii="Calibri" w:cs="Calibri" w:eastAsia="Calibri" w:hAnsi="Calibri"/>
                <w:b w:val="false"/>
                <w:bCs w:val="false"/>
                <w:color w:val="1B1F2A"/>
                <w:sz w:val="19"/>
                <w:szCs w:val="19"/>
              </w:rPr>
              <w:t xml:space="preserve">new_analysis_data</w:t>
            </w:r>
          </w:p>
        </w:tc>
        <w:tc>
          <w:tcPr>
            <w:tcW w:type="dxa" w:w="2000"/>
          </w:tcPr>
          <w:p>
            <w:r>
              <w:rPr>
                <w:rFonts w:ascii="Calibri" w:cs="Calibri" w:eastAsia="Calibri" w:hAnsi="Calibri"/>
                <w:b w:val="false"/>
                <w:bCs w:val="false"/>
                <w:color w:val="1B1F2A"/>
                <w:sz w:val="19"/>
                <w:szCs w:val="19"/>
              </w:rPr>
              <w:t xml:space="preserve">risk_challenge</w:t>
            </w:r>
          </w:p>
        </w:tc>
        <w:tc>
          <w:tcPr>
            <w:tcW w:type="dxa" w:w="1600"/>
          </w:tcPr>
          <w:p>
            <w:r>
              <w:rPr>
                <w:rFonts w:ascii="Calibri" w:cs="Calibri" w:eastAsia="Calibri" w:hAnsi="Calibri"/>
                <w:b w:val="false"/>
                <w:bCs w:val="false"/>
                <w:color w:val="1B1F2A"/>
                <w:sz w:val="19"/>
                <w:szCs w:val="19"/>
              </w:rPr>
              <w:t xml:space="preserve">One-to-Zero/One</w:t>
            </w:r>
          </w:p>
        </w:tc>
        <w:tc>
          <w:tcPr>
            <w:tcW w:type="dxa" w:w="3000"/>
          </w:tcPr>
          <w:p>
            <w:r>
              <w:rPr>
                <w:rFonts w:ascii="Calibri" w:cs="Calibri" w:eastAsia="Calibri" w:hAnsi="Calibri"/>
                <w:b w:val="false"/>
                <w:bCs w:val="false"/>
                <w:color w:val="1B1F2A"/>
                <w:sz w:val="19"/>
                <w:szCs w:val="19"/>
              </w:rPr>
              <w:t xml:space="preserve">risk_challenge.analysis_request_id → new_analysis_data.id</w:t>
            </w:r>
          </w:p>
        </w:tc>
      </w:tr>
      <w:tr>
        <w:trPr>
          <w:tblHeader w:val="false"/>
        </w:trPr>
        <w:tc>
          <w:tcPr>
            <w:tcW w:type="dxa" w:w="2000"/>
          </w:tcPr>
          <w:p>
            <w:r>
              <w:rPr>
                <w:rFonts w:ascii="Calibri" w:cs="Calibri" w:eastAsia="Calibri" w:hAnsi="Calibri"/>
                <w:b w:val="false"/>
                <w:bCs w:val="false"/>
                <w:color w:val="1B1F2A"/>
                <w:sz w:val="19"/>
                <w:szCs w:val="19"/>
              </w:rPr>
              <w:t xml:space="preserve">new_analysis_data</w:t>
            </w:r>
          </w:p>
        </w:tc>
        <w:tc>
          <w:tcPr>
            <w:tcW w:type="dxa" w:w="2000"/>
          </w:tcPr>
          <w:p>
            <w:r>
              <w:rPr>
                <w:rFonts w:ascii="Calibri" w:cs="Calibri" w:eastAsia="Calibri" w:hAnsi="Calibri"/>
                <w:b w:val="false"/>
                <w:bCs w:val="false"/>
                <w:color w:val="1B1F2A"/>
                <w:sz w:val="19"/>
                <w:szCs w:val="19"/>
              </w:rPr>
              <w:t xml:space="preserve">recommendation_engine</w:t>
            </w:r>
          </w:p>
        </w:tc>
        <w:tc>
          <w:tcPr>
            <w:tcW w:type="dxa" w:w="1600"/>
          </w:tcPr>
          <w:p>
            <w:r>
              <w:rPr>
                <w:rFonts w:ascii="Calibri" w:cs="Calibri" w:eastAsia="Calibri" w:hAnsi="Calibri"/>
                <w:b w:val="false"/>
                <w:bCs w:val="false"/>
                <w:color w:val="1B1F2A"/>
                <w:sz w:val="19"/>
                <w:szCs w:val="19"/>
              </w:rPr>
              <w:t xml:space="preserve">One-to-Zero/One</w:t>
            </w:r>
          </w:p>
        </w:tc>
        <w:tc>
          <w:tcPr>
            <w:tcW w:type="dxa" w:w="3000"/>
          </w:tcPr>
          <w:p>
            <w:r>
              <w:rPr>
                <w:rFonts w:ascii="Calibri" w:cs="Calibri" w:eastAsia="Calibri" w:hAnsi="Calibri"/>
                <w:b w:val="false"/>
                <w:bCs w:val="false"/>
                <w:color w:val="1B1F2A"/>
                <w:sz w:val="19"/>
                <w:szCs w:val="19"/>
              </w:rPr>
              <w:t xml:space="preserve">recommendation_engine.analysis_request_id → new_analysis_data.id</w:t>
            </w:r>
          </w:p>
        </w:tc>
      </w:tr>
    </w:tbl>
    <w:p>
      <w:pPr>
        <w:spacing w:after="0" w:before="240"/>
      </w:pPr>
    </w:p>
    <w:p>
      <w:pPr>
        <w:pStyle w:val="Heading1"/>
        <w:pBdr>
          <w:bottom w:val="single" w:color="6C4FE0" w:sz="8" w:space="6"/>
        </w:pBdr>
        <w:spacing w:after="200" w:before="440"/>
      </w:pPr>
      <w:r>
        <w:rPr>
          <w:rFonts w:ascii="Calibri" w:cs="Calibri" w:eastAsia="Calibri" w:hAnsi="Calibri"/>
          <w:b/>
          <w:bCs/>
          <w:color w:val="3E2E8C"/>
          <w:sz w:val="30"/>
          <w:szCs w:val="30"/>
        </w:rPr>
        <w:t xml:space="preserve">4. Database Table Documentation</w:t>
      </w:r>
    </w:p>
    <w:p>
      <w:pPr>
        <w:spacing w:after="150" w:line="300"/>
        <w:jc w:val="both"/>
      </w:pPr>
      <w:r>
        <w:rPr>
          <w:rFonts w:ascii="Calibri" w:cs="Calibri" w:eastAsia="Calibri" w:hAnsi="Calibri"/>
          <w:color w:val="1B1F2A"/>
          <w:sz w:val="21"/>
          <w:szCs w:val="21"/>
        </w:rPr>
        <w:t xml:space="preserve">This section documents the purpose, keys, relationships, and key attributes of each core table in the analysis workflow. Column-level detail has been intentionally limited to the attributes most relevant to understanding each table's role in the system.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shd w:fill="3E2E8C" w:val="clear"/>
          </w:tcPr>
          <w:p>
            <w:pPr>
              <w:spacing w:after="40" w:before="40"/>
            </w:pPr>
            <w:r>
              <w:rPr>
                <w:rFonts w:ascii="Calibri" w:cs="Calibri" w:eastAsia="Calibri" w:hAnsi="Calibri"/>
                <w:b/>
                <w:bCs/>
                <w:color w:val="FFFFFF"/>
                <w:sz w:val="24"/>
                <w:szCs w:val="24"/>
              </w:rPr>
              <w:t xml:space="preserve">new_analysis_data</w:t>
            </w:r>
          </w:p>
        </w:tc>
      </w:tr>
    </w:tbl>
    <w:tbl>
      <w:tblPr>
        <w:tblW w:type="dxa" w:w="8500"/>
        <w:tblBorders>
          <w:top w:val="single" w:color="D8D5EE" w:sz="4"/>
          <w:left w:val="single" w:color="D8D5EE" w:sz="4"/>
          <w:bottom w:val="single" w:color="D8D5EE" w:sz="4"/>
          <w:right w:val="single" w:color="D8D5EE" w:sz="4"/>
          <w:insideH w:val="single" w:color="D8D5EE" w:sz="4"/>
          <w:insideV w:val="single" w:color="D8D5EE" w:sz="4"/>
        </w:tblBorders>
      </w:tblPr>
      <w:tblGrid>
        <w:gridCol w:w="1900"/>
        <w:gridCol w:w="6600"/>
      </w:tblGrid>
      <w:tr>
        <w:tc>
          <w:tcPr>
            <w:tcW w:type="dxa" w:w="1900"/>
            <w:shd w:fill="EDEAFB" w:val="clear"/>
          </w:tcPr>
          <w:p>
            <w:r>
              <w:rPr>
                <w:rFonts w:ascii="Calibri" w:cs="Calibri" w:eastAsia="Calibri" w:hAnsi="Calibri"/>
                <w:b/>
                <w:bCs/>
                <w:color w:val="1B1F2A"/>
                <w:sz w:val="20"/>
                <w:szCs w:val="20"/>
              </w:rPr>
              <w:t xml:space="preserve">Purpose</w:t>
            </w:r>
          </w:p>
        </w:tc>
        <w:tc>
          <w:tcPr>
            <w:tcW w:type="dxa" w:w="6600"/>
            <w:shd w:fill="FFFFFF" w:val="clear"/>
          </w:tcPr>
          <w:p>
            <w:pPr>
              <w:spacing w:after="0" w:line="270"/>
            </w:pPr>
            <w:r>
              <w:rPr>
                <w:rFonts w:ascii="Calibri" w:cs="Calibri" w:eastAsia="Calibri" w:hAnsi="Calibri"/>
                <w:color w:val="1B1F2A"/>
                <w:sz w:val="20"/>
                <w:szCs w:val="20"/>
              </w:rPr>
              <w:t xml:space="preserve">Acts as the entry point of the platform's core workflow. Every time a user submits a startup idea — whether typed as free text or supplied as a website URL — a new record is created here first. It represents the raw, unprocessed idea submission before any AI analysis takes place.</w:t>
            </w:r>
          </w:p>
        </w:tc>
      </w:tr>
      <w:tr>
        <w:tc>
          <w:tcPr>
            <w:tcW w:type="dxa" w:w="1900"/>
            <w:shd w:fill="EDEAFB" w:val="clear"/>
          </w:tcPr>
          <w:p>
            <w:r>
              <w:rPr>
                <w:rFonts w:ascii="Calibri" w:cs="Calibri" w:eastAsia="Calibri" w:hAnsi="Calibri"/>
                <w:b/>
                <w:bCs/>
                <w:color w:val="1B1F2A"/>
                <w:sz w:val="20"/>
                <w:szCs w:val="20"/>
              </w:rPr>
              <w:t xml:space="preserve">Primary Key</w:t>
            </w:r>
          </w:p>
        </w:tc>
        <w:tc>
          <w:tcPr>
            <w:tcW w:type="dxa" w:w="6600"/>
            <w:shd w:fill="F5F3FC" w:val="clear"/>
          </w:tcPr>
          <w:p>
            <w:pPr>
              <w:spacing w:after="0" w:line="270"/>
            </w:pPr>
            <w:r>
              <w:rPr>
                <w:rFonts w:ascii="Calibri" w:cs="Calibri" w:eastAsia="Calibri" w:hAnsi="Calibri"/>
                <w:color w:val="1B1F2A"/>
                <w:sz w:val="20"/>
                <w:szCs w:val="20"/>
              </w:rPr>
              <w:t xml:space="preserve">id (UUID)</w:t>
            </w:r>
          </w:p>
        </w:tc>
      </w:tr>
      <w:tr>
        <w:tc>
          <w:tcPr>
            <w:tcW w:type="dxa" w:w="1900"/>
            <w:shd w:fill="EDEAFB" w:val="clear"/>
          </w:tcPr>
          <w:p>
            <w:r>
              <w:rPr>
                <w:rFonts w:ascii="Calibri" w:cs="Calibri" w:eastAsia="Calibri" w:hAnsi="Calibri"/>
                <w:b/>
                <w:bCs/>
                <w:color w:val="1B1F2A"/>
                <w:sz w:val="20"/>
                <w:szCs w:val="20"/>
              </w:rPr>
              <w:t xml:space="preserve">Foreign Key(s)</w:t>
            </w:r>
          </w:p>
        </w:tc>
        <w:tc>
          <w:tcPr>
            <w:tcW w:type="dxa" w:w="6600"/>
            <w:shd w:fill="FFFFFF" w:val="clear"/>
          </w:tcPr>
          <w:p>
            <w:pPr>
              <w:pStyle w:val="ListParagraph"/>
              <w:numPr>
                <w:ilvl w:val="0"/>
                <w:numId w:val="2"/>
              </w:numPr>
              <w:spacing w:after="0" w:line="260"/>
            </w:pPr>
            <w:r>
              <w:rPr>
                <w:rFonts w:ascii="Calibri" w:cs="Calibri" w:eastAsia="Calibri" w:hAnsi="Calibri"/>
                <w:b/>
                <w:bCs/>
                <w:color w:val="1B1F2A"/>
                <w:sz w:val="20"/>
                <w:szCs w:val="20"/>
              </w:rPr>
              <w:t xml:space="preserve">user_id: </w:t>
            </w:r>
            <w:r>
              <w:rPr>
                <w:rFonts w:ascii="Calibri" w:cs="Calibri" w:eastAsia="Calibri" w:hAnsi="Calibri"/>
                <w:color w:val="1B1F2A"/>
                <w:sz w:val="20"/>
                <w:szCs w:val="20"/>
              </w:rPr>
              <w:t xml:space="preserve">references profiles.id (the submitting user).</w:t>
            </w:r>
          </w:p>
        </w:tc>
      </w:tr>
      <w:tr>
        <w:tc>
          <w:tcPr>
            <w:tcW w:type="dxa" w:w="1900"/>
            <w:shd w:fill="EDEAFB" w:val="clear"/>
          </w:tcPr>
          <w:p>
            <w:r>
              <w:rPr>
                <w:rFonts w:ascii="Calibri" w:cs="Calibri" w:eastAsia="Calibri" w:hAnsi="Calibri"/>
                <w:b/>
                <w:bCs/>
                <w:color w:val="1B1F2A"/>
                <w:sz w:val="20"/>
                <w:szCs w:val="20"/>
              </w:rPr>
              <w:t xml:space="preserve">Relationship</w:t>
            </w:r>
          </w:p>
        </w:tc>
        <w:tc>
          <w:tcPr>
            <w:tcW w:type="dxa" w:w="6600"/>
            <w:shd w:fill="F5F3FC" w:val="clear"/>
          </w:tcPr>
          <w:p>
            <w:pPr>
              <w:spacing w:after="0" w:line="270"/>
            </w:pPr>
            <w:r>
              <w:rPr>
                <w:rFonts w:ascii="Calibri" w:cs="Calibri" w:eastAsia="Calibri" w:hAnsi="Calibri"/>
                <w:color w:val="1B1F2A"/>
                <w:sz w:val="20"/>
                <w:szCs w:val="20"/>
              </w:rPr>
              <w:t xml:space="preserve">One-to-Many with profiles (a user may submit many analyses). One-to-One with ai_analysis_data, and One-to-Zero/One with each of the six specialist analysis tables described below.</w:t>
            </w:r>
          </w:p>
        </w:tc>
      </w:tr>
      <w:tr>
        <w:tc>
          <w:tcPr>
            <w:tcW w:type="dxa" w:w="1900"/>
            <w:shd w:fill="EDEAFB" w:val="clear"/>
          </w:tcPr>
          <w:p>
            <w:r>
              <w:rPr>
                <w:rFonts w:ascii="Calibri" w:cs="Calibri" w:eastAsia="Calibri" w:hAnsi="Calibri"/>
                <w:b/>
                <w:bCs/>
                <w:color w:val="1B1F2A"/>
                <w:sz w:val="20"/>
                <w:szCs w:val="20"/>
              </w:rPr>
              <w:t xml:space="preserve">Key Attributes</w:t>
            </w:r>
          </w:p>
        </w:tc>
        <w:tc>
          <w:tcPr>
            <w:tcW w:type="dxa" w:w="6600"/>
            <w:shd w:fill="FFFFFF" w:val="clear"/>
          </w:tcPr>
          <w:p>
            <w:pPr>
              <w:pStyle w:val="ListParagraph"/>
              <w:numPr>
                <w:ilvl w:val="0"/>
                <w:numId w:val="2"/>
              </w:numPr>
              <w:spacing w:after="60" w:line="260"/>
            </w:pPr>
            <w:r>
              <w:rPr>
                <w:rFonts w:ascii="Calibri" w:cs="Calibri" w:eastAsia="Calibri" w:hAnsi="Calibri"/>
                <w:b/>
                <w:bCs/>
                <w:color w:val="1B1F2A"/>
                <w:sz w:val="20"/>
                <w:szCs w:val="20"/>
              </w:rPr>
              <w:t xml:space="preserve">Submission Information: </w:t>
            </w:r>
            <w:r>
              <w:rPr>
                <w:rFonts w:ascii="Calibri" w:cs="Calibri" w:eastAsia="Calibri" w:hAnsi="Calibri"/>
                <w:color w:val="1B1F2A"/>
                <w:sz w:val="20"/>
                <w:szCs w:val="20"/>
              </w:rPr>
              <w:t xml:space="preserve">input_type, description</w:t>
            </w:r>
          </w:p>
          <w:p>
            <w:pPr>
              <w:pStyle w:val="ListParagraph"/>
              <w:numPr>
                <w:ilvl w:val="0"/>
                <w:numId w:val="2"/>
              </w:numPr>
              <w:spacing w:after="60" w:line="260"/>
            </w:pPr>
            <w:r>
              <w:rPr>
                <w:rFonts w:ascii="Calibri" w:cs="Calibri" w:eastAsia="Calibri" w:hAnsi="Calibri"/>
                <w:b/>
                <w:bCs/>
                <w:color w:val="1B1F2A"/>
                <w:sz w:val="20"/>
                <w:szCs w:val="20"/>
              </w:rPr>
              <w:t xml:space="preserve">Processing Status: </w:t>
            </w:r>
            <w:r>
              <w:rPr>
                <w:rFonts w:ascii="Calibri" w:cs="Calibri" w:eastAsia="Calibri" w:hAnsi="Calibri"/>
                <w:color w:val="1B1F2A"/>
                <w:sz w:val="20"/>
                <w:szCs w:val="20"/>
              </w:rPr>
              <w:t xml:space="preserve">status</w:t>
            </w:r>
          </w:p>
          <w:p>
            <w:pPr>
              <w:pStyle w:val="ListParagraph"/>
              <w:numPr>
                <w:ilvl w:val="0"/>
                <w:numId w:val="2"/>
              </w:numPr>
              <w:spacing w:after="0" w:line="260"/>
            </w:pPr>
            <w:r>
              <w:rPr>
                <w:rFonts w:ascii="Calibri" w:cs="Calibri" w:eastAsia="Calibri" w:hAnsi="Calibri"/>
                <w:b/>
                <w:bCs/>
                <w:color w:val="1B1F2A"/>
                <w:sz w:val="20"/>
                <w:szCs w:val="20"/>
              </w:rPr>
              <w:t xml:space="preserve">Ownership &amp; Timestamps: </w:t>
            </w:r>
            <w:r>
              <w:rPr>
                <w:rFonts w:ascii="Calibri" w:cs="Calibri" w:eastAsia="Calibri" w:hAnsi="Calibri"/>
                <w:color w:val="1B1F2A"/>
                <w:sz w:val="20"/>
                <w:szCs w:val="20"/>
              </w:rPr>
              <w:t xml:space="preserve">user_id, created_at</w:t>
            </w:r>
          </w:p>
        </w:tc>
      </w:tr>
      <w:tr>
        <w:tc>
          <w:tcPr>
            <w:tcW w:type="dxa" w:w="1900"/>
            <w:shd w:fill="EDEAFB" w:val="clear"/>
          </w:tcPr>
          <w:p>
            <w:r>
              <w:rPr>
                <w:rFonts w:ascii="Calibri" w:cs="Calibri" w:eastAsia="Calibri" w:hAnsi="Calibri"/>
                <w:b/>
                <w:bCs/>
                <w:color w:val="1B1F2A"/>
                <w:sz w:val="20"/>
                <w:szCs w:val="20"/>
              </w:rPr>
              <w:t xml:space="preserve">Used By</w:t>
            </w:r>
          </w:p>
        </w:tc>
        <w:tc>
          <w:tcPr>
            <w:tcW w:type="dxa" w:w="6600"/>
            <w:shd w:fill="F5F3FC" w:val="clear"/>
          </w:tcPr>
          <w:p>
            <w:pPr>
              <w:spacing w:after="0" w:line="270"/>
            </w:pPr>
            <w:r>
              <w:rPr>
                <w:rFonts w:ascii="Calibri" w:cs="Calibri" w:eastAsia="Calibri" w:hAnsi="Calibri"/>
                <w:color w:val="1B1F2A"/>
                <w:sz w:val="20"/>
                <w:szCs w:val="20"/>
              </w:rPr>
              <w:t xml:space="preserve">New Analysis (idea submission form) and Dashboard (list of recent and pending analyses).</w:t>
            </w:r>
          </w:p>
        </w:tc>
      </w:tr>
    </w:tbl>
    <w:p>
      <w:pPr>
        <w:spacing w:after="3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shd w:fill="3E2E8C" w:val="clear"/>
          </w:tcPr>
          <w:p>
            <w:pPr>
              <w:spacing w:after="40" w:before="40"/>
            </w:pPr>
            <w:r>
              <w:rPr>
                <w:rFonts w:ascii="Calibri" w:cs="Calibri" w:eastAsia="Calibri" w:hAnsi="Calibri"/>
                <w:b/>
                <w:bCs/>
                <w:color w:val="FFFFFF"/>
                <w:sz w:val="24"/>
                <w:szCs w:val="24"/>
              </w:rPr>
              <w:t xml:space="preserve">ai_analysis_data</w:t>
            </w:r>
          </w:p>
        </w:tc>
      </w:tr>
    </w:tbl>
    <w:tbl>
      <w:tblPr>
        <w:tblW w:type="dxa" w:w="8500"/>
        <w:tblBorders>
          <w:top w:val="single" w:color="D8D5EE" w:sz="4"/>
          <w:left w:val="single" w:color="D8D5EE" w:sz="4"/>
          <w:bottom w:val="single" w:color="D8D5EE" w:sz="4"/>
          <w:right w:val="single" w:color="D8D5EE" w:sz="4"/>
          <w:insideH w:val="single" w:color="D8D5EE" w:sz="4"/>
          <w:insideV w:val="single" w:color="D8D5EE" w:sz="4"/>
        </w:tblBorders>
      </w:tblPr>
      <w:tblGrid>
        <w:gridCol w:w="1900"/>
        <w:gridCol w:w="6600"/>
      </w:tblGrid>
      <w:tr>
        <w:tc>
          <w:tcPr>
            <w:tcW w:type="dxa" w:w="1900"/>
            <w:shd w:fill="EDEAFB" w:val="clear"/>
          </w:tcPr>
          <w:p>
            <w:r>
              <w:rPr>
                <w:rFonts w:ascii="Calibri" w:cs="Calibri" w:eastAsia="Calibri" w:hAnsi="Calibri"/>
                <w:b/>
                <w:bCs/>
                <w:color w:val="1B1F2A"/>
                <w:sz w:val="20"/>
                <w:szCs w:val="20"/>
              </w:rPr>
              <w:t xml:space="preserve">Purpose</w:t>
            </w:r>
          </w:p>
        </w:tc>
        <w:tc>
          <w:tcPr>
            <w:tcW w:type="dxa" w:w="6600"/>
            <w:shd w:fill="FFFFFF" w:val="clear"/>
          </w:tcPr>
          <w:p>
            <w:pPr>
              <w:spacing w:after="0" w:line="270"/>
            </w:pPr>
            <w:r>
              <w:rPr>
                <w:rFonts w:ascii="Calibri" w:cs="Calibri" w:eastAsia="Calibri" w:hAnsi="Calibri"/>
                <w:color w:val="1B1F2A"/>
                <w:sz w:val="20"/>
                <w:szCs w:val="20"/>
              </w:rPr>
              <w:t xml:space="preserve">Stores the AI-generated master record for a submitted idea. When the platform's AI first processes a raw submission, it produces a refined title, description, and industry classification here, along with an overall matching score. This record acts as the consolidated identity of the idea that the rest of the application refers back to.</w:t>
            </w:r>
          </w:p>
        </w:tc>
      </w:tr>
      <w:tr>
        <w:tc>
          <w:tcPr>
            <w:tcW w:type="dxa" w:w="1900"/>
            <w:shd w:fill="EDEAFB" w:val="clear"/>
          </w:tcPr>
          <w:p>
            <w:r>
              <w:rPr>
                <w:rFonts w:ascii="Calibri" w:cs="Calibri" w:eastAsia="Calibri" w:hAnsi="Calibri"/>
                <w:b/>
                <w:bCs/>
                <w:color w:val="1B1F2A"/>
                <w:sz w:val="20"/>
                <w:szCs w:val="20"/>
              </w:rPr>
              <w:t xml:space="preserve">Primary Key</w:t>
            </w:r>
          </w:p>
        </w:tc>
        <w:tc>
          <w:tcPr>
            <w:tcW w:type="dxa" w:w="6600"/>
            <w:shd w:fill="F5F3FC" w:val="clear"/>
          </w:tcPr>
          <w:p>
            <w:pPr>
              <w:spacing w:after="0" w:line="270"/>
            </w:pPr>
            <w:r>
              <w:rPr>
                <w:rFonts w:ascii="Calibri" w:cs="Calibri" w:eastAsia="Calibri" w:hAnsi="Calibri"/>
                <w:color w:val="1B1F2A"/>
                <w:sz w:val="20"/>
                <w:szCs w:val="20"/>
              </w:rPr>
              <w:t xml:space="preserve">id (UUID)</w:t>
            </w:r>
          </w:p>
        </w:tc>
      </w:tr>
      <w:tr>
        <w:tc>
          <w:tcPr>
            <w:tcW w:type="dxa" w:w="1900"/>
            <w:shd w:fill="EDEAFB" w:val="clear"/>
          </w:tcPr>
          <w:p>
            <w:r>
              <w:rPr>
                <w:rFonts w:ascii="Calibri" w:cs="Calibri" w:eastAsia="Calibri" w:hAnsi="Calibri"/>
                <w:b/>
                <w:bCs/>
                <w:color w:val="1B1F2A"/>
                <w:sz w:val="20"/>
                <w:szCs w:val="20"/>
              </w:rPr>
              <w:t xml:space="preserve">Foreign Key(s)</w:t>
            </w:r>
          </w:p>
        </w:tc>
        <w:tc>
          <w:tcPr>
            <w:tcW w:type="dxa" w:w="6600"/>
            <w:shd w:fill="FFFFFF" w:val="clear"/>
          </w:tcPr>
          <w:p>
            <w:pPr>
              <w:pStyle w:val="ListParagraph"/>
              <w:numPr>
                <w:ilvl w:val="0"/>
                <w:numId w:val="2"/>
              </w:numPr>
              <w:spacing w:after="0" w:line="260"/>
            </w:pPr>
            <w:r>
              <w:rPr>
                <w:rFonts w:ascii="Calibri" w:cs="Calibri" w:eastAsia="Calibri" w:hAnsi="Calibri"/>
                <w:b/>
                <w:bCs/>
                <w:color w:val="1B1F2A"/>
                <w:sz w:val="20"/>
                <w:szCs w:val="20"/>
              </w:rPr>
              <w:t xml:space="preserve">analysis_request_id: </w:t>
            </w:r>
            <w:r>
              <w:rPr>
                <w:rFonts w:ascii="Calibri" w:cs="Calibri" w:eastAsia="Calibri" w:hAnsi="Calibri"/>
                <w:color w:val="1B1F2A"/>
                <w:sz w:val="20"/>
                <w:szCs w:val="20"/>
              </w:rPr>
              <w:t xml:space="preserve">references new_analysis_data.id (the originating submission).</w:t>
            </w:r>
          </w:p>
        </w:tc>
      </w:tr>
      <w:tr>
        <w:tc>
          <w:tcPr>
            <w:tcW w:type="dxa" w:w="1900"/>
            <w:shd w:fill="EDEAFB" w:val="clear"/>
          </w:tcPr>
          <w:p>
            <w:r>
              <w:rPr>
                <w:rFonts w:ascii="Calibri" w:cs="Calibri" w:eastAsia="Calibri" w:hAnsi="Calibri"/>
                <w:b/>
                <w:bCs/>
                <w:color w:val="1B1F2A"/>
                <w:sz w:val="20"/>
                <w:szCs w:val="20"/>
              </w:rPr>
              <w:t xml:space="preserve">Relationship</w:t>
            </w:r>
          </w:p>
        </w:tc>
        <w:tc>
          <w:tcPr>
            <w:tcW w:type="dxa" w:w="6600"/>
            <w:shd w:fill="F5F3FC" w:val="clear"/>
          </w:tcPr>
          <w:p>
            <w:pPr>
              <w:spacing w:after="0" w:line="270"/>
            </w:pPr>
            <w:r>
              <w:rPr>
                <w:rFonts w:ascii="Calibri" w:cs="Calibri" w:eastAsia="Calibri" w:hAnsi="Calibri"/>
                <w:color w:val="1B1F2A"/>
                <w:sz w:val="20"/>
                <w:szCs w:val="20"/>
              </w:rPr>
              <w:t xml:space="preserve">One-to-One with new_analysis_data — every submitted idea produces exactly one AI-generated master record.</w:t>
            </w:r>
          </w:p>
        </w:tc>
      </w:tr>
      <w:tr>
        <w:tc>
          <w:tcPr>
            <w:tcW w:type="dxa" w:w="1900"/>
            <w:shd w:fill="EDEAFB" w:val="clear"/>
          </w:tcPr>
          <w:p>
            <w:r>
              <w:rPr>
                <w:rFonts w:ascii="Calibri" w:cs="Calibri" w:eastAsia="Calibri" w:hAnsi="Calibri"/>
                <w:b/>
                <w:bCs/>
                <w:color w:val="1B1F2A"/>
                <w:sz w:val="20"/>
                <w:szCs w:val="20"/>
              </w:rPr>
              <w:t xml:space="preserve">Key Attributes</w:t>
            </w:r>
          </w:p>
        </w:tc>
        <w:tc>
          <w:tcPr>
            <w:tcW w:type="dxa" w:w="6600"/>
            <w:shd w:fill="FFFFFF" w:val="clear"/>
          </w:tcPr>
          <w:p>
            <w:pPr>
              <w:pStyle w:val="ListParagraph"/>
              <w:numPr>
                <w:ilvl w:val="0"/>
                <w:numId w:val="2"/>
              </w:numPr>
              <w:spacing w:after="60" w:line="260"/>
            </w:pPr>
            <w:r>
              <w:rPr>
                <w:rFonts w:ascii="Calibri" w:cs="Calibri" w:eastAsia="Calibri" w:hAnsi="Calibri"/>
                <w:b/>
                <w:bCs/>
                <w:color w:val="1B1F2A"/>
                <w:sz w:val="20"/>
                <w:szCs w:val="20"/>
              </w:rPr>
              <w:t xml:space="preserve">AI-Generated Identity: </w:t>
            </w:r>
            <w:r>
              <w:rPr>
                <w:rFonts w:ascii="Calibri" w:cs="Calibri" w:eastAsia="Calibri" w:hAnsi="Calibri"/>
                <w:color w:val="1B1F2A"/>
                <w:sz w:val="20"/>
                <w:szCs w:val="20"/>
              </w:rPr>
              <w:t xml:space="preserve">generated_title, generated_description, industry</w:t>
            </w:r>
          </w:p>
          <w:p>
            <w:pPr>
              <w:pStyle w:val="ListParagraph"/>
              <w:numPr>
                <w:ilvl w:val="0"/>
                <w:numId w:val="2"/>
              </w:numPr>
              <w:spacing w:after="60" w:line="260"/>
            </w:pPr>
            <w:r>
              <w:rPr>
                <w:rFonts w:ascii="Calibri" w:cs="Calibri" w:eastAsia="Calibri" w:hAnsi="Calibri"/>
                <w:b/>
                <w:bCs/>
                <w:color w:val="1B1F2A"/>
                <w:sz w:val="20"/>
                <w:szCs w:val="20"/>
              </w:rPr>
              <w:t xml:space="preserve">Scoring &amp; Reanalysis: </w:t>
            </w:r>
            <w:r>
              <w:rPr>
                <w:rFonts w:ascii="Calibri" w:cs="Calibri" w:eastAsia="Calibri" w:hAnsi="Calibri"/>
                <w:color w:val="1B1F2A"/>
                <w:sz w:val="20"/>
                <w:szCs w:val="20"/>
              </w:rPr>
              <w:t xml:space="preserve">matching_score, is_reanalysis, reanalysis_count</w:t>
            </w:r>
          </w:p>
          <w:p>
            <w:pPr>
              <w:pStyle w:val="ListParagraph"/>
              <w:numPr>
                <w:ilvl w:val="0"/>
                <w:numId w:val="2"/>
              </w:numPr>
              <w:spacing w:after="0" w:line="260"/>
            </w:pPr>
            <w:r>
              <w:rPr>
                <w:rFonts w:ascii="Calibri" w:cs="Calibri" w:eastAsia="Calibri" w:hAnsi="Calibri"/>
                <w:b/>
                <w:bCs/>
                <w:color w:val="1B1F2A"/>
                <w:sz w:val="20"/>
                <w:szCs w:val="20"/>
              </w:rPr>
              <w:t xml:space="preserve">Processing Information: </w:t>
            </w:r>
            <w:r>
              <w:rPr>
                <w:rFonts w:ascii="Calibri" w:cs="Calibri" w:eastAsia="Calibri" w:hAnsi="Calibri"/>
                <w:color w:val="1B1F2A"/>
                <w:sz w:val="20"/>
                <w:szCs w:val="20"/>
              </w:rPr>
              <w:t xml:space="preserve">analysis_status, ai_model, processing_time_ms, confidence_score</w:t>
            </w:r>
          </w:p>
        </w:tc>
      </w:tr>
      <w:tr>
        <w:tc>
          <w:tcPr>
            <w:tcW w:type="dxa" w:w="1900"/>
            <w:shd w:fill="EDEAFB" w:val="clear"/>
          </w:tcPr>
          <w:p>
            <w:r>
              <w:rPr>
                <w:rFonts w:ascii="Calibri" w:cs="Calibri" w:eastAsia="Calibri" w:hAnsi="Calibri"/>
                <w:b/>
                <w:bCs/>
                <w:color w:val="1B1F2A"/>
                <w:sz w:val="20"/>
                <w:szCs w:val="20"/>
              </w:rPr>
              <w:t xml:space="preserve">Used By</w:t>
            </w:r>
          </w:p>
        </w:tc>
        <w:tc>
          <w:tcPr>
            <w:tcW w:type="dxa" w:w="6600"/>
            <w:shd w:fill="F5F3FC" w:val="clear"/>
          </w:tcPr>
          <w:p>
            <w:pPr>
              <w:spacing w:after="0" w:line="270"/>
            </w:pPr>
            <w:r>
              <w:rPr>
                <w:rFonts w:ascii="Calibri" w:cs="Calibri" w:eastAsia="Calibri" w:hAnsi="Calibri"/>
                <w:color w:val="1B1F2A"/>
                <w:sz w:val="20"/>
                <w:szCs w:val="20"/>
              </w:rPr>
              <w:t xml:space="preserve">Discovery Galaxy (idea header), Dashboard, and Resume Analysis (restoring a pending analysis).</w:t>
            </w:r>
          </w:p>
        </w:tc>
      </w:tr>
    </w:tbl>
    <w:p>
      <w:pPr>
        <w:spacing w:after="3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shd w:fill="3E2E8C" w:val="clear"/>
          </w:tcPr>
          <w:p>
            <w:pPr>
              <w:spacing w:after="40" w:before="40"/>
            </w:pPr>
            <w:r>
              <w:rPr>
                <w:rFonts w:ascii="Calibri" w:cs="Calibri" w:eastAsia="Calibri" w:hAnsi="Calibri"/>
                <w:b/>
                <w:bCs/>
                <w:color w:val="FFFFFF"/>
                <w:sz w:val="24"/>
                <w:szCs w:val="24"/>
              </w:rPr>
              <w:t xml:space="preserve">market_research</w:t>
            </w:r>
          </w:p>
        </w:tc>
      </w:tr>
    </w:tbl>
    <w:tbl>
      <w:tblPr>
        <w:tblW w:type="dxa" w:w="8500"/>
        <w:tblBorders>
          <w:top w:val="single" w:color="D8D5EE" w:sz="4"/>
          <w:left w:val="single" w:color="D8D5EE" w:sz="4"/>
          <w:bottom w:val="single" w:color="D8D5EE" w:sz="4"/>
          <w:right w:val="single" w:color="D8D5EE" w:sz="4"/>
          <w:insideH w:val="single" w:color="D8D5EE" w:sz="4"/>
          <w:insideV w:val="single" w:color="D8D5EE" w:sz="4"/>
        </w:tblBorders>
      </w:tblPr>
      <w:tblGrid>
        <w:gridCol w:w="1900"/>
        <w:gridCol w:w="6600"/>
      </w:tblGrid>
      <w:tr>
        <w:tc>
          <w:tcPr>
            <w:tcW w:type="dxa" w:w="1900"/>
            <w:shd w:fill="EDEAFB" w:val="clear"/>
          </w:tcPr>
          <w:p>
            <w:r>
              <w:rPr>
                <w:rFonts w:ascii="Calibri" w:cs="Calibri" w:eastAsia="Calibri" w:hAnsi="Calibri"/>
                <w:b/>
                <w:bCs/>
                <w:color w:val="1B1F2A"/>
                <w:sz w:val="20"/>
                <w:szCs w:val="20"/>
              </w:rPr>
              <w:t xml:space="preserve">Purpose</w:t>
            </w:r>
          </w:p>
        </w:tc>
        <w:tc>
          <w:tcPr>
            <w:tcW w:type="dxa" w:w="6600"/>
            <w:shd w:fill="FFFFFF" w:val="clear"/>
          </w:tcPr>
          <w:p>
            <w:pPr>
              <w:spacing w:after="0" w:line="270"/>
            </w:pPr>
            <w:r>
              <w:rPr>
                <w:rFonts w:ascii="Calibri" w:cs="Calibri" w:eastAsia="Calibri" w:hAnsi="Calibri"/>
                <w:color w:val="1B1F2A"/>
                <w:sz w:val="20"/>
                <w:szCs w:val="20"/>
              </w:rPr>
              <w:t xml:space="preserve">Stores the output of the Market Research agent — an independent, in-depth study of the idea's target market, sized opportunity, and competitive environment at a macro level.</w:t>
            </w:r>
          </w:p>
        </w:tc>
      </w:tr>
      <w:tr>
        <w:tc>
          <w:tcPr>
            <w:tcW w:type="dxa" w:w="1900"/>
            <w:shd w:fill="EDEAFB" w:val="clear"/>
          </w:tcPr>
          <w:p>
            <w:r>
              <w:rPr>
                <w:rFonts w:ascii="Calibri" w:cs="Calibri" w:eastAsia="Calibri" w:hAnsi="Calibri"/>
                <w:b/>
                <w:bCs/>
                <w:color w:val="1B1F2A"/>
                <w:sz w:val="20"/>
                <w:szCs w:val="20"/>
              </w:rPr>
              <w:t xml:space="preserve">Primary Key</w:t>
            </w:r>
          </w:p>
        </w:tc>
        <w:tc>
          <w:tcPr>
            <w:tcW w:type="dxa" w:w="6600"/>
            <w:shd w:fill="F5F3FC" w:val="clear"/>
          </w:tcPr>
          <w:p>
            <w:pPr>
              <w:spacing w:after="0" w:line="270"/>
            </w:pPr>
            <w:r>
              <w:rPr>
                <w:rFonts w:ascii="Calibri" w:cs="Calibri" w:eastAsia="Calibri" w:hAnsi="Calibri"/>
                <w:color w:val="1B1F2A"/>
                <w:sz w:val="20"/>
                <w:szCs w:val="20"/>
              </w:rPr>
              <w:t xml:space="preserve">id (UUID)</w:t>
            </w:r>
          </w:p>
        </w:tc>
      </w:tr>
      <w:tr>
        <w:tc>
          <w:tcPr>
            <w:tcW w:type="dxa" w:w="1900"/>
            <w:shd w:fill="EDEAFB" w:val="clear"/>
          </w:tcPr>
          <w:p>
            <w:r>
              <w:rPr>
                <w:rFonts w:ascii="Calibri" w:cs="Calibri" w:eastAsia="Calibri" w:hAnsi="Calibri"/>
                <w:b/>
                <w:bCs/>
                <w:color w:val="1B1F2A"/>
                <w:sz w:val="20"/>
                <w:szCs w:val="20"/>
              </w:rPr>
              <w:t xml:space="preserve">Foreign Key(s)</w:t>
            </w:r>
          </w:p>
        </w:tc>
        <w:tc>
          <w:tcPr>
            <w:tcW w:type="dxa" w:w="6600"/>
            <w:shd w:fill="FFFFFF" w:val="clear"/>
          </w:tcPr>
          <w:p>
            <w:pPr>
              <w:pStyle w:val="ListParagraph"/>
              <w:numPr>
                <w:ilvl w:val="0"/>
                <w:numId w:val="2"/>
              </w:numPr>
              <w:spacing w:after="0" w:line="260"/>
            </w:pPr>
            <w:r>
              <w:rPr>
                <w:rFonts w:ascii="Calibri" w:cs="Calibri" w:eastAsia="Calibri" w:hAnsi="Calibri"/>
                <w:b/>
                <w:bCs/>
                <w:color w:val="1B1F2A"/>
                <w:sz w:val="20"/>
                <w:szCs w:val="20"/>
              </w:rPr>
              <w:t xml:space="preserve">analysis_request_id: </w:t>
            </w:r>
            <w:r>
              <w:rPr>
                <w:rFonts w:ascii="Calibri" w:cs="Calibri" w:eastAsia="Calibri" w:hAnsi="Calibri"/>
                <w:color w:val="1B1F2A"/>
                <w:sz w:val="20"/>
                <w:szCs w:val="20"/>
              </w:rPr>
              <w:t xml:space="preserve">references new_analysis_data.id — not ai_analysis_data.id. This was confirmed directly from the exported data, where identical UUID values are shared across new_analysis_data and this table's analysis_request_id column.</w:t>
            </w:r>
          </w:p>
        </w:tc>
      </w:tr>
      <w:tr>
        <w:tc>
          <w:tcPr>
            <w:tcW w:type="dxa" w:w="1900"/>
            <w:shd w:fill="EDEAFB" w:val="clear"/>
          </w:tcPr>
          <w:p>
            <w:r>
              <w:rPr>
                <w:rFonts w:ascii="Calibri" w:cs="Calibri" w:eastAsia="Calibri" w:hAnsi="Calibri"/>
                <w:b/>
                <w:bCs/>
                <w:color w:val="1B1F2A"/>
                <w:sz w:val="20"/>
                <w:szCs w:val="20"/>
              </w:rPr>
              <w:t xml:space="preserve">Relationship</w:t>
            </w:r>
          </w:p>
        </w:tc>
        <w:tc>
          <w:tcPr>
            <w:tcW w:type="dxa" w:w="6600"/>
            <w:shd w:fill="F5F3FC" w:val="clear"/>
          </w:tcPr>
          <w:p>
            <w:pPr>
              <w:spacing w:after="0" w:line="270"/>
            </w:pPr>
            <w:r>
              <w:rPr>
                <w:rFonts w:ascii="Calibri" w:cs="Calibri" w:eastAsia="Calibri" w:hAnsi="Calibri"/>
                <w:color w:val="1B1F2A"/>
                <w:sz w:val="20"/>
                <w:szCs w:val="20"/>
              </w:rPr>
              <w:t xml:space="preserve">One-to-Zero/One with new_analysis_data. Not every submitted idea has a completed Market Research record, since analysis is generated asynchronously and may still be in progress.</w:t>
            </w:r>
          </w:p>
        </w:tc>
      </w:tr>
      <w:tr>
        <w:tc>
          <w:tcPr>
            <w:tcW w:type="dxa" w:w="1900"/>
            <w:shd w:fill="EDEAFB" w:val="clear"/>
          </w:tcPr>
          <w:p>
            <w:r>
              <w:rPr>
                <w:rFonts w:ascii="Calibri" w:cs="Calibri" w:eastAsia="Calibri" w:hAnsi="Calibri"/>
                <w:b/>
                <w:bCs/>
                <w:color w:val="1B1F2A"/>
                <w:sz w:val="20"/>
                <w:szCs w:val="20"/>
              </w:rPr>
              <w:t xml:space="preserve">Key Attributes</w:t>
            </w:r>
          </w:p>
        </w:tc>
        <w:tc>
          <w:tcPr>
            <w:tcW w:type="dxa" w:w="6600"/>
            <w:shd w:fill="FFFFFF" w:val="clear"/>
          </w:tcPr>
          <w:p>
            <w:pPr>
              <w:pStyle w:val="ListParagraph"/>
              <w:numPr>
                <w:ilvl w:val="0"/>
                <w:numId w:val="2"/>
              </w:numPr>
              <w:spacing w:after="60" w:line="260"/>
            </w:pPr>
            <w:r>
              <w:rPr>
                <w:rFonts w:ascii="Calibri" w:cs="Calibri" w:eastAsia="Calibri" w:hAnsi="Calibri"/>
                <w:b/>
                <w:bCs/>
                <w:color w:val="1B1F2A"/>
                <w:sz w:val="20"/>
                <w:szCs w:val="20"/>
              </w:rPr>
              <w:t xml:space="preserve">Market Definition: </w:t>
            </w:r>
            <w:r>
              <w:rPr>
                <w:rFonts w:ascii="Calibri" w:cs="Calibri" w:eastAsia="Calibri" w:hAnsi="Calibri"/>
                <w:color w:val="1B1F2A"/>
                <w:sz w:val="20"/>
                <w:szCs w:val="20"/>
              </w:rPr>
              <w:t xml:space="preserve">problem, market_size, target_customers</w:t>
            </w:r>
          </w:p>
          <w:p>
            <w:pPr>
              <w:pStyle w:val="ListParagraph"/>
              <w:numPr>
                <w:ilvl w:val="0"/>
                <w:numId w:val="2"/>
              </w:numPr>
              <w:spacing w:after="60" w:line="260"/>
            </w:pPr>
            <w:r>
              <w:rPr>
                <w:rFonts w:ascii="Calibri" w:cs="Calibri" w:eastAsia="Calibri" w:hAnsi="Calibri"/>
                <w:b/>
                <w:bCs/>
                <w:color w:val="1B1F2A"/>
                <w:sz w:val="20"/>
                <w:szCs w:val="20"/>
              </w:rPr>
              <w:t xml:space="preserve">Market Dynamics: </w:t>
            </w:r>
            <w:r>
              <w:rPr>
                <w:rFonts w:ascii="Calibri" w:cs="Calibri" w:eastAsia="Calibri" w:hAnsi="Calibri"/>
                <w:color w:val="1B1F2A"/>
                <w:sz w:val="20"/>
                <w:szCs w:val="20"/>
              </w:rPr>
              <w:t xml:space="preserve">market_trends, customer_pain_points, barriers_to_entry, market_growth_rate, market_maturity</w:t>
            </w:r>
          </w:p>
          <w:p>
            <w:pPr>
              <w:pStyle w:val="ListParagraph"/>
              <w:numPr>
                <w:ilvl w:val="0"/>
                <w:numId w:val="2"/>
              </w:numPr>
              <w:spacing w:after="60" w:line="260"/>
            </w:pPr>
            <w:r>
              <w:rPr>
                <w:rFonts w:ascii="Calibri" w:cs="Calibri" w:eastAsia="Calibri" w:hAnsi="Calibri"/>
                <w:b/>
                <w:bCs/>
                <w:color w:val="1B1F2A"/>
                <w:sz w:val="20"/>
                <w:szCs w:val="20"/>
              </w:rPr>
              <w:t xml:space="preserve">Compliance Context: </w:t>
            </w:r>
            <w:r>
              <w:rPr>
                <w:rFonts w:ascii="Calibri" w:cs="Calibri" w:eastAsia="Calibri" w:hAnsi="Calibri"/>
                <w:color w:val="1B1F2A"/>
                <w:sz w:val="20"/>
                <w:szCs w:val="20"/>
              </w:rPr>
              <w:t xml:space="preserve">regulatory_factors</w:t>
            </w:r>
          </w:p>
          <w:p>
            <w:pPr>
              <w:pStyle w:val="ListParagraph"/>
              <w:numPr>
                <w:ilvl w:val="0"/>
                <w:numId w:val="2"/>
              </w:numPr>
              <w:spacing w:after="0" w:line="260"/>
            </w:pPr>
            <w:r>
              <w:rPr>
                <w:rFonts w:ascii="Calibri" w:cs="Calibri" w:eastAsia="Calibri" w:hAnsi="Calibri"/>
                <w:b/>
                <w:bCs/>
                <w:color w:val="1B1F2A"/>
                <w:sz w:val="20"/>
                <w:szCs w:val="20"/>
              </w:rPr>
              <w:t xml:space="preserve">Processing Information: </w:t>
            </w:r>
            <w:r>
              <w:rPr>
                <w:rFonts w:ascii="Calibri" w:cs="Calibri" w:eastAsia="Calibri" w:hAnsi="Calibri"/>
                <w:color w:val="1B1F2A"/>
                <w:sz w:val="20"/>
                <w:szCs w:val="20"/>
              </w:rPr>
              <w:t xml:space="preserve">analysis_status, confidence_score</w:t>
            </w:r>
          </w:p>
        </w:tc>
      </w:tr>
      <w:tr>
        <w:tc>
          <w:tcPr>
            <w:tcW w:type="dxa" w:w="1900"/>
            <w:shd w:fill="EDEAFB" w:val="clear"/>
          </w:tcPr>
          <w:p>
            <w:r>
              <w:rPr>
                <w:rFonts w:ascii="Calibri" w:cs="Calibri" w:eastAsia="Calibri" w:hAnsi="Calibri"/>
                <w:b/>
                <w:bCs/>
                <w:color w:val="1B1F2A"/>
                <w:sz w:val="20"/>
                <w:szCs w:val="20"/>
              </w:rPr>
              <w:t xml:space="preserve">Used By</w:t>
            </w:r>
          </w:p>
        </w:tc>
        <w:tc>
          <w:tcPr>
            <w:tcW w:type="dxa" w:w="6600"/>
            <w:shd w:fill="F5F3FC" w:val="clear"/>
          </w:tcPr>
          <w:p>
            <w:pPr>
              <w:spacing w:after="0" w:line="270"/>
            </w:pPr>
            <w:r>
              <w:rPr>
                <w:rFonts w:ascii="Calibri" w:cs="Calibri" w:eastAsia="Calibri" w:hAnsi="Calibri"/>
                <w:color w:val="1B1F2A"/>
                <w:sz w:val="20"/>
                <w:szCs w:val="20"/>
              </w:rPr>
              <w:t xml:space="preserve">Discovery Galaxy (Market Research agent panel) and Reports.</w:t>
            </w:r>
          </w:p>
        </w:tc>
      </w:tr>
    </w:tbl>
    <w:p>
      <w:pPr>
        <w:spacing w:after="3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shd w:fill="3E2E8C" w:val="clear"/>
          </w:tcPr>
          <w:p>
            <w:pPr>
              <w:spacing w:after="40" w:before="40"/>
            </w:pPr>
            <w:r>
              <w:rPr>
                <w:rFonts w:ascii="Calibri" w:cs="Calibri" w:eastAsia="Calibri" w:hAnsi="Calibri"/>
                <w:b/>
                <w:bCs/>
                <w:color w:val="FFFFFF"/>
                <w:sz w:val="24"/>
                <w:szCs w:val="24"/>
              </w:rPr>
              <w:t xml:space="preserve">competitor_analysis</w:t>
            </w:r>
          </w:p>
        </w:tc>
      </w:tr>
    </w:tbl>
    <w:tbl>
      <w:tblPr>
        <w:tblW w:type="dxa" w:w="8500"/>
        <w:tblBorders>
          <w:top w:val="single" w:color="D8D5EE" w:sz="4"/>
          <w:left w:val="single" w:color="D8D5EE" w:sz="4"/>
          <w:bottom w:val="single" w:color="D8D5EE" w:sz="4"/>
          <w:right w:val="single" w:color="D8D5EE" w:sz="4"/>
          <w:insideH w:val="single" w:color="D8D5EE" w:sz="4"/>
          <w:insideV w:val="single" w:color="D8D5EE" w:sz="4"/>
        </w:tblBorders>
      </w:tblPr>
      <w:tblGrid>
        <w:gridCol w:w="1900"/>
        <w:gridCol w:w="6600"/>
      </w:tblGrid>
      <w:tr>
        <w:tc>
          <w:tcPr>
            <w:tcW w:type="dxa" w:w="1900"/>
            <w:shd w:fill="EDEAFB" w:val="clear"/>
          </w:tcPr>
          <w:p>
            <w:r>
              <w:rPr>
                <w:rFonts w:ascii="Calibri" w:cs="Calibri" w:eastAsia="Calibri" w:hAnsi="Calibri"/>
                <w:b/>
                <w:bCs/>
                <w:color w:val="1B1F2A"/>
                <w:sz w:val="20"/>
                <w:szCs w:val="20"/>
              </w:rPr>
              <w:t xml:space="preserve">Purpose</w:t>
            </w:r>
          </w:p>
        </w:tc>
        <w:tc>
          <w:tcPr>
            <w:tcW w:type="dxa" w:w="6600"/>
            <w:shd w:fill="FFFFFF" w:val="clear"/>
          </w:tcPr>
          <w:p>
            <w:pPr>
              <w:spacing w:after="0" w:line="270"/>
            </w:pPr>
            <w:r>
              <w:rPr>
                <w:rFonts w:ascii="Calibri" w:cs="Calibri" w:eastAsia="Calibri" w:hAnsi="Calibri"/>
                <w:color w:val="1B1F2A"/>
                <w:sz w:val="20"/>
                <w:szCs w:val="20"/>
              </w:rPr>
              <w:t xml:space="preserve">Stores the output of the Competitor Analysis agent, which identifies direct and indirect competitors and evaluates the idea's competitive positioning against them.</w:t>
            </w:r>
          </w:p>
        </w:tc>
      </w:tr>
      <w:tr>
        <w:tc>
          <w:tcPr>
            <w:tcW w:type="dxa" w:w="1900"/>
            <w:shd w:fill="EDEAFB" w:val="clear"/>
          </w:tcPr>
          <w:p>
            <w:r>
              <w:rPr>
                <w:rFonts w:ascii="Calibri" w:cs="Calibri" w:eastAsia="Calibri" w:hAnsi="Calibri"/>
                <w:b/>
                <w:bCs/>
                <w:color w:val="1B1F2A"/>
                <w:sz w:val="20"/>
                <w:szCs w:val="20"/>
              </w:rPr>
              <w:t xml:space="preserve">Primary Key</w:t>
            </w:r>
          </w:p>
        </w:tc>
        <w:tc>
          <w:tcPr>
            <w:tcW w:type="dxa" w:w="6600"/>
            <w:shd w:fill="F5F3FC" w:val="clear"/>
          </w:tcPr>
          <w:p>
            <w:pPr>
              <w:spacing w:after="0" w:line="270"/>
            </w:pPr>
            <w:r>
              <w:rPr>
                <w:rFonts w:ascii="Calibri" w:cs="Calibri" w:eastAsia="Calibri" w:hAnsi="Calibri"/>
                <w:color w:val="1B1F2A"/>
                <w:sz w:val="20"/>
                <w:szCs w:val="20"/>
              </w:rPr>
              <w:t xml:space="preserve">id (UUID)</w:t>
            </w:r>
          </w:p>
        </w:tc>
      </w:tr>
      <w:tr>
        <w:tc>
          <w:tcPr>
            <w:tcW w:type="dxa" w:w="1900"/>
            <w:shd w:fill="EDEAFB" w:val="clear"/>
          </w:tcPr>
          <w:p>
            <w:r>
              <w:rPr>
                <w:rFonts w:ascii="Calibri" w:cs="Calibri" w:eastAsia="Calibri" w:hAnsi="Calibri"/>
                <w:b/>
                <w:bCs/>
                <w:color w:val="1B1F2A"/>
                <w:sz w:val="20"/>
                <w:szCs w:val="20"/>
              </w:rPr>
              <w:t xml:space="preserve">Foreign Key(s)</w:t>
            </w:r>
          </w:p>
        </w:tc>
        <w:tc>
          <w:tcPr>
            <w:tcW w:type="dxa" w:w="6600"/>
            <w:shd w:fill="FFFFFF" w:val="clear"/>
          </w:tcPr>
          <w:p>
            <w:pPr>
              <w:pStyle w:val="ListParagraph"/>
              <w:numPr>
                <w:ilvl w:val="0"/>
                <w:numId w:val="2"/>
              </w:numPr>
              <w:spacing w:after="0" w:line="260"/>
            </w:pPr>
            <w:r>
              <w:rPr>
                <w:rFonts w:ascii="Calibri" w:cs="Calibri" w:eastAsia="Calibri" w:hAnsi="Calibri"/>
                <w:b/>
                <w:bCs/>
                <w:color w:val="1B1F2A"/>
                <w:sz w:val="20"/>
                <w:szCs w:val="20"/>
              </w:rPr>
              <w:t xml:space="preserve">analysis_request_id: </w:t>
            </w:r>
            <w:r>
              <w:rPr>
                <w:rFonts w:ascii="Calibri" w:cs="Calibri" w:eastAsia="Calibri" w:hAnsi="Calibri"/>
                <w:color w:val="1B1F2A"/>
                <w:sz w:val="20"/>
                <w:szCs w:val="20"/>
              </w:rPr>
              <w:t xml:space="preserve">references new_analysis_data.id.</w:t>
            </w:r>
          </w:p>
        </w:tc>
      </w:tr>
      <w:tr>
        <w:tc>
          <w:tcPr>
            <w:tcW w:type="dxa" w:w="1900"/>
            <w:shd w:fill="EDEAFB" w:val="clear"/>
          </w:tcPr>
          <w:p>
            <w:r>
              <w:rPr>
                <w:rFonts w:ascii="Calibri" w:cs="Calibri" w:eastAsia="Calibri" w:hAnsi="Calibri"/>
                <w:b/>
                <w:bCs/>
                <w:color w:val="1B1F2A"/>
                <w:sz w:val="20"/>
                <w:szCs w:val="20"/>
              </w:rPr>
              <w:t xml:space="preserve">Relationship</w:t>
            </w:r>
          </w:p>
        </w:tc>
        <w:tc>
          <w:tcPr>
            <w:tcW w:type="dxa" w:w="6600"/>
            <w:shd w:fill="F5F3FC" w:val="clear"/>
          </w:tcPr>
          <w:p>
            <w:pPr>
              <w:spacing w:after="0" w:line="270"/>
            </w:pPr>
            <w:r>
              <w:rPr>
                <w:rFonts w:ascii="Calibri" w:cs="Calibri" w:eastAsia="Calibri" w:hAnsi="Calibri"/>
                <w:color w:val="1B1F2A"/>
                <w:sz w:val="20"/>
                <w:szCs w:val="20"/>
              </w:rPr>
              <w:t xml:space="preserve">One-to-Zero/One with new_analysis_data.</w:t>
            </w:r>
          </w:p>
        </w:tc>
      </w:tr>
      <w:tr>
        <w:tc>
          <w:tcPr>
            <w:tcW w:type="dxa" w:w="1900"/>
            <w:shd w:fill="EDEAFB" w:val="clear"/>
          </w:tcPr>
          <w:p>
            <w:r>
              <w:rPr>
                <w:rFonts w:ascii="Calibri" w:cs="Calibri" w:eastAsia="Calibri" w:hAnsi="Calibri"/>
                <w:b/>
                <w:bCs/>
                <w:color w:val="1B1F2A"/>
                <w:sz w:val="20"/>
                <w:szCs w:val="20"/>
              </w:rPr>
              <w:t xml:space="preserve">Key Attributes</w:t>
            </w:r>
          </w:p>
        </w:tc>
        <w:tc>
          <w:tcPr>
            <w:tcW w:type="dxa" w:w="6600"/>
            <w:shd w:fill="FFFFFF" w:val="clear"/>
          </w:tcPr>
          <w:p>
            <w:pPr>
              <w:pStyle w:val="ListParagraph"/>
              <w:numPr>
                <w:ilvl w:val="0"/>
                <w:numId w:val="2"/>
              </w:numPr>
              <w:spacing w:after="60" w:line="260"/>
            </w:pPr>
            <w:r>
              <w:rPr>
                <w:rFonts w:ascii="Calibri" w:cs="Calibri" w:eastAsia="Calibri" w:hAnsi="Calibri"/>
                <w:b/>
                <w:bCs/>
                <w:color w:val="1B1F2A"/>
                <w:sz w:val="20"/>
                <w:szCs w:val="20"/>
              </w:rPr>
              <w:t xml:space="preserve">Competitor Landscape: </w:t>
            </w:r>
            <w:r>
              <w:rPr>
                <w:rFonts w:ascii="Calibri" w:cs="Calibri" w:eastAsia="Calibri" w:hAnsi="Calibri"/>
                <w:color w:val="1B1F2A"/>
                <w:sz w:val="20"/>
                <w:szCs w:val="20"/>
              </w:rPr>
              <w:t xml:space="preserve">direct_competitors, indirect_competitors</w:t>
            </w:r>
          </w:p>
          <w:p>
            <w:pPr>
              <w:pStyle w:val="ListParagraph"/>
              <w:numPr>
                <w:ilvl w:val="0"/>
                <w:numId w:val="2"/>
              </w:numPr>
              <w:spacing w:after="60" w:line="260"/>
            </w:pPr>
            <w:r>
              <w:rPr>
                <w:rFonts w:ascii="Calibri" w:cs="Calibri" w:eastAsia="Calibri" w:hAnsi="Calibri"/>
                <w:b/>
                <w:bCs/>
                <w:color w:val="1B1F2A"/>
                <w:sz w:val="20"/>
                <w:szCs w:val="20"/>
              </w:rPr>
              <w:t xml:space="preserve">Positioning: </w:t>
            </w:r>
            <w:r>
              <w:rPr>
                <w:rFonts w:ascii="Calibri" w:cs="Calibri" w:eastAsia="Calibri" w:hAnsi="Calibri"/>
                <w:color w:val="1B1F2A"/>
                <w:sz w:val="20"/>
                <w:szCs w:val="20"/>
              </w:rPr>
              <w:t xml:space="preserve">competitor_strengths, competitor_weaknesses, market_positioning, competitive_landscape_summary</w:t>
            </w:r>
          </w:p>
          <w:p>
            <w:pPr>
              <w:pStyle w:val="ListParagraph"/>
              <w:numPr>
                <w:ilvl w:val="0"/>
                <w:numId w:val="2"/>
              </w:numPr>
              <w:spacing w:after="0" w:line="260"/>
            </w:pPr>
            <w:r>
              <w:rPr>
                <w:rFonts w:ascii="Calibri" w:cs="Calibri" w:eastAsia="Calibri" w:hAnsi="Calibri"/>
                <w:b/>
                <w:bCs/>
                <w:color w:val="1B1F2A"/>
                <w:sz w:val="20"/>
                <w:szCs w:val="20"/>
              </w:rPr>
              <w:t xml:space="preserve">Processing Information: </w:t>
            </w:r>
            <w:r>
              <w:rPr>
                <w:rFonts w:ascii="Calibri" w:cs="Calibri" w:eastAsia="Calibri" w:hAnsi="Calibri"/>
                <w:color w:val="1B1F2A"/>
                <w:sz w:val="20"/>
                <w:szCs w:val="20"/>
              </w:rPr>
              <w:t xml:space="preserve">analysis_status, confidence_score</w:t>
            </w:r>
          </w:p>
        </w:tc>
      </w:tr>
      <w:tr>
        <w:tc>
          <w:tcPr>
            <w:tcW w:type="dxa" w:w="1900"/>
            <w:shd w:fill="EDEAFB" w:val="clear"/>
          </w:tcPr>
          <w:p>
            <w:r>
              <w:rPr>
                <w:rFonts w:ascii="Calibri" w:cs="Calibri" w:eastAsia="Calibri" w:hAnsi="Calibri"/>
                <w:b/>
                <w:bCs/>
                <w:color w:val="1B1F2A"/>
                <w:sz w:val="20"/>
                <w:szCs w:val="20"/>
              </w:rPr>
              <w:t xml:space="preserve">Used By</w:t>
            </w:r>
          </w:p>
        </w:tc>
        <w:tc>
          <w:tcPr>
            <w:tcW w:type="dxa" w:w="6600"/>
            <w:shd w:fill="F5F3FC" w:val="clear"/>
          </w:tcPr>
          <w:p>
            <w:pPr>
              <w:spacing w:after="0" w:line="270"/>
            </w:pPr>
            <w:r>
              <w:rPr>
                <w:rFonts w:ascii="Calibri" w:cs="Calibri" w:eastAsia="Calibri" w:hAnsi="Calibri"/>
                <w:color w:val="1B1F2A"/>
                <w:sz w:val="20"/>
                <w:szCs w:val="20"/>
              </w:rPr>
              <w:t xml:space="preserve">Discovery Galaxy (Competitor Analysis agent panel) and Reports.</w:t>
            </w:r>
          </w:p>
        </w:tc>
      </w:tr>
    </w:tbl>
    <w:p>
      <w:pPr>
        <w:spacing w:after="3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shd w:fill="3E2E8C" w:val="clear"/>
          </w:tcPr>
          <w:p>
            <w:pPr>
              <w:spacing w:after="40" w:before="40"/>
            </w:pPr>
            <w:r>
              <w:rPr>
                <w:rFonts w:ascii="Calibri" w:cs="Calibri" w:eastAsia="Calibri" w:hAnsi="Calibri"/>
                <w:b/>
                <w:bCs/>
                <w:color w:val="FFFFFF"/>
                <w:sz w:val="24"/>
                <w:szCs w:val="24"/>
              </w:rPr>
              <w:t xml:space="preserve">gap_analysis</w:t>
            </w:r>
          </w:p>
        </w:tc>
      </w:tr>
    </w:tbl>
    <w:tbl>
      <w:tblPr>
        <w:tblW w:type="dxa" w:w="8500"/>
        <w:tblBorders>
          <w:top w:val="single" w:color="D8D5EE" w:sz="4"/>
          <w:left w:val="single" w:color="D8D5EE" w:sz="4"/>
          <w:bottom w:val="single" w:color="D8D5EE" w:sz="4"/>
          <w:right w:val="single" w:color="D8D5EE" w:sz="4"/>
          <w:insideH w:val="single" w:color="D8D5EE" w:sz="4"/>
          <w:insideV w:val="single" w:color="D8D5EE" w:sz="4"/>
        </w:tblBorders>
      </w:tblPr>
      <w:tblGrid>
        <w:gridCol w:w="1900"/>
        <w:gridCol w:w="6600"/>
      </w:tblGrid>
      <w:tr>
        <w:tc>
          <w:tcPr>
            <w:tcW w:type="dxa" w:w="1900"/>
            <w:shd w:fill="EDEAFB" w:val="clear"/>
          </w:tcPr>
          <w:p>
            <w:r>
              <w:rPr>
                <w:rFonts w:ascii="Calibri" w:cs="Calibri" w:eastAsia="Calibri" w:hAnsi="Calibri"/>
                <w:b/>
                <w:bCs/>
                <w:color w:val="1B1F2A"/>
                <w:sz w:val="20"/>
                <w:szCs w:val="20"/>
              </w:rPr>
              <w:t xml:space="preserve">Purpose</w:t>
            </w:r>
          </w:p>
        </w:tc>
        <w:tc>
          <w:tcPr>
            <w:tcW w:type="dxa" w:w="6600"/>
            <w:shd w:fill="FFFFFF" w:val="clear"/>
          </w:tcPr>
          <w:p>
            <w:pPr>
              <w:spacing w:after="0" w:line="270"/>
            </w:pPr>
            <w:r>
              <w:rPr>
                <w:rFonts w:ascii="Calibri" w:cs="Calibri" w:eastAsia="Calibri" w:hAnsi="Calibri"/>
                <w:color w:val="1B1F2A"/>
                <w:sz w:val="20"/>
                <w:szCs w:val="20"/>
              </w:rPr>
              <w:t xml:space="preserve">Stores the output of the Gap Analysis agent, which identifies unmet needs in the market and highlights opportunities for the idea to differentiate itself.</w:t>
            </w:r>
          </w:p>
        </w:tc>
      </w:tr>
      <w:tr>
        <w:tc>
          <w:tcPr>
            <w:tcW w:type="dxa" w:w="1900"/>
            <w:shd w:fill="EDEAFB" w:val="clear"/>
          </w:tcPr>
          <w:p>
            <w:r>
              <w:rPr>
                <w:rFonts w:ascii="Calibri" w:cs="Calibri" w:eastAsia="Calibri" w:hAnsi="Calibri"/>
                <w:b/>
                <w:bCs/>
                <w:color w:val="1B1F2A"/>
                <w:sz w:val="20"/>
                <w:szCs w:val="20"/>
              </w:rPr>
              <w:t xml:space="preserve">Primary Key</w:t>
            </w:r>
          </w:p>
        </w:tc>
        <w:tc>
          <w:tcPr>
            <w:tcW w:type="dxa" w:w="6600"/>
            <w:shd w:fill="F5F3FC" w:val="clear"/>
          </w:tcPr>
          <w:p>
            <w:pPr>
              <w:spacing w:after="0" w:line="270"/>
            </w:pPr>
            <w:r>
              <w:rPr>
                <w:rFonts w:ascii="Calibri" w:cs="Calibri" w:eastAsia="Calibri" w:hAnsi="Calibri"/>
                <w:color w:val="1B1F2A"/>
                <w:sz w:val="20"/>
                <w:szCs w:val="20"/>
              </w:rPr>
              <w:t xml:space="preserve">id (UUID)</w:t>
            </w:r>
          </w:p>
        </w:tc>
      </w:tr>
      <w:tr>
        <w:tc>
          <w:tcPr>
            <w:tcW w:type="dxa" w:w="1900"/>
            <w:shd w:fill="EDEAFB" w:val="clear"/>
          </w:tcPr>
          <w:p>
            <w:r>
              <w:rPr>
                <w:rFonts w:ascii="Calibri" w:cs="Calibri" w:eastAsia="Calibri" w:hAnsi="Calibri"/>
                <w:b/>
                <w:bCs/>
                <w:color w:val="1B1F2A"/>
                <w:sz w:val="20"/>
                <w:szCs w:val="20"/>
              </w:rPr>
              <w:t xml:space="preserve">Foreign Key(s)</w:t>
            </w:r>
          </w:p>
        </w:tc>
        <w:tc>
          <w:tcPr>
            <w:tcW w:type="dxa" w:w="6600"/>
            <w:shd w:fill="FFFFFF" w:val="clear"/>
          </w:tcPr>
          <w:p>
            <w:pPr>
              <w:pStyle w:val="ListParagraph"/>
              <w:numPr>
                <w:ilvl w:val="0"/>
                <w:numId w:val="2"/>
              </w:numPr>
              <w:spacing w:after="0" w:line="260"/>
            </w:pPr>
            <w:r>
              <w:rPr>
                <w:rFonts w:ascii="Calibri" w:cs="Calibri" w:eastAsia="Calibri" w:hAnsi="Calibri"/>
                <w:b/>
                <w:bCs/>
                <w:color w:val="1B1F2A"/>
                <w:sz w:val="20"/>
                <w:szCs w:val="20"/>
              </w:rPr>
              <w:t xml:space="preserve">analysis_request_id: </w:t>
            </w:r>
            <w:r>
              <w:rPr>
                <w:rFonts w:ascii="Calibri" w:cs="Calibri" w:eastAsia="Calibri" w:hAnsi="Calibri"/>
                <w:color w:val="1B1F2A"/>
                <w:sz w:val="20"/>
                <w:szCs w:val="20"/>
              </w:rPr>
              <w:t xml:space="preserve">references new_analysis_data.id.</w:t>
            </w:r>
          </w:p>
        </w:tc>
      </w:tr>
      <w:tr>
        <w:tc>
          <w:tcPr>
            <w:tcW w:type="dxa" w:w="1900"/>
            <w:shd w:fill="EDEAFB" w:val="clear"/>
          </w:tcPr>
          <w:p>
            <w:r>
              <w:rPr>
                <w:rFonts w:ascii="Calibri" w:cs="Calibri" w:eastAsia="Calibri" w:hAnsi="Calibri"/>
                <w:b/>
                <w:bCs/>
                <w:color w:val="1B1F2A"/>
                <w:sz w:val="20"/>
                <w:szCs w:val="20"/>
              </w:rPr>
              <w:t xml:space="preserve">Relationship</w:t>
            </w:r>
          </w:p>
        </w:tc>
        <w:tc>
          <w:tcPr>
            <w:tcW w:type="dxa" w:w="6600"/>
            <w:shd w:fill="F5F3FC" w:val="clear"/>
          </w:tcPr>
          <w:p>
            <w:pPr>
              <w:spacing w:after="0" w:line="270"/>
            </w:pPr>
            <w:r>
              <w:rPr>
                <w:rFonts w:ascii="Calibri" w:cs="Calibri" w:eastAsia="Calibri" w:hAnsi="Calibri"/>
                <w:color w:val="1B1F2A"/>
                <w:sz w:val="20"/>
                <w:szCs w:val="20"/>
              </w:rPr>
              <w:t xml:space="preserve">One-to-Zero/One with new_analysis_data.</w:t>
            </w:r>
          </w:p>
        </w:tc>
      </w:tr>
      <w:tr>
        <w:tc>
          <w:tcPr>
            <w:tcW w:type="dxa" w:w="1900"/>
            <w:shd w:fill="EDEAFB" w:val="clear"/>
          </w:tcPr>
          <w:p>
            <w:r>
              <w:rPr>
                <w:rFonts w:ascii="Calibri" w:cs="Calibri" w:eastAsia="Calibri" w:hAnsi="Calibri"/>
                <w:b/>
                <w:bCs/>
                <w:color w:val="1B1F2A"/>
                <w:sz w:val="20"/>
                <w:szCs w:val="20"/>
              </w:rPr>
              <w:t xml:space="preserve">Key Attributes</w:t>
            </w:r>
          </w:p>
        </w:tc>
        <w:tc>
          <w:tcPr>
            <w:tcW w:type="dxa" w:w="6600"/>
            <w:shd w:fill="FFFFFF" w:val="clear"/>
          </w:tcPr>
          <w:p>
            <w:pPr>
              <w:pStyle w:val="ListParagraph"/>
              <w:numPr>
                <w:ilvl w:val="0"/>
                <w:numId w:val="2"/>
              </w:numPr>
              <w:spacing w:after="60" w:line="260"/>
            </w:pPr>
            <w:r>
              <w:rPr>
                <w:rFonts w:ascii="Calibri" w:cs="Calibri" w:eastAsia="Calibri" w:hAnsi="Calibri"/>
                <w:b/>
                <w:bCs/>
                <w:color w:val="1B1F2A"/>
                <w:sz w:val="20"/>
                <w:szCs w:val="20"/>
              </w:rPr>
              <w:t xml:space="preserve">Identified Gaps: </w:t>
            </w:r>
            <w:r>
              <w:rPr>
                <w:rFonts w:ascii="Calibri" w:cs="Calibri" w:eastAsia="Calibri" w:hAnsi="Calibri"/>
                <w:color w:val="1B1F2A"/>
                <w:sz w:val="20"/>
                <w:szCs w:val="20"/>
              </w:rPr>
              <w:t xml:space="preserve">identified_market_gaps, customer_unmet_needs</w:t>
            </w:r>
          </w:p>
          <w:p>
            <w:pPr>
              <w:pStyle w:val="ListParagraph"/>
              <w:numPr>
                <w:ilvl w:val="0"/>
                <w:numId w:val="2"/>
              </w:numPr>
              <w:spacing w:after="60" w:line="260"/>
            </w:pPr>
            <w:r>
              <w:rPr>
                <w:rFonts w:ascii="Calibri" w:cs="Calibri" w:eastAsia="Calibri" w:hAnsi="Calibri"/>
                <w:b/>
                <w:bCs/>
                <w:color w:val="1B1F2A"/>
                <w:sz w:val="20"/>
                <w:szCs w:val="20"/>
              </w:rPr>
              <w:t xml:space="preserve">Opportunity Areas: </w:t>
            </w:r>
            <w:r>
              <w:rPr>
                <w:rFonts w:ascii="Calibri" w:cs="Calibri" w:eastAsia="Calibri" w:hAnsi="Calibri"/>
                <w:color w:val="1B1F2A"/>
                <w:sz w:val="20"/>
                <w:szCs w:val="20"/>
              </w:rPr>
              <w:t xml:space="preserve">innovation_gaps, differentiation_opportunities</w:t>
            </w:r>
          </w:p>
          <w:p>
            <w:pPr>
              <w:pStyle w:val="ListParagraph"/>
              <w:numPr>
                <w:ilvl w:val="0"/>
                <w:numId w:val="2"/>
              </w:numPr>
              <w:spacing w:after="0" w:line="260"/>
            </w:pPr>
            <w:r>
              <w:rPr>
                <w:rFonts w:ascii="Calibri" w:cs="Calibri" w:eastAsia="Calibri" w:hAnsi="Calibri"/>
                <w:b/>
                <w:bCs/>
                <w:color w:val="1B1F2A"/>
                <w:sz w:val="20"/>
                <w:szCs w:val="20"/>
              </w:rPr>
              <w:t xml:space="preserve">Processing Information: </w:t>
            </w:r>
            <w:r>
              <w:rPr>
                <w:rFonts w:ascii="Calibri" w:cs="Calibri" w:eastAsia="Calibri" w:hAnsi="Calibri"/>
                <w:color w:val="1B1F2A"/>
                <w:sz w:val="20"/>
                <w:szCs w:val="20"/>
              </w:rPr>
              <w:t xml:space="preserve">gap_summary, analysis_status, confidence_score</w:t>
            </w:r>
          </w:p>
        </w:tc>
      </w:tr>
      <w:tr>
        <w:tc>
          <w:tcPr>
            <w:tcW w:type="dxa" w:w="1900"/>
            <w:shd w:fill="EDEAFB" w:val="clear"/>
          </w:tcPr>
          <w:p>
            <w:r>
              <w:rPr>
                <w:rFonts w:ascii="Calibri" w:cs="Calibri" w:eastAsia="Calibri" w:hAnsi="Calibri"/>
                <w:b/>
                <w:bCs/>
                <w:color w:val="1B1F2A"/>
                <w:sz w:val="20"/>
                <w:szCs w:val="20"/>
              </w:rPr>
              <w:t xml:space="preserve">Used By</w:t>
            </w:r>
          </w:p>
        </w:tc>
        <w:tc>
          <w:tcPr>
            <w:tcW w:type="dxa" w:w="6600"/>
            <w:shd w:fill="F5F3FC" w:val="clear"/>
          </w:tcPr>
          <w:p>
            <w:pPr>
              <w:spacing w:after="0" w:line="270"/>
            </w:pPr>
            <w:r>
              <w:rPr>
                <w:rFonts w:ascii="Calibri" w:cs="Calibri" w:eastAsia="Calibri" w:hAnsi="Calibri"/>
                <w:color w:val="1B1F2A"/>
                <w:sz w:val="20"/>
                <w:szCs w:val="20"/>
              </w:rPr>
              <w:t xml:space="preserve">Discovery Galaxy (Gap Analysis agent panel) and Reports.</w:t>
            </w:r>
          </w:p>
        </w:tc>
      </w:tr>
    </w:tbl>
    <w:p>
      <w:pPr>
        <w:spacing w:after="3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shd w:fill="3E2E8C" w:val="clear"/>
          </w:tcPr>
          <w:p>
            <w:pPr>
              <w:spacing w:after="40" w:before="40"/>
            </w:pPr>
            <w:r>
              <w:rPr>
                <w:rFonts w:ascii="Calibri" w:cs="Calibri" w:eastAsia="Calibri" w:hAnsi="Calibri"/>
                <w:b/>
                <w:bCs/>
                <w:color w:val="FFFFFF"/>
                <w:sz w:val="24"/>
                <w:szCs w:val="24"/>
              </w:rPr>
              <w:t xml:space="preserve">feasibility_analysis</w:t>
            </w:r>
          </w:p>
        </w:tc>
      </w:tr>
    </w:tbl>
    <w:tbl>
      <w:tblPr>
        <w:tblW w:type="dxa" w:w="8500"/>
        <w:tblBorders>
          <w:top w:val="single" w:color="D8D5EE" w:sz="4"/>
          <w:left w:val="single" w:color="D8D5EE" w:sz="4"/>
          <w:bottom w:val="single" w:color="D8D5EE" w:sz="4"/>
          <w:right w:val="single" w:color="D8D5EE" w:sz="4"/>
          <w:insideH w:val="single" w:color="D8D5EE" w:sz="4"/>
          <w:insideV w:val="single" w:color="D8D5EE" w:sz="4"/>
        </w:tblBorders>
      </w:tblPr>
      <w:tblGrid>
        <w:gridCol w:w="1900"/>
        <w:gridCol w:w="6600"/>
      </w:tblGrid>
      <w:tr>
        <w:tc>
          <w:tcPr>
            <w:tcW w:type="dxa" w:w="1900"/>
            <w:shd w:fill="EDEAFB" w:val="clear"/>
          </w:tcPr>
          <w:p>
            <w:r>
              <w:rPr>
                <w:rFonts w:ascii="Calibri" w:cs="Calibri" w:eastAsia="Calibri" w:hAnsi="Calibri"/>
                <w:b/>
                <w:bCs/>
                <w:color w:val="1B1F2A"/>
                <w:sz w:val="20"/>
                <w:szCs w:val="20"/>
              </w:rPr>
              <w:t xml:space="preserve">Purpose</w:t>
            </w:r>
          </w:p>
        </w:tc>
        <w:tc>
          <w:tcPr>
            <w:tcW w:type="dxa" w:w="6600"/>
            <w:shd w:fill="FFFFFF" w:val="clear"/>
          </w:tcPr>
          <w:p>
            <w:pPr>
              <w:spacing w:after="0" w:line="270"/>
            </w:pPr>
            <w:r>
              <w:rPr>
                <w:rFonts w:ascii="Calibri" w:cs="Calibri" w:eastAsia="Calibri" w:hAnsi="Calibri"/>
                <w:color w:val="1B1F2A"/>
                <w:sz w:val="20"/>
                <w:szCs w:val="20"/>
              </w:rPr>
              <w:t xml:space="preserve">Stores the output of the Feasibility Analysis agent, which assesses how realistic the idea is to build and commercialize from both a business and technical standpoint.</w:t>
            </w:r>
          </w:p>
        </w:tc>
      </w:tr>
      <w:tr>
        <w:tc>
          <w:tcPr>
            <w:tcW w:type="dxa" w:w="1900"/>
            <w:shd w:fill="EDEAFB" w:val="clear"/>
          </w:tcPr>
          <w:p>
            <w:r>
              <w:rPr>
                <w:rFonts w:ascii="Calibri" w:cs="Calibri" w:eastAsia="Calibri" w:hAnsi="Calibri"/>
                <w:b/>
                <w:bCs/>
                <w:color w:val="1B1F2A"/>
                <w:sz w:val="20"/>
                <w:szCs w:val="20"/>
              </w:rPr>
              <w:t xml:space="preserve">Primary Key</w:t>
            </w:r>
          </w:p>
        </w:tc>
        <w:tc>
          <w:tcPr>
            <w:tcW w:type="dxa" w:w="6600"/>
            <w:shd w:fill="F5F3FC" w:val="clear"/>
          </w:tcPr>
          <w:p>
            <w:pPr>
              <w:spacing w:after="0" w:line="270"/>
            </w:pPr>
            <w:r>
              <w:rPr>
                <w:rFonts w:ascii="Calibri" w:cs="Calibri" w:eastAsia="Calibri" w:hAnsi="Calibri"/>
                <w:color w:val="1B1F2A"/>
                <w:sz w:val="20"/>
                <w:szCs w:val="20"/>
              </w:rPr>
              <w:t xml:space="preserve">id (UUID)</w:t>
            </w:r>
          </w:p>
        </w:tc>
      </w:tr>
      <w:tr>
        <w:tc>
          <w:tcPr>
            <w:tcW w:type="dxa" w:w="1900"/>
            <w:shd w:fill="EDEAFB" w:val="clear"/>
          </w:tcPr>
          <w:p>
            <w:r>
              <w:rPr>
                <w:rFonts w:ascii="Calibri" w:cs="Calibri" w:eastAsia="Calibri" w:hAnsi="Calibri"/>
                <w:b/>
                <w:bCs/>
                <w:color w:val="1B1F2A"/>
                <w:sz w:val="20"/>
                <w:szCs w:val="20"/>
              </w:rPr>
              <w:t xml:space="preserve">Foreign Key(s)</w:t>
            </w:r>
          </w:p>
        </w:tc>
        <w:tc>
          <w:tcPr>
            <w:tcW w:type="dxa" w:w="6600"/>
            <w:shd w:fill="FFFFFF" w:val="clear"/>
          </w:tcPr>
          <w:p>
            <w:pPr>
              <w:pStyle w:val="ListParagraph"/>
              <w:numPr>
                <w:ilvl w:val="0"/>
                <w:numId w:val="2"/>
              </w:numPr>
              <w:spacing w:after="0" w:line="260"/>
            </w:pPr>
            <w:r>
              <w:rPr>
                <w:rFonts w:ascii="Calibri" w:cs="Calibri" w:eastAsia="Calibri" w:hAnsi="Calibri"/>
                <w:b/>
                <w:bCs/>
                <w:color w:val="1B1F2A"/>
                <w:sz w:val="20"/>
                <w:szCs w:val="20"/>
              </w:rPr>
              <w:t xml:space="preserve">analysis_request_id: </w:t>
            </w:r>
            <w:r>
              <w:rPr>
                <w:rFonts w:ascii="Calibri" w:cs="Calibri" w:eastAsia="Calibri" w:hAnsi="Calibri"/>
                <w:color w:val="1B1F2A"/>
                <w:sz w:val="20"/>
                <w:szCs w:val="20"/>
              </w:rPr>
              <w:t xml:space="preserve">references new_analysis_data.id.</w:t>
            </w:r>
          </w:p>
        </w:tc>
      </w:tr>
      <w:tr>
        <w:tc>
          <w:tcPr>
            <w:tcW w:type="dxa" w:w="1900"/>
            <w:shd w:fill="EDEAFB" w:val="clear"/>
          </w:tcPr>
          <w:p>
            <w:r>
              <w:rPr>
                <w:rFonts w:ascii="Calibri" w:cs="Calibri" w:eastAsia="Calibri" w:hAnsi="Calibri"/>
                <w:b/>
                <w:bCs/>
                <w:color w:val="1B1F2A"/>
                <w:sz w:val="20"/>
                <w:szCs w:val="20"/>
              </w:rPr>
              <w:t xml:space="preserve">Relationship</w:t>
            </w:r>
          </w:p>
        </w:tc>
        <w:tc>
          <w:tcPr>
            <w:tcW w:type="dxa" w:w="6600"/>
            <w:shd w:fill="F5F3FC" w:val="clear"/>
          </w:tcPr>
          <w:p>
            <w:pPr>
              <w:spacing w:after="0" w:line="270"/>
            </w:pPr>
            <w:r>
              <w:rPr>
                <w:rFonts w:ascii="Calibri" w:cs="Calibri" w:eastAsia="Calibri" w:hAnsi="Calibri"/>
                <w:color w:val="1B1F2A"/>
                <w:sz w:val="20"/>
                <w:szCs w:val="20"/>
              </w:rPr>
              <w:t xml:space="preserve">One-to-Zero/One with new_analysis_data.</w:t>
            </w:r>
          </w:p>
        </w:tc>
      </w:tr>
      <w:tr>
        <w:tc>
          <w:tcPr>
            <w:tcW w:type="dxa" w:w="1900"/>
            <w:shd w:fill="EDEAFB" w:val="clear"/>
          </w:tcPr>
          <w:p>
            <w:r>
              <w:rPr>
                <w:rFonts w:ascii="Calibri" w:cs="Calibri" w:eastAsia="Calibri" w:hAnsi="Calibri"/>
                <w:b/>
                <w:bCs/>
                <w:color w:val="1B1F2A"/>
                <w:sz w:val="20"/>
                <w:szCs w:val="20"/>
              </w:rPr>
              <w:t xml:space="preserve">Key Attributes</w:t>
            </w:r>
          </w:p>
        </w:tc>
        <w:tc>
          <w:tcPr>
            <w:tcW w:type="dxa" w:w="6600"/>
            <w:shd w:fill="FFFFFF" w:val="clear"/>
          </w:tcPr>
          <w:p>
            <w:pPr>
              <w:pStyle w:val="ListParagraph"/>
              <w:numPr>
                <w:ilvl w:val="0"/>
                <w:numId w:val="2"/>
              </w:numPr>
              <w:spacing w:after="60" w:line="260"/>
            </w:pPr>
            <w:r>
              <w:rPr>
                <w:rFonts w:ascii="Calibri" w:cs="Calibri" w:eastAsia="Calibri" w:hAnsi="Calibri"/>
                <w:b/>
                <w:bCs/>
                <w:color w:val="1B1F2A"/>
                <w:sz w:val="20"/>
                <w:szCs w:val="20"/>
              </w:rPr>
              <w:t xml:space="preserve">Feasibility Scores: </w:t>
            </w:r>
            <w:r>
              <w:rPr>
                <w:rFonts w:ascii="Calibri" w:cs="Calibri" w:eastAsia="Calibri" w:hAnsi="Calibri"/>
                <w:color w:val="1B1F2A"/>
                <w:sz w:val="20"/>
                <w:szCs w:val="20"/>
              </w:rPr>
              <w:t xml:space="preserve">business_feasibility_score, technical_feasibility_score, overall_feasibility_score</w:t>
            </w:r>
          </w:p>
          <w:p>
            <w:pPr>
              <w:pStyle w:val="ListParagraph"/>
              <w:numPr>
                <w:ilvl w:val="0"/>
                <w:numId w:val="2"/>
              </w:numPr>
              <w:spacing w:after="60" w:line="260"/>
            </w:pPr>
            <w:r>
              <w:rPr>
                <w:rFonts w:ascii="Calibri" w:cs="Calibri" w:eastAsia="Calibri" w:hAnsi="Calibri"/>
                <w:b/>
                <w:bCs/>
                <w:color w:val="1B1F2A"/>
                <w:sz w:val="20"/>
                <w:szCs w:val="20"/>
              </w:rPr>
              <w:t xml:space="preserve">Resourcing &amp; Planning: </w:t>
            </w:r>
            <w:r>
              <w:rPr>
                <w:rFonts w:ascii="Calibri" w:cs="Calibri" w:eastAsia="Calibri" w:hAnsi="Calibri"/>
                <w:color w:val="1B1F2A"/>
                <w:sz w:val="20"/>
                <w:szCs w:val="20"/>
              </w:rPr>
              <w:t xml:space="preserve">required_resources, technology_stack, estimated_development_complexity, estimated_time_to_market, estimated_budget_range</w:t>
            </w:r>
          </w:p>
          <w:p>
            <w:pPr>
              <w:pStyle w:val="ListParagraph"/>
              <w:numPr>
                <w:ilvl w:val="0"/>
                <w:numId w:val="2"/>
              </w:numPr>
              <w:spacing w:after="0" w:line="260"/>
            </w:pPr>
            <w:r>
              <w:rPr>
                <w:rFonts w:ascii="Calibri" w:cs="Calibri" w:eastAsia="Calibri" w:hAnsi="Calibri"/>
                <w:b/>
                <w:bCs/>
                <w:color w:val="1B1F2A"/>
                <w:sz w:val="20"/>
                <w:szCs w:val="20"/>
              </w:rPr>
              <w:t xml:space="preserve">Processing Information: </w:t>
            </w:r>
            <w:r>
              <w:rPr>
                <w:rFonts w:ascii="Calibri" w:cs="Calibri" w:eastAsia="Calibri" w:hAnsi="Calibri"/>
                <w:color w:val="1B1F2A"/>
                <w:sz w:val="20"/>
                <w:szCs w:val="20"/>
              </w:rPr>
              <w:t xml:space="preserve">analysis_status, confidence_score</w:t>
            </w:r>
          </w:p>
        </w:tc>
      </w:tr>
      <w:tr>
        <w:tc>
          <w:tcPr>
            <w:tcW w:type="dxa" w:w="1900"/>
            <w:shd w:fill="EDEAFB" w:val="clear"/>
          </w:tcPr>
          <w:p>
            <w:r>
              <w:rPr>
                <w:rFonts w:ascii="Calibri" w:cs="Calibri" w:eastAsia="Calibri" w:hAnsi="Calibri"/>
                <w:b/>
                <w:bCs/>
                <w:color w:val="1B1F2A"/>
                <w:sz w:val="20"/>
                <w:szCs w:val="20"/>
              </w:rPr>
              <w:t xml:space="preserve">Used By</w:t>
            </w:r>
          </w:p>
        </w:tc>
        <w:tc>
          <w:tcPr>
            <w:tcW w:type="dxa" w:w="6600"/>
            <w:shd w:fill="F5F3FC" w:val="clear"/>
          </w:tcPr>
          <w:p>
            <w:pPr>
              <w:spacing w:after="0" w:line="270"/>
            </w:pPr>
            <w:r>
              <w:rPr>
                <w:rFonts w:ascii="Calibri" w:cs="Calibri" w:eastAsia="Calibri" w:hAnsi="Calibri"/>
                <w:color w:val="1B1F2A"/>
                <w:sz w:val="20"/>
                <w:szCs w:val="20"/>
              </w:rPr>
              <w:t xml:space="preserve">Discovery Galaxy (Feasibility Analysis agent panel) and Reports.</w:t>
            </w:r>
          </w:p>
        </w:tc>
      </w:tr>
    </w:tbl>
    <w:p>
      <w:pPr>
        <w:spacing w:after="3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shd w:fill="3E2E8C" w:val="clear"/>
          </w:tcPr>
          <w:p>
            <w:pPr>
              <w:spacing w:after="40" w:before="40"/>
            </w:pPr>
            <w:r>
              <w:rPr>
                <w:rFonts w:ascii="Calibri" w:cs="Calibri" w:eastAsia="Calibri" w:hAnsi="Calibri"/>
                <w:b/>
                <w:bCs/>
                <w:color w:val="FFFFFF"/>
                <w:sz w:val="24"/>
                <w:szCs w:val="24"/>
              </w:rPr>
              <w:t xml:space="preserve">risk_challenge</w:t>
            </w:r>
          </w:p>
        </w:tc>
      </w:tr>
    </w:tbl>
    <w:tbl>
      <w:tblPr>
        <w:tblW w:type="dxa" w:w="8500"/>
        <w:tblBorders>
          <w:top w:val="single" w:color="D8D5EE" w:sz="4"/>
          <w:left w:val="single" w:color="D8D5EE" w:sz="4"/>
          <w:bottom w:val="single" w:color="D8D5EE" w:sz="4"/>
          <w:right w:val="single" w:color="D8D5EE" w:sz="4"/>
          <w:insideH w:val="single" w:color="D8D5EE" w:sz="4"/>
          <w:insideV w:val="single" w:color="D8D5EE" w:sz="4"/>
        </w:tblBorders>
      </w:tblPr>
      <w:tblGrid>
        <w:gridCol w:w="1900"/>
        <w:gridCol w:w="6600"/>
      </w:tblGrid>
      <w:tr>
        <w:tc>
          <w:tcPr>
            <w:tcW w:type="dxa" w:w="1900"/>
            <w:shd w:fill="EDEAFB" w:val="clear"/>
          </w:tcPr>
          <w:p>
            <w:r>
              <w:rPr>
                <w:rFonts w:ascii="Calibri" w:cs="Calibri" w:eastAsia="Calibri" w:hAnsi="Calibri"/>
                <w:b/>
                <w:bCs/>
                <w:color w:val="1B1F2A"/>
                <w:sz w:val="20"/>
                <w:szCs w:val="20"/>
              </w:rPr>
              <w:t xml:space="preserve">Purpose</w:t>
            </w:r>
          </w:p>
        </w:tc>
        <w:tc>
          <w:tcPr>
            <w:tcW w:type="dxa" w:w="6600"/>
            <w:shd w:fill="FFFFFF" w:val="clear"/>
          </w:tcPr>
          <w:p>
            <w:pPr>
              <w:spacing w:after="0" w:line="270"/>
            </w:pPr>
            <w:r>
              <w:rPr>
                <w:rFonts w:ascii="Calibri" w:cs="Calibri" w:eastAsia="Calibri" w:hAnsi="Calibri"/>
                <w:color w:val="1B1F2A"/>
                <w:sz w:val="20"/>
                <w:szCs w:val="20"/>
              </w:rPr>
              <w:t xml:space="preserve">Stores the output of the Risk &amp; Challenge agent, which evaluates the market, technical, business, financial, legal, and operational risks associated with pursuing the idea.</w:t>
            </w:r>
          </w:p>
        </w:tc>
      </w:tr>
      <w:tr>
        <w:tc>
          <w:tcPr>
            <w:tcW w:type="dxa" w:w="1900"/>
            <w:shd w:fill="EDEAFB" w:val="clear"/>
          </w:tcPr>
          <w:p>
            <w:r>
              <w:rPr>
                <w:rFonts w:ascii="Calibri" w:cs="Calibri" w:eastAsia="Calibri" w:hAnsi="Calibri"/>
                <w:b/>
                <w:bCs/>
                <w:color w:val="1B1F2A"/>
                <w:sz w:val="20"/>
                <w:szCs w:val="20"/>
              </w:rPr>
              <w:t xml:space="preserve">Primary Key</w:t>
            </w:r>
          </w:p>
        </w:tc>
        <w:tc>
          <w:tcPr>
            <w:tcW w:type="dxa" w:w="6600"/>
            <w:shd w:fill="F5F3FC" w:val="clear"/>
          </w:tcPr>
          <w:p>
            <w:pPr>
              <w:spacing w:after="0" w:line="270"/>
            </w:pPr>
            <w:r>
              <w:rPr>
                <w:rFonts w:ascii="Calibri" w:cs="Calibri" w:eastAsia="Calibri" w:hAnsi="Calibri"/>
                <w:color w:val="1B1F2A"/>
                <w:sz w:val="20"/>
                <w:szCs w:val="20"/>
              </w:rPr>
              <w:t xml:space="preserve">id (UUID)</w:t>
            </w:r>
          </w:p>
        </w:tc>
      </w:tr>
      <w:tr>
        <w:tc>
          <w:tcPr>
            <w:tcW w:type="dxa" w:w="1900"/>
            <w:shd w:fill="EDEAFB" w:val="clear"/>
          </w:tcPr>
          <w:p>
            <w:r>
              <w:rPr>
                <w:rFonts w:ascii="Calibri" w:cs="Calibri" w:eastAsia="Calibri" w:hAnsi="Calibri"/>
                <w:b/>
                <w:bCs/>
                <w:color w:val="1B1F2A"/>
                <w:sz w:val="20"/>
                <w:szCs w:val="20"/>
              </w:rPr>
              <w:t xml:space="preserve">Foreign Key(s)</w:t>
            </w:r>
          </w:p>
        </w:tc>
        <w:tc>
          <w:tcPr>
            <w:tcW w:type="dxa" w:w="6600"/>
            <w:shd w:fill="FFFFFF" w:val="clear"/>
          </w:tcPr>
          <w:p>
            <w:pPr>
              <w:pStyle w:val="ListParagraph"/>
              <w:numPr>
                <w:ilvl w:val="0"/>
                <w:numId w:val="2"/>
              </w:numPr>
              <w:spacing w:after="0" w:line="260"/>
            </w:pPr>
            <w:r>
              <w:rPr>
                <w:rFonts w:ascii="Calibri" w:cs="Calibri" w:eastAsia="Calibri" w:hAnsi="Calibri"/>
                <w:b/>
                <w:bCs/>
                <w:color w:val="1B1F2A"/>
                <w:sz w:val="20"/>
                <w:szCs w:val="20"/>
              </w:rPr>
              <w:t xml:space="preserve">analysis_request_id: </w:t>
            </w:r>
            <w:r>
              <w:rPr>
                <w:rFonts w:ascii="Calibri" w:cs="Calibri" w:eastAsia="Calibri" w:hAnsi="Calibri"/>
                <w:color w:val="1B1F2A"/>
                <w:sz w:val="20"/>
                <w:szCs w:val="20"/>
              </w:rPr>
              <w:t xml:space="preserve">references new_analysis_data.id.</w:t>
            </w:r>
          </w:p>
        </w:tc>
      </w:tr>
      <w:tr>
        <w:tc>
          <w:tcPr>
            <w:tcW w:type="dxa" w:w="1900"/>
            <w:shd w:fill="EDEAFB" w:val="clear"/>
          </w:tcPr>
          <w:p>
            <w:r>
              <w:rPr>
                <w:rFonts w:ascii="Calibri" w:cs="Calibri" w:eastAsia="Calibri" w:hAnsi="Calibri"/>
                <w:b/>
                <w:bCs/>
                <w:color w:val="1B1F2A"/>
                <w:sz w:val="20"/>
                <w:szCs w:val="20"/>
              </w:rPr>
              <w:t xml:space="preserve">Relationship</w:t>
            </w:r>
          </w:p>
        </w:tc>
        <w:tc>
          <w:tcPr>
            <w:tcW w:type="dxa" w:w="6600"/>
            <w:shd w:fill="F5F3FC" w:val="clear"/>
          </w:tcPr>
          <w:p>
            <w:pPr>
              <w:spacing w:after="0" w:line="270"/>
            </w:pPr>
            <w:r>
              <w:rPr>
                <w:rFonts w:ascii="Calibri" w:cs="Calibri" w:eastAsia="Calibri" w:hAnsi="Calibri"/>
                <w:color w:val="1B1F2A"/>
                <w:sz w:val="20"/>
                <w:szCs w:val="20"/>
              </w:rPr>
              <w:t xml:space="preserve">One-to-Zero/One with new_analysis_data.</w:t>
            </w:r>
          </w:p>
        </w:tc>
      </w:tr>
      <w:tr>
        <w:tc>
          <w:tcPr>
            <w:tcW w:type="dxa" w:w="1900"/>
            <w:shd w:fill="EDEAFB" w:val="clear"/>
          </w:tcPr>
          <w:p>
            <w:r>
              <w:rPr>
                <w:rFonts w:ascii="Calibri" w:cs="Calibri" w:eastAsia="Calibri" w:hAnsi="Calibri"/>
                <w:b/>
                <w:bCs/>
                <w:color w:val="1B1F2A"/>
                <w:sz w:val="20"/>
                <w:szCs w:val="20"/>
              </w:rPr>
              <w:t xml:space="preserve">Key Attributes</w:t>
            </w:r>
          </w:p>
        </w:tc>
        <w:tc>
          <w:tcPr>
            <w:tcW w:type="dxa" w:w="6600"/>
            <w:shd w:fill="FFFFFF" w:val="clear"/>
          </w:tcPr>
          <w:p>
            <w:pPr>
              <w:pStyle w:val="ListParagraph"/>
              <w:numPr>
                <w:ilvl w:val="0"/>
                <w:numId w:val="2"/>
              </w:numPr>
              <w:spacing w:after="60" w:line="260"/>
            </w:pPr>
            <w:r>
              <w:rPr>
                <w:rFonts w:ascii="Calibri" w:cs="Calibri" w:eastAsia="Calibri" w:hAnsi="Calibri"/>
                <w:b/>
                <w:bCs/>
                <w:color w:val="1B1F2A"/>
                <w:sz w:val="20"/>
                <w:szCs w:val="20"/>
              </w:rPr>
              <w:t xml:space="preserve">Risk Categories: </w:t>
            </w:r>
            <w:r>
              <w:rPr>
                <w:rFonts w:ascii="Calibri" w:cs="Calibri" w:eastAsia="Calibri" w:hAnsi="Calibri"/>
                <w:color w:val="1B1F2A"/>
                <w:sz w:val="20"/>
                <w:szCs w:val="20"/>
              </w:rPr>
              <w:t xml:space="preserve">market_risks, technical_risks, business_risks, financial_risks, legal_and_regulatory_risks</w:t>
            </w:r>
          </w:p>
          <w:p>
            <w:pPr>
              <w:pStyle w:val="ListParagraph"/>
              <w:numPr>
                <w:ilvl w:val="0"/>
                <w:numId w:val="2"/>
              </w:numPr>
              <w:spacing w:after="60" w:line="260"/>
            </w:pPr>
            <w:r>
              <w:rPr>
                <w:rFonts w:ascii="Calibri" w:cs="Calibri" w:eastAsia="Calibri" w:hAnsi="Calibri"/>
                <w:b/>
                <w:bCs/>
                <w:color w:val="1B1F2A"/>
                <w:sz w:val="20"/>
                <w:szCs w:val="20"/>
              </w:rPr>
              <w:t xml:space="preserve">Operational Assessment: </w:t>
            </w:r>
            <w:r>
              <w:rPr>
                <w:rFonts w:ascii="Calibri" w:cs="Calibri" w:eastAsia="Calibri" w:hAnsi="Calibri"/>
                <w:color w:val="1B1F2A"/>
                <w:sz w:val="20"/>
                <w:szCs w:val="20"/>
              </w:rPr>
              <w:t xml:space="preserve">operational_challenges, risk_mitigation_strategies, overall_risk_level</w:t>
            </w:r>
          </w:p>
          <w:p>
            <w:pPr>
              <w:pStyle w:val="ListParagraph"/>
              <w:numPr>
                <w:ilvl w:val="0"/>
                <w:numId w:val="2"/>
              </w:numPr>
              <w:spacing w:after="0" w:line="260"/>
            </w:pPr>
            <w:r>
              <w:rPr>
                <w:rFonts w:ascii="Calibri" w:cs="Calibri" w:eastAsia="Calibri" w:hAnsi="Calibri"/>
                <w:b/>
                <w:bCs/>
                <w:color w:val="1B1F2A"/>
                <w:sz w:val="20"/>
                <w:szCs w:val="20"/>
              </w:rPr>
              <w:t xml:space="preserve">Processing Information: </w:t>
            </w:r>
            <w:r>
              <w:rPr>
                <w:rFonts w:ascii="Calibri" w:cs="Calibri" w:eastAsia="Calibri" w:hAnsi="Calibri"/>
                <w:color w:val="1B1F2A"/>
                <w:sz w:val="20"/>
                <w:szCs w:val="20"/>
              </w:rPr>
              <w:t xml:space="preserve">risk_summary, analysis_status, confidence_score</w:t>
            </w:r>
          </w:p>
        </w:tc>
      </w:tr>
      <w:tr>
        <w:tc>
          <w:tcPr>
            <w:tcW w:type="dxa" w:w="1900"/>
            <w:shd w:fill="EDEAFB" w:val="clear"/>
          </w:tcPr>
          <w:p>
            <w:r>
              <w:rPr>
                <w:rFonts w:ascii="Calibri" w:cs="Calibri" w:eastAsia="Calibri" w:hAnsi="Calibri"/>
                <w:b/>
                <w:bCs/>
                <w:color w:val="1B1F2A"/>
                <w:sz w:val="20"/>
                <w:szCs w:val="20"/>
              </w:rPr>
              <w:t xml:space="preserve">Used By</w:t>
            </w:r>
          </w:p>
        </w:tc>
        <w:tc>
          <w:tcPr>
            <w:tcW w:type="dxa" w:w="6600"/>
            <w:shd w:fill="F5F3FC" w:val="clear"/>
          </w:tcPr>
          <w:p>
            <w:pPr>
              <w:spacing w:after="0" w:line="270"/>
            </w:pPr>
            <w:r>
              <w:rPr>
                <w:rFonts w:ascii="Calibri" w:cs="Calibri" w:eastAsia="Calibri" w:hAnsi="Calibri"/>
                <w:color w:val="1B1F2A"/>
                <w:sz w:val="20"/>
                <w:szCs w:val="20"/>
              </w:rPr>
              <w:t xml:space="preserve">Discovery Galaxy (Risk &amp; Challenge agent panel) and Reports.</w:t>
            </w:r>
          </w:p>
        </w:tc>
      </w:tr>
    </w:tbl>
    <w:p>
      <w:pPr>
        <w:spacing w:after="3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shd w:fill="3E2E8C" w:val="clear"/>
          </w:tcPr>
          <w:p>
            <w:pPr>
              <w:spacing w:after="40" w:before="40"/>
            </w:pPr>
            <w:r>
              <w:rPr>
                <w:rFonts w:ascii="Calibri" w:cs="Calibri" w:eastAsia="Calibri" w:hAnsi="Calibri"/>
                <w:b/>
                <w:bCs/>
                <w:color w:val="FFFFFF"/>
                <w:sz w:val="24"/>
                <w:szCs w:val="24"/>
              </w:rPr>
              <w:t xml:space="preserve">recommendation_engine</w:t>
            </w:r>
          </w:p>
        </w:tc>
      </w:tr>
    </w:tbl>
    <w:tbl>
      <w:tblPr>
        <w:tblW w:type="dxa" w:w="8500"/>
        <w:tblBorders>
          <w:top w:val="single" w:color="D8D5EE" w:sz="4"/>
          <w:left w:val="single" w:color="D8D5EE" w:sz="4"/>
          <w:bottom w:val="single" w:color="D8D5EE" w:sz="4"/>
          <w:right w:val="single" w:color="D8D5EE" w:sz="4"/>
          <w:insideH w:val="single" w:color="D8D5EE" w:sz="4"/>
          <w:insideV w:val="single" w:color="D8D5EE" w:sz="4"/>
        </w:tblBorders>
      </w:tblPr>
      <w:tblGrid>
        <w:gridCol w:w="1900"/>
        <w:gridCol w:w="6600"/>
      </w:tblGrid>
      <w:tr>
        <w:tc>
          <w:tcPr>
            <w:tcW w:type="dxa" w:w="1900"/>
            <w:shd w:fill="EDEAFB" w:val="clear"/>
          </w:tcPr>
          <w:p>
            <w:r>
              <w:rPr>
                <w:rFonts w:ascii="Calibri" w:cs="Calibri" w:eastAsia="Calibri" w:hAnsi="Calibri"/>
                <w:b/>
                <w:bCs/>
                <w:color w:val="1B1F2A"/>
                <w:sz w:val="20"/>
                <w:szCs w:val="20"/>
              </w:rPr>
              <w:t xml:space="preserve">Purpose</w:t>
            </w:r>
          </w:p>
        </w:tc>
        <w:tc>
          <w:tcPr>
            <w:tcW w:type="dxa" w:w="6600"/>
            <w:shd w:fill="FFFFFF" w:val="clear"/>
          </w:tcPr>
          <w:p>
            <w:pPr>
              <w:spacing w:after="0" w:line="270"/>
            </w:pPr>
            <w:r>
              <w:rPr>
                <w:rFonts w:ascii="Calibri" w:cs="Calibri" w:eastAsia="Calibri" w:hAnsi="Calibri"/>
                <w:color w:val="1B1F2A"/>
                <w:sz w:val="20"/>
                <w:szCs w:val="20"/>
              </w:rPr>
              <w:t xml:space="preserve">Stores the output of the Recommendation Engine agent, which synthesizes the findings of the other agents into a final opportunity score and a set of actionable strategic recommendations.</w:t>
            </w:r>
          </w:p>
        </w:tc>
      </w:tr>
      <w:tr>
        <w:tc>
          <w:tcPr>
            <w:tcW w:type="dxa" w:w="1900"/>
            <w:shd w:fill="EDEAFB" w:val="clear"/>
          </w:tcPr>
          <w:p>
            <w:r>
              <w:rPr>
                <w:rFonts w:ascii="Calibri" w:cs="Calibri" w:eastAsia="Calibri" w:hAnsi="Calibri"/>
                <w:b/>
                <w:bCs/>
                <w:color w:val="1B1F2A"/>
                <w:sz w:val="20"/>
                <w:szCs w:val="20"/>
              </w:rPr>
              <w:t xml:space="preserve">Primary Key</w:t>
            </w:r>
          </w:p>
        </w:tc>
        <w:tc>
          <w:tcPr>
            <w:tcW w:type="dxa" w:w="6600"/>
            <w:shd w:fill="F5F3FC" w:val="clear"/>
          </w:tcPr>
          <w:p>
            <w:pPr>
              <w:spacing w:after="0" w:line="270"/>
            </w:pPr>
            <w:r>
              <w:rPr>
                <w:rFonts w:ascii="Calibri" w:cs="Calibri" w:eastAsia="Calibri" w:hAnsi="Calibri"/>
                <w:color w:val="1B1F2A"/>
                <w:sz w:val="20"/>
                <w:szCs w:val="20"/>
              </w:rPr>
              <w:t xml:space="preserve">id (UUID)</w:t>
            </w:r>
          </w:p>
        </w:tc>
      </w:tr>
      <w:tr>
        <w:tc>
          <w:tcPr>
            <w:tcW w:type="dxa" w:w="1900"/>
            <w:shd w:fill="EDEAFB" w:val="clear"/>
          </w:tcPr>
          <w:p>
            <w:r>
              <w:rPr>
                <w:rFonts w:ascii="Calibri" w:cs="Calibri" w:eastAsia="Calibri" w:hAnsi="Calibri"/>
                <w:b/>
                <w:bCs/>
                <w:color w:val="1B1F2A"/>
                <w:sz w:val="20"/>
                <w:szCs w:val="20"/>
              </w:rPr>
              <w:t xml:space="preserve">Foreign Key(s)</w:t>
            </w:r>
          </w:p>
        </w:tc>
        <w:tc>
          <w:tcPr>
            <w:tcW w:type="dxa" w:w="6600"/>
            <w:shd w:fill="FFFFFF" w:val="clear"/>
          </w:tcPr>
          <w:p>
            <w:pPr>
              <w:pStyle w:val="ListParagraph"/>
              <w:numPr>
                <w:ilvl w:val="0"/>
                <w:numId w:val="2"/>
              </w:numPr>
              <w:spacing w:after="0" w:line="260"/>
            </w:pPr>
            <w:r>
              <w:rPr>
                <w:rFonts w:ascii="Calibri" w:cs="Calibri" w:eastAsia="Calibri" w:hAnsi="Calibri"/>
                <w:b/>
                <w:bCs/>
                <w:color w:val="1B1F2A"/>
                <w:sz w:val="20"/>
                <w:szCs w:val="20"/>
              </w:rPr>
              <w:t xml:space="preserve">analysis_request_id: </w:t>
            </w:r>
            <w:r>
              <w:rPr>
                <w:rFonts w:ascii="Calibri" w:cs="Calibri" w:eastAsia="Calibri" w:hAnsi="Calibri"/>
                <w:color w:val="1B1F2A"/>
                <w:sz w:val="20"/>
                <w:szCs w:val="20"/>
              </w:rPr>
              <w:t xml:space="preserve">references new_analysis_data.id.</w:t>
            </w:r>
          </w:p>
        </w:tc>
      </w:tr>
      <w:tr>
        <w:tc>
          <w:tcPr>
            <w:tcW w:type="dxa" w:w="1900"/>
            <w:shd w:fill="EDEAFB" w:val="clear"/>
          </w:tcPr>
          <w:p>
            <w:r>
              <w:rPr>
                <w:rFonts w:ascii="Calibri" w:cs="Calibri" w:eastAsia="Calibri" w:hAnsi="Calibri"/>
                <w:b/>
                <w:bCs/>
                <w:color w:val="1B1F2A"/>
                <w:sz w:val="20"/>
                <w:szCs w:val="20"/>
              </w:rPr>
              <w:t xml:space="preserve">Relationship</w:t>
            </w:r>
          </w:p>
        </w:tc>
        <w:tc>
          <w:tcPr>
            <w:tcW w:type="dxa" w:w="6600"/>
            <w:shd w:fill="F5F3FC" w:val="clear"/>
          </w:tcPr>
          <w:p>
            <w:pPr>
              <w:spacing w:after="0" w:line="270"/>
            </w:pPr>
            <w:r>
              <w:rPr>
                <w:rFonts w:ascii="Calibri" w:cs="Calibri" w:eastAsia="Calibri" w:hAnsi="Calibri"/>
                <w:color w:val="1B1F2A"/>
                <w:sz w:val="20"/>
                <w:szCs w:val="20"/>
              </w:rPr>
              <w:t xml:space="preserve">One-to-Zero/One with new_analysis_data.</w:t>
            </w:r>
          </w:p>
        </w:tc>
      </w:tr>
      <w:tr>
        <w:tc>
          <w:tcPr>
            <w:tcW w:type="dxa" w:w="1900"/>
            <w:shd w:fill="EDEAFB" w:val="clear"/>
          </w:tcPr>
          <w:p>
            <w:r>
              <w:rPr>
                <w:rFonts w:ascii="Calibri" w:cs="Calibri" w:eastAsia="Calibri" w:hAnsi="Calibri"/>
                <w:b/>
                <w:bCs/>
                <w:color w:val="1B1F2A"/>
                <w:sz w:val="20"/>
                <w:szCs w:val="20"/>
              </w:rPr>
              <w:t xml:space="preserve">Key Attributes</w:t>
            </w:r>
          </w:p>
        </w:tc>
        <w:tc>
          <w:tcPr>
            <w:tcW w:type="dxa" w:w="6600"/>
            <w:shd w:fill="FFFFFF" w:val="clear"/>
          </w:tcPr>
          <w:p>
            <w:pPr>
              <w:pStyle w:val="ListParagraph"/>
              <w:numPr>
                <w:ilvl w:val="0"/>
                <w:numId w:val="2"/>
              </w:numPr>
              <w:spacing w:after="60" w:line="260"/>
            </w:pPr>
            <w:r>
              <w:rPr>
                <w:rFonts w:ascii="Calibri" w:cs="Calibri" w:eastAsia="Calibri" w:hAnsi="Calibri"/>
                <w:b/>
                <w:bCs/>
                <w:color w:val="1B1F2A"/>
                <w:sz w:val="20"/>
                <w:szCs w:val="20"/>
              </w:rPr>
              <w:t xml:space="preserve">Opportunity Scoring: </w:t>
            </w:r>
            <w:r>
              <w:rPr>
                <w:rFonts w:ascii="Calibri" w:cs="Calibri" w:eastAsia="Calibri" w:hAnsi="Calibri"/>
                <w:color w:val="1B1F2A"/>
                <w:sz w:val="20"/>
                <w:szCs w:val="20"/>
              </w:rPr>
              <w:t xml:space="preserve">overall_opportunity_score</w:t>
            </w:r>
          </w:p>
          <w:p>
            <w:pPr>
              <w:pStyle w:val="ListParagraph"/>
              <w:numPr>
                <w:ilvl w:val="0"/>
                <w:numId w:val="2"/>
              </w:numPr>
              <w:spacing w:after="60" w:line="260"/>
            </w:pPr>
            <w:r>
              <w:rPr>
                <w:rFonts w:ascii="Calibri" w:cs="Calibri" w:eastAsia="Calibri" w:hAnsi="Calibri"/>
                <w:b/>
                <w:bCs/>
                <w:color w:val="1B1F2A"/>
                <w:sz w:val="20"/>
                <w:szCs w:val="20"/>
              </w:rPr>
              <w:t xml:space="preserve">Strategic Guidance: </w:t>
            </w:r>
            <w:r>
              <w:rPr>
                <w:rFonts w:ascii="Calibri" w:cs="Calibri" w:eastAsia="Calibri" w:hAnsi="Calibri"/>
                <w:color w:val="1B1F2A"/>
                <w:sz w:val="20"/>
                <w:szCs w:val="20"/>
              </w:rPr>
              <w:t xml:space="preserve">priority_recommendations, recommended_next_steps, product_improvements, business_strategy, go_to_market_strategy</w:t>
            </w:r>
          </w:p>
          <w:p>
            <w:pPr>
              <w:pStyle w:val="ListParagraph"/>
              <w:numPr>
                <w:ilvl w:val="0"/>
                <w:numId w:val="2"/>
              </w:numPr>
              <w:spacing w:after="0" w:line="260"/>
            </w:pPr>
            <w:r>
              <w:rPr>
                <w:rFonts w:ascii="Calibri" w:cs="Calibri" w:eastAsia="Calibri" w:hAnsi="Calibri"/>
                <w:b/>
                <w:bCs/>
                <w:color w:val="1B1F2A"/>
                <w:sz w:val="20"/>
                <w:szCs w:val="20"/>
              </w:rPr>
              <w:t xml:space="preserve">Processing Information: </w:t>
            </w:r>
            <w:r>
              <w:rPr>
                <w:rFonts w:ascii="Calibri" w:cs="Calibri" w:eastAsia="Calibri" w:hAnsi="Calibri"/>
                <w:color w:val="1B1F2A"/>
                <w:sz w:val="20"/>
                <w:szCs w:val="20"/>
              </w:rPr>
              <w:t xml:space="preserve">recommendation_summary, analysis_status, confidence_score</w:t>
            </w:r>
          </w:p>
        </w:tc>
      </w:tr>
      <w:tr>
        <w:tc>
          <w:tcPr>
            <w:tcW w:type="dxa" w:w="1900"/>
            <w:shd w:fill="EDEAFB" w:val="clear"/>
          </w:tcPr>
          <w:p>
            <w:r>
              <w:rPr>
                <w:rFonts w:ascii="Calibri" w:cs="Calibri" w:eastAsia="Calibri" w:hAnsi="Calibri"/>
                <w:b/>
                <w:bCs/>
                <w:color w:val="1B1F2A"/>
                <w:sz w:val="20"/>
                <w:szCs w:val="20"/>
              </w:rPr>
              <w:t xml:space="preserve">Used By</w:t>
            </w:r>
          </w:p>
        </w:tc>
        <w:tc>
          <w:tcPr>
            <w:tcW w:type="dxa" w:w="6600"/>
            <w:shd w:fill="F5F3FC" w:val="clear"/>
          </w:tcPr>
          <w:p>
            <w:pPr>
              <w:spacing w:after="0" w:line="270"/>
            </w:pPr>
            <w:r>
              <w:rPr>
                <w:rFonts w:ascii="Calibri" w:cs="Calibri" w:eastAsia="Calibri" w:hAnsi="Calibri"/>
                <w:color w:val="1B1F2A"/>
                <w:sz w:val="20"/>
                <w:szCs w:val="20"/>
              </w:rPr>
              <w:t xml:space="preserve">Discovery Galaxy (Recommendation Engine agent panel), Dashboard (Ready/Avoid recommendation cards), and Reports.</w:t>
            </w:r>
          </w:p>
        </w:tc>
      </w:tr>
    </w:tbl>
    <w:p>
      <w:pPr>
        <w:spacing w:after="300"/>
      </w:pPr>
    </w:p>
    <w:p>
      <w:pPr>
        <w:pStyle w:val="Heading1"/>
        <w:pBdr>
          <w:bottom w:val="single" w:color="6C4FE0" w:sz="8" w:space="6"/>
        </w:pBdr>
        <w:spacing w:after="200" w:before="440"/>
      </w:pPr>
      <w:r>
        <w:rPr>
          <w:rFonts w:ascii="Calibri" w:cs="Calibri" w:eastAsia="Calibri" w:hAnsi="Calibri"/>
          <w:b/>
          <w:bCs/>
          <w:color w:val="3E2E8C"/>
          <w:sz w:val="30"/>
          <w:szCs w:val="30"/>
        </w:rPr>
        <w:t xml:space="preserve">5. Database Workflow</w:t>
      </w:r>
    </w:p>
    <w:p>
      <w:pPr>
        <w:spacing w:after="150" w:line="300"/>
        <w:jc w:val="both"/>
      </w:pPr>
      <w:r>
        <w:rPr>
          <w:rFonts w:ascii="Calibri" w:cs="Calibri" w:eastAsia="Calibri" w:hAnsi="Calibri"/>
          <w:color w:val="1B1F2A"/>
          <w:sz w:val="21"/>
          <w:szCs w:val="21"/>
        </w:rPr>
        <w:t xml:space="preserve">The database workflow is represented below as a use-case diagram, showing how the two primary actors in the system — the User and the AI Analysis Engine — interact with the platform's core data-driven processes, from idea submission through to consolidated reporting.</w:t>
      </w:r>
    </w:p>
    <w:p>
      <w:pPr>
        <w:spacing w:after="0" w:before="200"/>
        <w:jc w:val="center"/>
      </w:pPr>
      <w:r>
        <w:drawing>
          <wp:inline distT="0" distB="0" distL="0" distR="0">
            <wp:extent cx="4381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790700"/>
                    </a:xfrm>
                    <a:prstGeom prst="rect">
                      <a:avLst/>
                    </a:prstGeom>
                  </pic:spPr>
                </pic:pic>
              </a:graphicData>
            </a:graphic>
          </wp:inline>
        </w:drawing>
      </w:r>
    </w:p>
    <w:p>
      <w:pPr>
        <w:spacing w:after="320" w:before="120"/>
        <w:jc w:val="center"/>
      </w:pPr>
      <w:r>
        <w:rPr>
          <w:rFonts w:ascii="Calibri" w:cs="Calibri" w:eastAsia="Calibri" w:hAnsi="Calibri"/>
          <w:i/>
          <w:iCs/>
          <w:color w:val="5B6472"/>
          <w:sz w:val="19"/>
          <w:szCs w:val="19"/>
        </w:rPr>
        <w:t xml:space="preserve">Figure 2. Use-Case Diagram – AI Idea Forge Database Workflow</w:t>
      </w:r>
    </w:p>
    <w:p>
      <w:pPr>
        <w:spacing w:after="90" w:before="220"/>
      </w:pPr>
      <w:r>
        <w:rPr>
          <w:rFonts w:ascii="Calibri" w:cs="Calibri" w:eastAsia="Calibri" w:hAnsi="Calibri"/>
          <w:b/>
          <w:bCs/>
          <w:color w:val="3E2E8C"/>
          <w:sz w:val="21"/>
          <w:szCs w:val="21"/>
        </w:rPr>
        <w:t xml:space="preserve">Actors</w:t>
      </w:r>
    </w:p>
    <w:p>
      <w:pPr>
        <w:pStyle w:val="ListParagraph"/>
        <w:numPr>
          <w:ilvl w:val="0"/>
          <w:numId w:val="2"/>
        </w:numPr>
        <w:spacing w:after="80" w:line="270"/>
      </w:pPr>
      <w:r>
        <w:rPr>
          <w:rFonts w:ascii="Calibri" w:cs="Calibri" w:eastAsia="Calibri" w:hAnsi="Calibri"/>
          <w:b/>
          <w:bCs/>
          <w:color w:val="1B1F2A"/>
          <w:sz w:val="20"/>
          <w:szCs w:val="20"/>
        </w:rPr>
        <w:t xml:space="preserve">User:</w:t>
      </w:r>
      <w:r>
        <w:rPr>
          <w:rFonts w:ascii="Calibri" w:cs="Calibri" w:eastAsia="Calibri" w:hAnsi="Calibri"/>
          <w:color w:val="1B1F2A"/>
          <w:sz w:val="20"/>
          <w:szCs w:val="20"/>
        </w:rPr>
        <w:t xml:space="preserve"> submits new ideas, and views the resulting analysis through the Discovery Galaxy, Dashboard, and downloadable reports.</w:t>
      </w:r>
    </w:p>
    <w:p>
      <w:pPr>
        <w:pStyle w:val="ListParagraph"/>
        <w:numPr>
          <w:ilvl w:val="0"/>
          <w:numId w:val="2"/>
        </w:numPr>
        <w:spacing w:after="80" w:line="270"/>
      </w:pPr>
      <w:r>
        <w:rPr>
          <w:rFonts w:ascii="Calibri" w:cs="Calibri" w:eastAsia="Calibri" w:hAnsi="Calibri"/>
          <w:b/>
          <w:bCs/>
          <w:color w:val="1B1F2A"/>
          <w:sz w:val="20"/>
          <w:szCs w:val="20"/>
        </w:rPr>
        <w:t xml:space="preserve">AI Analysis Engine:</w:t>
      </w:r>
      <w:r>
        <w:rPr>
          <w:rFonts w:ascii="Calibri" w:cs="Calibri" w:eastAsia="Calibri" w:hAnsi="Calibri"/>
          <w:color w:val="1B1F2A"/>
          <w:sz w:val="20"/>
          <w:szCs w:val="20"/>
        </w:rPr>
        <w:t xml:space="preserve"> the backend AI process that generates the consolidated master record and runs the six specialist analysis agents on the user's behalf.</w:t>
      </w:r>
    </w:p>
    <w:p>
      <w:pPr>
        <w:spacing w:after="90" w:before="220"/>
      </w:pPr>
      <w:r>
        <w:rPr>
          <w:rFonts w:ascii="Calibri" w:cs="Calibri" w:eastAsia="Calibri" w:hAnsi="Calibri"/>
          <w:b/>
          <w:bCs/>
          <w:color w:val="3E2E8C"/>
          <w:sz w:val="21"/>
          <w:szCs w:val="21"/>
        </w:rPr>
        <w:t xml:space="preserve">Use Case Flow</w:t>
      </w:r>
    </w:p>
    <w:p>
      <w:pPr>
        <w:pStyle w:val="ListParagraph"/>
        <w:numPr>
          <w:ilvl w:val="0"/>
          <w:numId w:val="2"/>
        </w:numPr>
        <w:spacing w:after="80" w:line="270"/>
      </w:pPr>
      <w:r>
        <w:rPr>
          <w:rFonts w:ascii="Calibri" w:cs="Calibri" w:eastAsia="Calibri" w:hAnsi="Calibri"/>
          <w:b/>
          <w:bCs/>
          <w:color w:val="1B1F2A"/>
          <w:sz w:val="20"/>
          <w:szCs w:val="20"/>
        </w:rPr>
        <w:t xml:space="preserve">Store Idea:</w:t>
      </w:r>
      <w:r>
        <w:rPr>
          <w:rFonts w:ascii="Calibri" w:cs="Calibri" w:eastAsia="Calibri" w:hAnsi="Calibri"/>
          <w:color w:val="1B1F2A"/>
          <w:sz w:val="20"/>
          <w:szCs w:val="20"/>
        </w:rPr>
        <w:t xml:space="preserve"> The user's submission is stored as a new row in new_analysis_data — modeled as an included step of Submit Startup Idea.</w:t>
      </w:r>
    </w:p>
    <w:p>
      <w:pPr>
        <w:pStyle w:val="ListParagraph"/>
        <w:numPr>
          <w:ilvl w:val="0"/>
          <w:numId w:val="2"/>
        </w:numPr>
        <w:spacing w:after="80" w:line="270"/>
      </w:pPr>
      <w:r>
        <w:rPr>
          <w:rFonts w:ascii="Calibri" w:cs="Calibri" w:eastAsia="Calibri" w:hAnsi="Calibri"/>
          <w:b/>
          <w:bCs/>
          <w:color w:val="1B1F2A"/>
          <w:sz w:val="20"/>
          <w:szCs w:val="20"/>
        </w:rPr>
        <w:t xml:space="preserve">Generate AI Master Record:</w:t>
      </w:r>
      <w:r>
        <w:rPr>
          <w:rFonts w:ascii="Calibri" w:cs="Calibri" w:eastAsia="Calibri" w:hAnsi="Calibri"/>
          <w:color w:val="1B1F2A"/>
          <w:sz w:val="20"/>
          <w:szCs w:val="20"/>
        </w:rPr>
        <w:t xml:space="preserve"> Once stored, the AI Analysis Engine generates the consolidated ai_analysis_data record from the raw submission.</w:t>
      </w:r>
    </w:p>
    <w:p>
      <w:pPr>
        <w:pStyle w:val="ListParagraph"/>
        <w:numPr>
          <w:ilvl w:val="0"/>
          <w:numId w:val="2"/>
        </w:numPr>
        <w:spacing w:after="80" w:line="270"/>
      </w:pPr>
      <w:r>
        <w:rPr>
          <w:rFonts w:ascii="Calibri" w:cs="Calibri" w:eastAsia="Calibri" w:hAnsi="Calibri"/>
          <w:b/>
          <w:bCs/>
          <w:color w:val="1B1F2A"/>
          <w:sz w:val="20"/>
          <w:szCs w:val="20"/>
        </w:rPr>
        <w:t xml:space="preserve">Run Specialist Analysis Agents:</w:t>
      </w:r>
      <w:r>
        <w:rPr>
          <w:rFonts w:ascii="Calibri" w:cs="Calibri" w:eastAsia="Calibri" w:hAnsi="Calibri"/>
          <w:color w:val="1B1F2A"/>
          <w:sz w:val="20"/>
          <w:szCs w:val="20"/>
        </w:rPr>
        <w:t xml:space="preserve"> The AI Analysis Engine then runs all six specialist agents (Market Research, Competitor Analysis, Gap Analysis, Feasibility Analysis, Risk &amp; Challenge, and Recommendation Engine), each writing its findings back to its own dedicated table.</w:t>
      </w:r>
    </w:p>
    <w:p>
      <w:pPr>
        <w:pStyle w:val="ListParagraph"/>
        <w:numPr>
          <w:ilvl w:val="0"/>
          <w:numId w:val="2"/>
        </w:numPr>
        <w:spacing w:after="80" w:line="270"/>
      </w:pPr>
      <w:r>
        <w:rPr>
          <w:rFonts w:ascii="Calibri" w:cs="Calibri" w:eastAsia="Calibri" w:hAnsi="Calibri"/>
          <w:b/>
          <w:bCs/>
          <w:color w:val="1B1F2A"/>
          <w:sz w:val="20"/>
          <w:szCs w:val="20"/>
        </w:rPr>
        <w:t xml:space="preserve">Downstream Use Cases:</w:t>
      </w:r>
      <w:r>
        <w:rPr>
          <w:rFonts w:ascii="Calibri" w:cs="Calibri" w:eastAsia="Calibri" w:hAnsi="Calibri"/>
          <w:color w:val="1B1F2A"/>
          <w:sz w:val="20"/>
          <w:szCs w:val="20"/>
        </w:rPr>
        <w:t xml:space="preserve"> Viewing the Discovery Galaxy and downloading a report both include the specialist agent results, since both use cases read directly from the six analysis tables.</w:t>
      </w:r>
    </w:p>
    <w:p>
      <w:pPr>
        <w:pStyle w:val="Heading1"/>
        <w:pBdr>
          <w:bottom w:val="single" w:color="6C4FE0" w:sz="8" w:space="6"/>
        </w:pBdr>
        <w:spacing w:after="200" w:before="440"/>
      </w:pPr>
      <w:r>
        <w:rPr>
          <w:rFonts w:ascii="Calibri" w:cs="Calibri" w:eastAsia="Calibri" w:hAnsi="Calibri"/>
          <w:b/>
          <w:bCs/>
          <w:color w:val="3E2E8C"/>
          <w:sz w:val="30"/>
          <w:szCs w:val="30"/>
        </w:rPr>
        <w:t xml:space="preserve">6. Database Design Considerations</w:t>
      </w:r>
    </w:p>
    <w:p>
      <w:pPr>
        <w:spacing w:after="150" w:line="300"/>
        <w:jc w:val="both"/>
      </w:pPr>
      <w:r>
        <w:rPr>
          <w:rFonts w:ascii="Calibri" w:cs="Calibri" w:eastAsia="Calibri" w:hAnsi="Calibri"/>
          <w:color w:val="1B1F2A"/>
          <w:sz w:val="21"/>
          <w:szCs w:val="21"/>
        </w:rPr>
        <w:t xml:space="preserve">The schema reflects a set of deliberate architectural choices intended to support a multi-agent AI system that will continue to grow in complexity over time.</w:t>
      </w:r>
    </w:p>
    <w:p>
      <w:pPr>
        <w:spacing w:after="90" w:before="220"/>
      </w:pPr>
      <w:r>
        <w:rPr>
          <w:rFonts w:ascii="Calibri" w:cs="Calibri" w:eastAsia="Calibri" w:hAnsi="Calibri"/>
          <w:b/>
          <w:bCs/>
          <w:color w:val="3E2E8C"/>
          <w:sz w:val="21"/>
          <w:szCs w:val="21"/>
        </w:rPr>
        <w:t xml:space="preserve">Normalized, Modular Analysis Design</w:t>
      </w:r>
    </w:p>
    <w:p>
      <w:pPr>
        <w:spacing w:after="150" w:line="300"/>
        <w:jc w:val="both"/>
      </w:pPr>
      <w:r>
        <w:rPr>
          <w:rFonts w:ascii="Calibri" w:cs="Calibri" w:eastAsia="Calibri" w:hAnsi="Calibri"/>
          <w:color w:val="1B1F2A"/>
          <w:sz w:val="21"/>
          <w:szCs w:val="21"/>
        </w:rPr>
        <w:t xml:space="preserve">Rather than storing every agent's output in a single wide table, each specialist agent is given its own dedicated table. This modular separation keeps each agent's data model independent, so the schema for one agent (for example, Feasibility Analysis) can evolve without affecting the schema of another (for example, Risk &amp; Challenge).</w:t>
      </w:r>
    </w:p>
    <w:p>
      <w:pPr>
        <w:spacing w:after="90" w:before="220"/>
      </w:pPr>
      <w:r>
        <w:rPr>
          <w:rFonts w:ascii="Calibri" w:cs="Calibri" w:eastAsia="Calibri" w:hAnsi="Calibri"/>
          <w:b/>
          <w:bCs/>
          <w:color w:val="3E2E8C"/>
          <w:sz w:val="21"/>
          <w:szCs w:val="21"/>
        </w:rPr>
        <w:t xml:space="preserve">Separation of Concerns</w:t>
      </w:r>
    </w:p>
    <w:p>
      <w:pPr>
        <w:spacing w:after="150" w:line="300"/>
        <w:jc w:val="both"/>
      </w:pPr>
      <w:r>
        <w:rPr>
          <w:rFonts w:ascii="Calibri" w:cs="Calibri" w:eastAsia="Calibri" w:hAnsi="Calibri"/>
          <w:color w:val="1B1F2A"/>
          <w:sz w:val="21"/>
          <w:szCs w:val="21"/>
        </w:rPr>
        <w:t xml:space="preserve">The raw idea submission (new_analysis_data), the AI-consolidated identity of the idea (ai_analysis_data), and the specialist analyses are all kept in distinct tables. This separation means each table has a single, well-defined responsibility, which simplifies both querying and long-term maintenance.</w:t>
      </w:r>
    </w:p>
    <w:p>
      <w:pPr>
        <w:spacing w:after="90" w:before="220"/>
      </w:pPr>
      <w:r>
        <w:rPr>
          <w:rFonts w:ascii="Calibri" w:cs="Calibri" w:eastAsia="Calibri" w:hAnsi="Calibri"/>
          <w:b/>
          <w:bCs/>
          <w:color w:val="3E2E8C"/>
          <w:sz w:val="21"/>
          <w:szCs w:val="21"/>
        </w:rPr>
        <w:t xml:space="preserve">Reduced Redundancy and Data Integrity</w:t>
      </w:r>
    </w:p>
    <w:p>
      <w:pPr>
        <w:spacing w:after="150" w:line="300"/>
        <w:jc w:val="both"/>
      </w:pPr>
      <w:r>
        <w:rPr>
          <w:rFonts w:ascii="Calibri" w:cs="Calibri" w:eastAsia="Calibri" w:hAnsi="Calibri"/>
          <w:color w:val="1B1F2A"/>
          <w:sz w:val="21"/>
          <w:szCs w:val="21"/>
        </w:rPr>
        <w:t xml:space="preserve">By having every specialist table reference the same originating new_analysis_data.id, the platform avoids duplicating idea-level information (such as the submission text) across seven different tables. Each agent table is only responsible for storing the output specific to its own analysis.</w:t>
      </w:r>
    </w:p>
    <w:p>
      <w:pPr>
        <w:spacing w:after="90" w:before="220"/>
      </w:pPr>
      <w:r>
        <w:rPr>
          <w:rFonts w:ascii="Calibri" w:cs="Calibri" w:eastAsia="Calibri" w:hAnsi="Calibri"/>
          <w:b/>
          <w:bCs/>
          <w:color w:val="3E2E8C"/>
          <w:sz w:val="21"/>
          <w:szCs w:val="21"/>
        </w:rPr>
        <w:t xml:space="preserve">Scalability and Extensibility</w:t>
      </w:r>
    </w:p>
    <w:p>
      <w:pPr>
        <w:spacing w:after="150" w:line="300"/>
        <w:jc w:val="both"/>
      </w:pPr>
      <w:r>
        <w:rPr>
          <w:rFonts w:ascii="Calibri" w:cs="Calibri" w:eastAsia="Calibri" w:hAnsi="Calibri"/>
          <w:color w:val="1B1F2A"/>
          <w:sz w:val="21"/>
          <w:szCs w:val="21"/>
        </w:rPr>
        <w:t xml:space="preserve">Because each AI agent is backed by its own table with a consistent analysis_request_id foreign key pattern, adding a future AI agent to the platform is a matter of introducing a new table that follows the same convention, without requiring any structural change to new_analysis_data or the existing agent tables.</w:t>
      </w:r>
    </w:p>
    <w:p>
      <w:pPr>
        <w:spacing w:after="90" w:before="220"/>
      </w:pPr>
      <w:r>
        <w:rPr>
          <w:rFonts w:ascii="Calibri" w:cs="Calibri" w:eastAsia="Calibri" w:hAnsi="Calibri"/>
          <w:b/>
          <w:bCs/>
          <w:color w:val="3E2E8C"/>
          <w:sz w:val="21"/>
          <w:szCs w:val="21"/>
        </w:rPr>
        <w:t xml:space="preserve">Query Performance</w:t>
      </w:r>
    </w:p>
    <w:p>
      <w:pPr>
        <w:spacing w:after="150" w:line="300"/>
        <w:jc w:val="both"/>
      </w:pPr>
      <w:r>
        <w:rPr>
          <w:rFonts w:ascii="Calibri" w:cs="Calibri" w:eastAsia="Calibri" w:hAnsi="Calibri"/>
          <w:color w:val="1B1F2A"/>
          <w:sz w:val="21"/>
          <w:szCs w:val="21"/>
        </w:rPr>
        <w:t xml:space="preserve">Isolating each agent's output into its own table keeps individual tables narrow and query patterns predictable — the Discovery Galaxy interface, for example, can query a single specialist table for its corresponding panel rather than filtering a single large, heavily overloaded table.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681e1c134711b6ba2e24eb752f28dd16cbf916.png"/><Relationship Id="rId8" Type="http://schemas.openxmlformats.org/officeDocument/2006/relationships/image" Target="media/3b6d49155f006dda32a2715370d948b430b6bb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2026-08-01T12:17:29.586Z</dcterms:created>
  <dcterms:modified xsi:type="dcterms:W3CDTF">2026-08-01T12:17:29.586Z</dcterms:modified>
</cp:coreProperties>
</file>

<file path=docProps/custom.xml><?xml version="1.0" encoding="utf-8"?>
<Properties xmlns="http://schemas.openxmlformats.org/officeDocument/2006/custom-properties" xmlns:vt="http://schemas.openxmlformats.org/officeDocument/2006/docPropsVTypes"/>
</file>