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922f86e5a272480c" /></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Pr>
        <w:pStyle w:val="Title"/>
      </w:pPr>
      <w:r>
        <w:t>无人机态势判读算法</w:t>
      </w:r>
    </w:p>
    <w:p w14:paraId="00100002" w14:textId="00100003">
      <w:pPr>
        <w:pStyle w:val="Subtitle"/>
      </w:pPr>
      <w:r>
        <w:t>原理方法与阶段验证说明</w:t>
      </w:r>
    </w:p>
    <w:p w14:paraId="00100004" w14:textId="00100005">
      <w:pPr>
        <w:widowControl/>
        <w:spacing w:line="276" w:lineRule="auto"/>
      </w:pPr>
      <w:r>
        <w:rPr>
          <w:b w:val="0"/>
          <w:sz w:val="18"/>
        </w:rPr>
        <w:t>项目算法阶段评审  技术图解更新至2026年10月25日</w:t>
      </w:r>
    </w:p>
    <w:p w14:paraId="00100006" w14:textId="00100007">
      <w:pPr>
        <w:pStyle w:val="Heading2"/>
      </w:pPr>
      <w:r>
        <w:t>摘要</w:t>
      </w:r>
    </w:p>
    <w:p w14:paraId="00100008" w14:textId="00100009">
      <w:pPr>
        <w:widowControl/>
      </w:pPr>
      <w:r>
        <w:rPr>
          <w:b w:val="0"/>
        </w:rPr>
        <w:t>本项目面向低空无人机观测轨迹，融合身份与飞行计划、设施与空域信息，形成集群划分、队形识别、行为与意图判读、威胁分级和基础防御辅助评估的服务链路。当前实现以可靠度感知 DBSCAN、PointNet 点集分类、确定性意图规则和十维威胁评分为核心，分别输出单机和集群结论，并保留触发成员、空间关系与判定证据。</w:t>
      </w:r>
    </w:p>
    <w:p w14:paraId="0010000A" w14:textId="0010000B">
      <w:pPr>
        <w:widowControl/>
      </w:pPr>
      <w:r>
        <w:rPr>
          <w:b w:val="0"/>
        </w:rPr>
        <w:t>目前已接入19项首版意图规则，具备请求内时间一致性判断、统一空间上下文、配置化轨迹处理及日志回放能力。已有103项定向回归全部通过；固定13目标请求100次测量中位45.33 ms、P95为48.43 ms。新增24组多无人机仿真、576次计时均成功：100目标每架120输入点时，路由P95约466至580 ms。</w:t>
      </w:r>
    </w:p>
    <w:p w14:paraId="0010000C" w14:textId="0010000D">
      <w:pPr>
        <w:widowControl/>
      </w:pPr>
      <w:r>
        <w:rPr>
          <w:b w:val="0"/>
        </w:rPr>
        <w:t>这些结果支持当前基线的功能一致性和指定负载下的计算可行性。真实场景中的意图精确率、误报率、威胁标定及部署并发性能仍需独立标注数据和现场条件验证。当前模型输出、规则置信度和资源成功率估计均不作为已校准的真实概率。</w:t>
      </w:r>
    </w:p>
    <w:tbl>
      <w:tblPr>
        <w:tblW w:w="0" w:type="auto"/>
        <w:jc w:val="center"/>
        <w:tblLayout w:type="fixed"/>
        <w:tblLook w:val="04A0" w:firstRow="1" w:lastRow="0" w:firstColumn="1" w:lastColumn="0" w:noHBand="0" w:noVBand="1"/>
      </w:tblPr>
      <w:tblGrid>
        <w:gridCol w:w="1872"/>
        <w:gridCol w:w="8064"/>
      </w:tblGrid>
      <w:tr>
        <w:trPr>
          <w:tblHeader/>
          <w:cantSplit/>
        </w:trPr>
        <w:tc>
          <w:tcPr>
            <w:tcW w:w="187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00E" w14:textId="0010000F">
            <w:pPr>
              <w:spacing w:after="0" w:line="269" w:lineRule="auto"/>
            </w:pPr>
            <w:r>
              <w:rPr>
                <w:b/>
                <w:color w:val="000000"/>
                <w:sz w:val="20"/>
              </w:rPr>
              <w:t>项目</w:t>
            </w:r>
          </w:p>
        </w:tc>
        <w:tc>
          <w:tcPr>
            <w:tcW w:w="806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010" w14:textId="00100011">
            <w:pPr>
              <w:spacing w:after="0" w:line="269" w:lineRule="auto"/>
            </w:pPr>
            <w:r>
              <w:rPr>
                <w:b/>
                <w:color w:val="000000"/>
                <w:sz w:val="20"/>
              </w:rPr>
              <w:t>本次基线</w:t>
            </w:r>
          </w:p>
        </w:tc>
      </w:tr>
      <w:tr>
        <w:trPr>
          <w:cantSplit/>
        </w:trPr>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12" w14:textId="00100013">
            <w:pPr>
              <w:spacing w:after="0" w:line="269" w:lineRule="auto"/>
            </w:pPr>
            <w:r>
              <w:rPr>
                <w:b w:val="0"/>
                <w:color w:val="000000"/>
                <w:sz w:val="20"/>
              </w:rPr>
              <w:t>公共契约与规则</w:t>
            </w:r>
          </w:p>
        </w:tc>
        <w:tc>
          <w:tcPr>
            <w:tcW w:w="80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14" w14:textId="00100015">
            <w:pPr>
              <w:spacing w:after="0" w:line="269" w:lineRule="auto"/>
            </w:pPr>
            <w:r>
              <w:rPr>
                <w:b w:val="0"/>
                <w:color w:val="000000"/>
                <w:sz w:val="20"/>
              </w:rPr>
              <w:t>v3.2 / OpenAPI 3.2.2 / situation-rule-v2.3.0</w:t>
            </w:r>
          </w:p>
        </w:tc>
      </w:tr>
      <w:tr>
        <w:trPr>
          <w:cantSplit/>
        </w:trPr>
        <w:tc>
          <w:tcPr>
            <w:tcW w:w="18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16" w14:textId="00100017">
            <w:pPr>
              <w:spacing w:after="0" w:line="269" w:lineRule="auto"/>
            </w:pPr>
            <w:r>
              <w:rPr>
                <w:b w:val="0"/>
                <w:color w:val="000000"/>
                <w:sz w:val="20"/>
              </w:rPr>
              <w:t>代码版本</w:t>
            </w:r>
          </w:p>
        </w:tc>
        <w:tc>
          <w:tcPr>
            <w:tcW w:w="80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18" w14:textId="00100019">
            <w:pPr>
              <w:spacing w:after="0" w:line="269" w:lineRule="auto"/>
            </w:pPr>
            <w:r>
              <w:rPr>
                <w:b w:val="0"/>
                <w:color w:val="000000"/>
                <w:sz w:val="20"/>
              </w:rPr>
              <w:t>主仓库 6cd79ef；latest 子仓库 4598011；含本地工作树内容</w:t>
            </w:r>
          </w:p>
        </w:tc>
      </w:tr>
      <w:tr>
        <w:trPr>
          <w:cantSplit/>
        </w:trPr>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1A" w14:textId="0010001B">
            <w:pPr>
              <w:spacing w:after="0" w:line="269" w:lineRule="auto"/>
            </w:pPr>
            <w:r>
              <w:rPr>
                <w:b w:val="0"/>
                <w:color w:val="000000"/>
                <w:sz w:val="20"/>
              </w:rPr>
              <w:t>验证时间</w:t>
            </w:r>
          </w:p>
        </w:tc>
        <w:tc>
          <w:tcPr>
            <w:tcW w:w="80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1C" w14:textId="0010001D">
            <w:pPr>
              <w:spacing w:after="0" w:line="269" w:lineRule="auto"/>
            </w:pPr>
            <w:r>
              <w:rPr>
                <w:b w:val="0"/>
                <w:color w:val="000000"/>
                <w:sz w:val="20"/>
              </w:rPr>
              <w:t>原基线：10月22日21:32至21:33 PDT；仿真：10月23日09:05至09:11 PDT</w:t>
            </w:r>
          </w:p>
        </w:tc>
      </w:tr>
      <w:tr>
        <w:trPr>
          <w:cantSplit/>
        </w:trPr>
        <w:tc>
          <w:tcPr>
            <w:tcW w:w="18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1E" w14:textId="0010001F">
            <w:pPr>
              <w:spacing w:after="0" w:line="269" w:lineRule="auto"/>
            </w:pPr>
            <w:r>
              <w:rPr>
                <w:b w:val="0"/>
                <w:color w:val="000000"/>
                <w:sz w:val="20"/>
              </w:rPr>
              <w:t>文档目的</w:t>
            </w:r>
          </w:p>
        </w:tc>
        <w:tc>
          <w:tcPr>
            <w:tcW w:w="80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20" w14:textId="00100021">
            <w:pPr>
              <w:spacing w:after="0" w:line="269" w:lineRule="auto"/>
            </w:pPr>
            <w:r>
              <w:rPr>
                <w:b w:val="0"/>
                <w:color w:val="000000"/>
                <w:sz w:val="20"/>
              </w:rPr>
              <w:t>说明算法原理、实现方法、可行性及本次可复现测试结果</w:t>
            </w:r>
          </w:p>
        </w:tc>
      </w:tr>
    </w:tbl>
    <w:p w14:paraId="00100022" w14:textId="00100023">
      <w:pPr>
        <w:spacing w:after="40"/>
      </w:pPr>
    </w:p>
    <w:p w14:paraId="00100024" w14:textId="00100025">
      <w:pPr>
        <w:widowControl/>
        <w:spacing w:line="276" w:lineRule="auto"/>
      </w:pPr>
      <w:r>
        <w:rPr>
          <w:b w:val="0"/>
          <w:sz w:val="18"/>
        </w:rPr>
        <w:t>阅读建议：第1至3章为目标与链路，第4至13章为方法，第14至19章为验证；新增第18.1至18.13节详述性能优化方法、全部规模结果与一致性。第20至22章为边界、复现和来源。</w:t>
      </w:r>
      <w:r>
        <w:t xml:space="preserve"> 本次新增第23章技术图解与实现复核，补齐身份关联、DBSCAN、PointNet、空间上下文和辅助评估。PPT引用已同步39页流程学术版，图示保留完整方法解释；本轮12项定向回归不与历史103项相加。</w:t>
      </w:r>
    </w:p>
    <w:p w14:paraId="00100026" w14:textId="00100027">
      <w:r>
        <w:br w:type="page"/>
      </w:r>
    </w:p>
    <w:p w14:paraId="00100028" w14:textId="00100029">
      <w:pPr>
        <w:pStyle w:val="Heading1"/>
      </w:pPr>
      <w:r>
        <w:t>1 项目目标与当前进展</w:t>
      </w:r>
    </w:p>
    <w:p w14:paraId="0010002A" w14:textId="0010002B">
      <w:pPr>
        <w:widowControl/>
      </w:pPr>
      <w:r>
        <w:rPr>
          <w:b w:val="0"/>
        </w:rPr>
        <w:t>业务系统需要从目标位置进一步判断哪些无人机属于同一群体、群体呈现什么几何组织、活动与设施有什么关系，以及当前是否需要提升关注等级。算法的作用是将已有观测转化为可解释的态势信息，并为后续业务处理提供依据。</w:t>
      </w:r>
    </w:p>
    <w:p w14:paraId="0010002C" w14:textId="0010002D">
      <w:pPr>
        <w:widowControl/>
      </w:pPr>
      <w:r>
        <w:rPr>
          <w:b w:val="0"/>
        </w:rPr>
        <w:t>分析从上游已提供的轨迹开始。本项目当前不直接处理雷达回波、视频检测或原始射频信号，也不承担这些传感器之间的底层航迹关联。身份源归一化是业务关联过程，其输入质量仍影响最终判断。</w:t>
      </w:r>
    </w:p>
    <w:tbl>
      <w:tblPr>
        <w:tblW w:w="0" w:type="auto"/>
        <w:jc w:val="center"/>
        <w:tblLayout w:type="fixed"/>
        <w:tblLook w:val="04A0" w:firstRow="1" w:lastRow="0" w:firstColumn="1" w:lastColumn="0" w:noHBand="0" w:noVBand="1"/>
      </w:tblPr>
      <w:tblGrid>
        <w:gridCol w:w="1584"/>
        <w:gridCol w:w="3744"/>
        <w:gridCol w:w="4608"/>
      </w:tblGrid>
      <w:tr>
        <w:trPr>
          <w:tblHeader/>
          <w:cantSplit/>
        </w:trPr>
        <w:tc>
          <w:tcPr>
            <w:tcW w:w="158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02E" w14:textId="0010002F">
            <w:pPr>
              <w:spacing w:after="0" w:line="269" w:lineRule="auto"/>
              <w:jc w:val="center"/>
            </w:pPr>
            <w:r>
              <w:rPr>
                <w:b/>
                <w:color w:val="000000"/>
                <w:sz w:val="20"/>
              </w:rPr>
              <w:t>能力</w:t>
            </w:r>
          </w:p>
        </w:tc>
        <w:tc>
          <w:tcPr>
            <w:tcW w:w="374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030" w14:textId="00100031">
            <w:pPr>
              <w:spacing w:after="0" w:line="269" w:lineRule="auto"/>
            </w:pPr>
            <w:r>
              <w:rPr>
                <w:b/>
                <w:color w:val="000000"/>
                <w:sz w:val="20"/>
              </w:rPr>
              <w:t>当前完成情况</w:t>
            </w:r>
          </w:p>
        </w:tc>
        <w:tc>
          <w:tcPr>
            <w:tcW w:w="460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032" w14:textId="00100033">
            <w:pPr>
              <w:spacing w:after="0" w:line="269" w:lineRule="auto"/>
            </w:pPr>
            <w:r>
              <w:rPr>
                <w:b/>
                <w:color w:val="000000"/>
                <w:sz w:val="20"/>
              </w:rPr>
              <w:t>需要保留的边界</w:t>
            </w:r>
          </w:p>
        </w:tc>
      </w:tr>
      <w:tr>
        <w:trPr>
          <w:cantSplit/>
        </w:trPr>
        <w:tc>
          <w:tcPr>
            <w:tcW w:w="158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34" w14:textId="00100035">
            <w:pPr>
              <w:spacing w:after="0" w:line="269" w:lineRule="auto"/>
              <w:jc w:val="center"/>
            </w:pPr>
            <w:r>
              <w:rPr>
                <w:b w:val="0"/>
                <w:color w:val="000000"/>
                <w:sz w:val="20"/>
              </w:rPr>
              <w:t>数据与空间</w:t>
            </w:r>
          </w:p>
        </w:tc>
        <w:tc>
          <w:tcPr>
            <w:tcW w:w="37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36" w14:textId="00100037">
            <w:pPr>
              <w:spacing w:after="0" w:line="269" w:lineRule="auto"/>
            </w:pPr>
            <w:r>
              <w:rPr>
                <w:b w:val="0"/>
                <w:color w:val="000000"/>
                <w:sz w:val="20"/>
              </w:rPr>
              <w:t>四类源 DTO 关联、轨迹处理、统一空间分析</w:t>
            </w:r>
          </w:p>
        </w:tc>
        <w:tc>
          <w:tcPr>
            <w:tcW w:w="460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38" w14:textId="00100039">
            <w:pPr>
              <w:spacing w:after="0" w:line="269" w:lineRule="auto"/>
            </w:pPr>
            <w:r>
              <w:rPr>
                <w:b w:val="0"/>
                <w:color w:val="000000"/>
                <w:sz w:val="20"/>
              </w:rPr>
              <w:t>依赖轨迹、身份、地图及高度参考质量</w:t>
            </w:r>
          </w:p>
        </w:tc>
      </w:tr>
      <w:tr>
        <w:trPr>
          <w:cantSplit/>
        </w:trPr>
        <w:tc>
          <w:tcPr>
            <w:tcW w:w="158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3A" w14:textId="0010003B">
            <w:pPr>
              <w:spacing w:after="0" w:line="269" w:lineRule="auto"/>
              <w:jc w:val="center"/>
            </w:pPr>
            <w:r>
              <w:rPr>
                <w:b w:val="0"/>
                <w:color w:val="000000"/>
                <w:sz w:val="20"/>
              </w:rPr>
              <w:t>群体感知</w:t>
            </w:r>
          </w:p>
        </w:tc>
        <w:tc>
          <w:tcPr>
            <w:tcW w:w="374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3C" w14:textId="0010003D">
            <w:pPr>
              <w:spacing w:after="0" w:line="269" w:lineRule="auto"/>
            </w:pPr>
            <w:r>
              <w:rPr>
                <w:b w:val="0"/>
                <w:color w:val="000000"/>
                <w:sz w:val="20"/>
              </w:rPr>
              <w:t>DBSCAN 分组、PointNet 五类队形</w:t>
            </w:r>
          </w:p>
        </w:tc>
        <w:tc>
          <w:tcPr>
            <w:tcW w:w="460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3E" w14:textId="0010003F">
            <w:pPr>
              <w:spacing w:after="0" w:line="269" w:lineRule="auto"/>
            </w:pPr>
            <w:r>
              <w:rPr>
                <w:b w:val="0"/>
                <w:color w:val="000000"/>
                <w:sz w:val="20"/>
              </w:rPr>
              <w:t>无跨请求持续群体身份；双机不做五类分类</w:t>
            </w:r>
          </w:p>
        </w:tc>
      </w:tr>
      <w:tr>
        <w:trPr>
          <w:cantSplit/>
        </w:trPr>
        <w:tc>
          <w:tcPr>
            <w:tcW w:w="158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40" w14:textId="00100041">
            <w:pPr>
              <w:spacing w:after="0" w:line="269" w:lineRule="auto"/>
              <w:jc w:val="center"/>
            </w:pPr>
            <w:r>
              <w:rPr>
                <w:b w:val="0"/>
                <w:color w:val="000000"/>
                <w:sz w:val="20"/>
              </w:rPr>
              <w:t>意图与威胁</w:t>
            </w:r>
          </w:p>
        </w:tc>
        <w:tc>
          <w:tcPr>
            <w:tcW w:w="37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42" w14:textId="00100043">
            <w:pPr>
              <w:spacing w:after="0" w:line="269" w:lineRule="auto"/>
            </w:pPr>
            <w:r>
              <w:rPr>
                <w:b w:val="0"/>
                <w:color w:val="000000"/>
                <w:sz w:val="20"/>
              </w:rPr>
              <w:t>19 项候选规则；单机与集群独立评分</w:t>
            </w:r>
          </w:p>
        </w:tc>
        <w:tc>
          <w:tcPr>
            <w:tcW w:w="460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44" w14:textId="00100045">
            <w:pPr>
              <w:spacing w:after="0" w:line="269" w:lineRule="auto"/>
            </w:pPr>
            <w:r>
              <w:rPr>
                <w:b w:val="0"/>
                <w:color w:val="000000"/>
                <w:sz w:val="20"/>
              </w:rPr>
              <w:t>规则 confidence 不是校准概率</w:t>
            </w:r>
          </w:p>
        </w:tc>
      </w:tr>
      <w:tr>
        <w:trPr>
          <w:cantSplit/>
        </w:trPr>
        <w:tc>
          <w:tcPr>
            <w:tcW w:w="158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46" w14:textId="00100047">
            <w:pPr>
              <w:spacing w:after="0" w:line="269" w:lineRule="auto"/>
              <w:jc w:val="center"/>
            </w:pPr>
            <w:r>
              <w:rPr>
                <w:b w:val="0"/>
                <w:color w:val="000000"/>
                <w:sz w:val="20"/>
              </w:rPr>
              <w:t>辅助评估</w:t>
            </w:r>
          </w:p>
        </w:tc>
        <w:tc>
          <w:tcPr>
            <w:tcW w:w="374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48" w14:textId="00100049">
            <w:pPr>
              <w:spacing w:after="0" w:line="269" w:lineRule="auto"/>
            </w:pPr>
            <w:r>
              <w:rPr>
                <w:b w:val="0"/>
                <w:color w:val="000000"/>
                <w:sz w:val="20"/>
              </w:rPr>
              <w:t>基础 ETA、点位覆盖、请求内资源分配</w:t>
            </w:r>
          </w:p>
        </w:tc>
        <w:tc>
          <w:tcPr>
            <w:tcW w:w="460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4A" w14:textId="0010004B">
            <w:pPr>
              <w:spacing w:after="0" w:line="269" w:lineRule="auto"/>
            </w:pPr>
            <w:r>
              <w:rPr>
                <w:b w:val="0"/>
                <w:color w:val="000000"/>
                <w:sz w:val="20"/>
              </w:rPr>
              <w:t>未形成完整预测服务或全局最优调度</w:t>
            </w:r>
          </w:p>
        </w:tc>
      </w:tr>
      <w:tr>
        <w:trPr>
          <w:cantSplit/>
        </w:trPr>
        <w:tc>
          <w:tcPr>
            <w:tcW w:w="158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4C" w14:textId="0010004D">
            <w:pPr>
              <w:spacing w:after="0" w:line="269" w:lineRule="auto"/>
              <w:jc w:val="center"/>
            </w:pPr>
            <w:r>
              <w:rPr>
                <w:b w:val="0"/>
                <w:color w:val="000000"/>
                <w:sz w:val="20"/>
              </w:rPr>
              <w:t>工程与验证</w:t>
            </w:r>
          </w:p>
        </w:tc>
        <w:tc>
          <w:tcPr>
            <w:tcW w:w="37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4E" w14:textId="0010004F">
            <w:pPr>
              <w:spacing w:after="0" w:line="269" w:lineRule="auto"/>
            </w:pPr>
            <w:r>
              <w:rPr>
                <w:b w:val="0"/>
                <w:color w:val="000000"/>
                <w:sz w:val="20"/>
              </w:rPr>
              <w:t>接口、容器配置、日志转换与回放</w:t>
            </w:r>
          </w:p>
        </w:tc>
        <w:tc>
          <w:tcPr>
            <w:tcW w:w="460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50" w14:textId="00100051">
            <w:pPr>
              <w:spacing w:after="0" w:line="269" w:lineRule="auto"/>
            </w:pPr>
            <w:r>
              <w:rPr>
                <w:b w:val="0"/>
                <w:color w:val="000000"/>
                <w:sz w:val="20"/>
              </w:rPr>
              <w:t>本次未重新部署或执行全量验收</w:t>
            </w:r>
          </w:p>
        </w:tc>
      </w:tr>
    </w:tbl>
    <w:p w14:paraId="00100052" w14:textId="00100053">
      <w:pPr>
        <w:spacing w:after="40"/>
      </w:pPr>
    </w:p>
    <w:p w14:paraId="00100054" w14:textId="00100055">
      <w:pPr>
        <w:pStyle w:val="Heading2"/>
      </w:pPr>
      <w:r>
        <w:t>阶段目标</w:t>
      </w:r>
    </w:p>
    <w:p w14:paraId="00100056" w14:textId="00100057">
      <w:pPr>
        <w:widowControl/>
      </w:pPr>
      <w:r>
        <w:rPr>
          <w:b w:val="0"/>
        </w:rPr>
        <w:t>本阶段形成可运行、可追溯的算法基线。评审重点是计算链路是否合理、实际行为是否与定义一致、异常和缺失输入是否得到明确处理，以及测试结果能支持什么结论。</w:t>
      </w:r>
    </w:p>
    <w:p w14:paraId="00100058" w14:textId="00100059">
      <w:pPr>
        <w:pStyle w:val="Heading2"/>
      </w:pPr>
      <w:r>
        <w:t>研究与工程的关系</w:t>
      </w:r>
    </w:p>
    <w:p w14:paraId="0010005A" w14:textId="0010005B">
      <w:pPr>
        <w:widowControl/>
      </w:pPr>
      <w:r>
        <w:rPr>
          <w:b w:val="0"/>
        </w:rPr>
        <w:t>原 agents02 和纯 Python 仿真负责生成任务轨迹与场景；latest 工程负责根据观测执行判读；Origin 保存历史算法与训练参考；设施趋向与抵达预测包属于后续设计。仿真中已知的任务语义可帮助构造测试，但不能直接替代独立真实意图标签。</w:t>
      </w:r>
    </w:p>
    <w:p w14:paraId="0010005C" w14:textId="0010005D">
      <w:pPr>
        <w:widowControl/>
        <w:spacing w:line="276" w:lineRule="auto"/>
      </w:pPr>
      <w:r>
        <w:rPr>
          <w:b w:val="0"/>
          <w:sz w:val="18"/>
        </w:rPr>
        <w:t>实现与证据  project_reference 第1章、第2.1节；README；latest README。[S01][S02]</w:t>
      </w:r>
    </w:p>
    <w:p w14:paraId="0010005E" w14:textId="0010005F">
      <w:r>
        <w:br w:type="page"/>
      </w:r>
    </w:p>
    <w:p w14:paraId="00100060" w14:textId="00100061">
      <w:pPr>
        <w:pStyle w:val="Heading1"/>
      </w:pPr>
      <w:r>
        <w:t>2 总体技术路线与执行链路</w:t>
      </w:r>
    </w:p>
    <w:p w14:paraId="00100062" w14:textId="00100063">
      <w:pPr>
        <w:widowControl/>
      </w:pPr>
      <w:r>
        <w:rPr>
          <w:b w:val="0"/>
        </w:rPr>
        <w:t>正式请求先经过网关形成统一内部数据，再由 SituationEngine 执行轨迹、空间、豁免、群体和风险分析。空间关系在前段统一计算，因此意图、威胁和 ETA 能使用一致的设施依据。</w:t>
      </w:r>
    </w:p>
    <w:p w14:paraId="00100064" w14:textId="00100065">
      <w:pPr>
        <w:keepNext/>
        <w:jc w:val="center"/>
      </w:pPr>
      <w:r>
        <w:drawing>
          <wp:inline xmlns:a="http://schemas.openxmlformats.org/drawingml/2006/main" xmlns:pic="http://schemas.openxmlformats.org/drawingml/2006/picture">
            <wp:extent cx="6080760" cy="2398522"/>
            <wp:docPr id="1" name="Picture 1" descr="图1 当前算法服务主链路"/>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6080760" cy="2398522"/>
                    </a:xfrm>
                    <a:prstGeom prst="rect"/>
                  </pic:spPr>
                </pic:pic>
              </a:graphicData>
            </a:graphic>
          </wp:inline>
        </w:drawing>
      </w:r>
    </w:p>
    <w:p w14:paraId="00100066" w14:textId="00100067">
      <w:pPr>
        <w:pStyle w:val="Caption"/>
        <w:keepNext w:val="0"/>
        <w:jc w:val="center"/>
      </w:pPr>
      <w:r>
        <w:t>图1 当前算法服务主链路</w:t>
      </w:r>
    </w:p>
    <w:p w14:paraId="00100068" w14:textId="00100069">
      <w:pPr>
        <w:pStyle w:val="Heading2"/>
      </w:pPr>
      <w:r>
        <w:t>实际调用顺序</w:t>
      </w:r>
    </w:p>
    <w:p w14:paraId="0010006A" w14:textId="0010006B">
      <w:pPr>
        <w:widowControl/>
      </w:pPr>
      <w:r>
        <w:rPr>
          <w:b w:val="0"/>
        </w:rPr>
        <w:t>入口 main_situation_judgment_service.py 注册服务；POST /api/v1/situation/analyze 调用 normalize_v32_request()，再进入 SituationEngine.analyze()，最后由网关装饰公共响应。路径中的 v1 为既有 URL，公共数据契约为 v3.2。</w:t>
      </w:r>
    </w:p>
    <w:p w14:paraId="0010006C" w14:textId="0010006D">
      <w:pPr>
        <w:widowControl/>
      </w:pPr>
      <w:r>
        <w:rPr>
          <w:b w:val="0"/>
        </w:rPr>
        <w:t>引擎解析轨迹并生成 SpatialContext；随后执行人工成员排除和白名单、计划豁免。非豁免无人机的短窗口交给适配器，依次执行 DBSCAN、群内时间对齐、PointNet、行为特征与 ETA。引擎据此计算集群及成员意图、威胁，应用支持的人工修正，再生成防御评估、事件建议和公共 DTO。</w:t>
      </w:r>
    </w:p>
    <w:p w14:paraId="0010006E" w14:textId="0010006F">
      <w:pPr>
        <w:pStyle w:val="Heading2"/>
      </w:pPr>
      <w:r>
        <w:t>状态范围</w:t>
      </w:r>
    </w:p>
    <w:p w14:paraId="00100070" w14:textId="00100071">
      <w:pPr>
        <w:widowControl/>
      </w:pPr>
      <w:r>
        <w:rPr>
          <w:b w:val="0"/>
        </w:rPr>
        <w:t>每次请求自带所需轨迹历史。模型缓存、地图快照及有界幂等缓存用于服务运行，不是跨请求运动记忆。clusterId 由成员集合生成，同一集合具有相同标识不意味着完成持续群体跟踪。防御资源余量只在本次请求内递减。</w:t>
      </w:r>
    </w:p>
    <w:p w14:paraId="00100072" w14:textId="00100073">
      <w:pPr>
        <w:widowControl/>
        <w:spacing w:line="276" w:lineRule="auto"/>
      </w:pPr>
      <w:r>
        <w:rPr>
          <w:b w:val="0"/>
          <w:sz w:val="18"/>
        </w:rPr>
        <w:t>实现与证据  service.py；engine.py analyze；legacy_adapter.py analyze。project_reference 第2.2至2.4节。[S03][S04]</w:t>
      </w:r>
    </w:p>
    <w:p w14:paraId="00100074" w14:textId="00100075">
      <w:r>
        <w:br w:type="page"/>
      </w:r>
    </w:p>
    <w:p w14:paraId="00100076" w14:textId="00100077">
      <w:pPr>
        <w:pStyle w:val="Heading1"/>
      </w:pPr>
      <w:r>
        <w:t>3 数据约定与轨迹预处理</w:t>
      </w:r>
    </w:p>
    <w:tbl>
      <w:tblPr>
        <w:tblW w:w="0" w:type="auto"/>
        <w:jc w:val="center"/>
        <w:tblLayout w:type="fixed"/>
        <w:tblLook w:val="04A0" w:firstRow="1" w:lastRow="0" w:firstColumn="1" w:lastColumn="0" w:noHBand="0" w:noVBand="1"/>
      </w:tblPr>
      <w:tblGrid>
        <w:gridCol w:w="1584"/>
        <w:gridCol w:w="4608"/>
        <w:gridCol w:w="3744"/>
      </w:tblGrid>
      <w:tr>
        <w:trPr>
          <w:tblHeader/>
          <w:cantSplit/>
        </w:trPr>
        <w:tc>
          <w:tcPr>
            <w:tcW w:w="158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078" w14:textId="00100079">
            <w:pPr>
              <w:spacing w:after="0" w:line="269" w:lineRule="auto"/>
              <w:jc w:val="center"/>
            </w:pPr>
            <w:r>
              <w:rPr>
                <w:b/>
                <w:color w:val="000000"/>
                <w:sz w:val="20"/>
              </w:rPr>
              <w:t>输入组</w:t>
            </w:r>
          </w:p>
        </w:tc>
        <w:tc>
          <w:tcPr>
            <w:tcW w:w="460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07A" w14:textId="0010007B">
            <w:pPr>
              <w:spacing w:after="0" w:line="269" w:lineRule="auto"/>
            </w:pPr>
            <w:r>
              <w:rPr>
                <w:b/>
                <w:color w:val="000000"/>
                <w:sz w:val="20"/>
              </w:rPr>
              <w:t>主要内容</w:t>
            </w:r>
          </w:p>
        </w:tc>
        <w:tc>
          <w:tcPr>
            <w:tcW w:w="374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07C" w14:textId="0010007D">
            <w:pPr>
              <w:spacing w:after="0" w:line="269" w:lineRule="auto"/>
            </w:pPr>
            <w:r>
              <w:rPr>
                <w:b/>
                <w:color w:val="000000"/>
                <w:sz w:val="20"/>
              </w:rPr>
              <w:t>参与的判断</w:t>
            </w:r>
          </w:p>
        </w:tc>
      </w:tr>
      <w:tr>
        <w:trPr>
          <w:cantSplit/>
        </w:trPr>
        <w:tc>
          <w:tcPr>
            <w:tcW w:w="158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7E" w14:textId="0010007F">
            <w:pPr>
              <w:spacing w:after="0" w:line="269" w:lineRule="auto"/>
              <w:jc w:val="center"/>
            </w:pPr>
            <w:r>
              <w:rPr>
                <w:b w:val="0"/>
                <w:color w:val="000000"/>
                <w:sz w:val="20"/>
              </w:rPr>
              <w:t>观测</w:t>
            </w:r>
          </w:p>
        </w:tc>
        <w:tc>
          <w:tcPr>
            <w:tcW w:w="460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80" w14:textId="00100081">
            <w:pPr>
              <w:spacing w:after="0" w:line="269" w:lineRule="auto"/>
            </w:pPr>
            <w:r>
              <w:rPr>
                <w:b w:val="0"/>
                <w:color w:val="000000"/>
                <w:sz w:val="20"/>
              </w:rPr>
              <w:t>经纬度、毫秒时间戳、高度、轨迹质量</w:t>
            </w:r>
          </w:p>
        </w:tc>
        <w:tc>
          <w:tcPr>
            <w:tcW w:w="37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82" w14:textId="00100083">
            <w:pPr>
              <w:spacing w:after="0" w:line="269" w:lineRule="auto"/>
            </w:pPr>
            <w:r>
              <w:rPr>
                <w:b w:val="0"/>
                <w:color w:val="000000"/>
                <w:sz w:val="20"/>
              </w:rPr>
              <w:t>运动、分组、队形、时间特征</w:t>
            </w:r>
          </w:p>
        </w:tc>
      </w:tr>
      <w:tr>
        <w:trPr>
          <w:cantSplit/>
        </w:trPr>
        <w:tc>
          <w:tcPr>
            <w:tcW w:w="158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84" w14:textId="00100085">
            <w:pPr>
              <w:spacing w:after="0" w:line="269" w:lineRule="auto"/>
              <w:jc w:val="center"/>
            </w:pPr>
            <w:r>
              <w:rPr>
                <w:b w:val="0"/>
                <w:color w:val="000000"/>
                <w:sz w:val="20"/>
              </w:rPr>
              <w:t>身份与计划</w:t>
            </w:r>
          </w:p>
        </w:tc>
        <w:tc>
          <w:tcPr>
            <w:tcW w:w="460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86" w14:textId="00100087">
            <w:pPr>
              <w:spacing w:after="0" w:line="269" w:lineRule="auto"/>
            </w:pPr>
            <w:r>
              <w:rPr>
                <w:b w:val="0"/>
                <w:color w:val="000000"/>
                <w:sz w:val="20"/>
              </w:rPr>
              <w:t>realPersons、dronesBySerialNos、droneWhitelistDtos、flightPlansBySn</w:t>
            </w:r>
          </w:p>
        </w:tc>
        <w:tc>
          <w:tcPr>
            <w:tcW w:w="374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88" w14:textId="00100089">
            <w:pPr>
              <w:spacing w:after="0" w:line="269" w:lineRule="auto"/>
            </w:pPr>
            <w:r>
              <w:rPr>
                <w:b w:val="0"/>
                <w:color w:val="000000"/>
                <w:sz w:val="20"/>
              </w:rPr>
              <w:t>登记、飞手、白名单和飞行计划</w:t>
            </w:r>
          </w:p>
        </w:tc>
      </w:tr>
      <w:tr>
        <w:trPr>
          <w:cantSplit/>
        </w:trPr>
        <w:tc>
          <w:tcPr>
            <w:tcW w:w="158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8A" w14:textId="0010008B">
            <w:pPr>
              <w:spacing w:after="0" w:line="269" w:lineRule="auto"/>
              <w:jc w:val="center"/>
            </w:pPr>
            <w:r>
              <w:rPr>
                <w:b w:val="0"/>
                <w:color w:val="000000"/>
                <w:sz w:val="20"/>
              </w:rPr>
              <w:t>地图</w:t>
            </w:r>
          </w:p>
        </w:tc>
        <w:tc>
          <w:tcPr>
            <w:tcW w:w="460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8C" w14:textId="0010008D">
            <w:pPr>
              <w:spacing w:after="0" w:line="269" w:lineRule="auto"/>
            </w:pPr>
            <w:r>
              <w:rPr>
                <w:b w:val="0"/>
                <w:color w:val="000000"/>
                <w:sz w:val="20"/>
              </w:rPr>
              <w:t>设施、圈层、禁飞区及业务区域</w:t>
            </w:r>
          </w:p>
        </w:tc>
        <w:tc>
          <w:tcPr>
            <w:tcW w:w="37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8E" w14:textId="0010008F">
            <w:pPr>
              <w:spacing w:after="0" w:line="269" w:lineRule="auto"/>
            </w:pPr>
            <w:r>
              <w:rPr>
                <w:b w:val="0"/>
                <w:color w:val="000000"/>
                <w:sz w:val="20"/>
              </w:rPr>
              <w:t>空间关系、设施关联、风险范围</w:t>
            </w:r>
          </w:p>
        </w:tc>
      </w:tr>
      <w:tr>
        <w:trPr>
          <w:cantSplit/>
        </w:trPr>
        <w:tc>
          <w:tcPr>
            <w:tcW w:w="158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90" w14:textId="00100091">
            <w:pPr>
              <w:spacing w:after="0" w:line="269" w:lineRule="auto"/>
              <w:jc w:val="center"/>
            </w:pPr>
            <w:r>
              <w:rPr>
                <w:b w:val="0"/>
                <w:color w:val="000000"/>
                <w:sz w:val="20"/>
              </w:rPr>
              <w:t>资源</w:t>
            </w:r>
          </w:p>
        </w:tc>
        <w:tc>
          <w:tcPr>
            <w:tcW w:w="460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92" w14:textId="00100093">
            <w:pPr>
              <w:spacing w:after="0" w:line="269" w:lineRule="auto"/>
            </w:pPr>
            <w:r>
              <w:rPr>
                <w:b w:val="0"/>
                <w:color w:val="000000"/>
                <w:sz w:val="20"/>
              </w:rPr>
              <w:t>探测设备与防御资源参数</w:t>
            </w:r>
          </w:p>
        </w:tc>
        <w:tc>
          <w:tcPr>
            <w:tcW w:w="374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94" w14:textId="00100095">
            <w:pPr>
              <w:spacing w:after="0" w:line="269" w:lineRule="auto"/>
            </w:pPr>
            <w:r>
              <w:rPr>
                <w:b w:val="0"/>
                <w:color w:val="000000"/>
                <w:sz w:val="20"/>
              </w:rPr>
              <w:t>覆盖、响应和数量约束</w:t>
            </w:r>
          </w:p>
        </w:tc>
      </w:tr>
      <w:tr>
        <w:trPr>
          <w:cantSplit/>
        </w:trPr>
        <w:tc>
          <w:tcPr>
            <w:tcW w:w="158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96" w14:textId="00100097">
            <w:pPr>
              <w:spacing w:after="0" w:line="269" w:lineRule="auto"/>
              <w:jc w:val="center"/>
            </w:pPr>
            <w:r>
              <w:rPr>
                <w:b w:val="0"/>
                <w:color w:val="000000"/>
                <w:sz w:val="20"/>
              </w:rPr>
              <w:t>控制</w:t>
            </w:r>
          </w:p>
        </w:tc>
        <w:tc>
          <w:tcPr>
            <w:tcW w:w="460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98" w14:textId="00100099">
            <w:pPr>
              <w:spacing w:after="0" w:line="269" w:lineRule="auto"/>
            </w:pPr>
            <w:r>
              <w:rPr>
                <w:b w:val="0"/>
                <w:color w:val="000000"/>
                <w:sz w:val="20"/>
              </w:rPr>
              <w:t>options、corrections、ruleConfig</w:t>
            </w:r>
          </w:p>
        </w:tc>
        <w:tc>
          <w:tcPr>
            <w:tcW w:w="37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9A" w14:textId="0010009B">
            <w:pPr>
              <w:spacing w:after="0" w:line="269" w:lineRule="auto"/>
            </w:pPr>
            <w:r>
              <w:rPr>
                <w:b w:val="0"/>
                <w:color w:val="000000"/>
                <w:sz w:val="20"/>
              </w:rPr>
              <w:t>输出选择、人工修正、允许配置项</w:t>
            </w:r>
          </w:p>
        </w:tc>
      </w:tr>
    </w:tbl>
    <w:p w14:paraId="0010009C" w14:textId="0010009D">
      <w:pPr>
        <w:spacing w:after="40"/>
      </w:pPr>
    </w:p>
    <w:p w14:paraId="0010009E" w14:textId="0010009F">
      <w:pPr>
        <w:widowControl/>
      </w:pPr>
      <w:r>
        <w:rPr>
          <w:b w:val="0"/>
        </w:rPr>
        <w:t>关联主轴为 targetId 到 serialNo，再关联设备、飞手、白名单和计划。公共请求不得直接写入内部 whitelist 与 flightPlans 字段，网关负责生成规范化对象，减少调用方对内部结构的依赖。</w:t>
      </w:r>
    </w:p>
    <w:p w14:paraId="001000A0" w14:textId="001000A1">
      <w:pPr>
        <w:pStyle w:val="Heading2"/>
      </w:pPr>
      <w:r>
        <w:t>时间与高度</w:t>
      </w:r>
    </w:p>
    <w:p w14:paraId="001000A2" w14:textId="001000A3">
      <w:pPr>
        <w:widowControl/>
      </w:pPr>
      <w:r>
        <w:rPr>
          <w:b w:val="0"/>
        </w:rPr>
        <w:t>轨迹时间戳使用 Unix 毫秒；旧算法适配器转换为秒。聚类和队形使用转换后的 UTM 平面坐标，部分引擎几何直接计算球面距离。高度参考区分 AGL、AMSL 与 UNKNOWN；地面高程不足时，不能将海拔直接当作离地高度参与规则。夜间规则采用 UTC+08:00 业务时区。</w:t>
      </w:r>
    </w:p>
    <w:p w14:paraId="001000A4" w14:textId="001000A5">
      <w:pPr>
        <w:pStyle w:val="Heading2"/>
      </w:pPr>
      <w:r>
        <w:t>清洗和窗口</w:t>
      </w:r>
    </w:p>
    <w:p w14:paraId="001000A6" w14:textId="001000A7">
      <w:pPr>
        <w:widowControl/>
      </w:pPr>
      <w:r>
        <w:rPr>
          <w:b w:val="0"/>
        </w:rPr>
        <w:t>同一时间戳保留最后完整观测，坐标和高度同时更新；时间倒序拒绝。同一位置在不同时间的观测仍保留，因为它可能证明悬停。去重后及截窗后重新检查最低点数。</w:t>
      </w:r>
    </w:p>
    <w:p w14:paraId="001000A8" w14:textId="001000A9">
      <w:pPr>
        <w:widowControl/>
      </w:pPr>
      <w:r>
        <w:rPr>
          <w:b w:val="0"/>
        </w:rPr>
        <w:t>意图窗口为最近 120 秒且最多 240 点；运动与聚类适配器使用默认末尾 12 点。入口最低点数由 service.ini 的 least_point 控制，范围为 2 至 240，缺项默认 6，本机为 2。规则自身的时间连续性与历史长度要求不随入口门槛降低。</w:t>
      </w:r>
    </w:p>
    <w:p w14:paraId="001000AA" w14:textId="001000AB">
      <w:pPr>
        <w:widowControl/>
        <w:spacing w:line="276" w:lineRule="auto"/>
      </w:pPr>
      <w:r>
        <w:rPr>
          <w:b w:val="0"/>
          <w:sz w:val="18"/>
        </w:rPr>
        <w:t>实现与证据  v32_gateway.py；engine.py _parse_target；track_config.py；config/service.ini。project_reference 第3章。[S03][S05]</w:t>
      </w:r>
    </w:p>
    <w:p w14:paraId="001000AC" w14:textId="001000AD">
      <w:r>
        <w:br w:type="page"/>
      </w:r>
    </w:p>
    <w:p w14:paraId="001000AE" w14:textId="001000AF">
      <w:pPr>
        <w:pStyle w:val="Heading1"/>
      </w:pPr>
      <w:r>
        <w:t>4 运动与行为特征原理</w:t>
      </w:r>
    </w:p>
    <w:p w14:paraId="001000B0" w14:textId="001000B1">
      <w:pPr>
        <w:widowControl/>
      </w:pPr>
      <w:r>
        <w:rPr>
          <w:b w:val="0"/>
        </w:rPr>
        <w:t>轨迹特征把离散位置转换为速度、方向、运动形状与空间趋向。基本段速度是相邻位置距离除以实际时间间隔；路径长度是各段长度之和；直线度是首末点位移占路径长度的比例。</w:t>
      </w:r>
    </w:p>
    <w:p w14:paraId="001000B2" w14:textId="001000B3">
      <w:pPr>
        <w:spacing w:before="100" w:after="160"/>
        <w:jc w:val="center"/>
      </w:pPr>
      <m:oMath>
        <m:sSub>
          <m:e>
            <m:r>
              <w:rPr>
                <w:rFonts w:ascii="Cambria Math" w:hAnsi="Cambria Math" w:eastAsia="Cambria Math"/>
                <w:sz w:val="22"/>
              </w:rPr>
              <m:t>v</m:t>
            </m:r>
          </m:e>
          <m:sub>
            <m:r>
              <w:rPr>
                <w:rFonts w:ascii="Cambria Math" w:hAnsi="Cambria Math" w:eastAsia="Cambria Math"/>
                <w:sz w:val="22"/>
              </w:rPr>
              <m:t>k</m:t>
            </m:r>
          </m:sub>
        </m:sSub>
        <m:r>
          <w:rPr>
            <w:rFonts w:ascii="Cambria Math" w:hAnsi="Cambria Math" w:eastAsia="Cambria Math"/>
            <w:sz w:val="22"/>
          </w:rPr>
          <m:t> = </m:t>
        </m:r>
        <m:f>
          <m:num>
            <m:r>
              <w:rPr>
                <w:rFonts w:ascii="Cambria Math" w:hAnsi="Cambria Math" w:eastAsia="Cambria Math"/>
                <w:sz w:val="22"/>
              </w:rPr>
              <m:t>d(</m:t>
            </m:r>
            <m:sSub>
              <m:e>
                <m:r>
                  <w:rPr>
                    <w:rFonts w:ascii="Cambria Math" w:hAnsi="Cambria Math" w:eastAsia="Cambria Math"/>
                    <w:sz w:val="22"/>
                  </w:rPr>
                  <m:t>p</m:t>
                </m:r>
              </m:e>
              <m:sub>
                <m:r>
                  <w:rPr>
                    <w:rFonts w:ascii="Cambria Math" w:hAnsi="Cambria Math" w:eastAsia="Cambria Math"/>
                    <w:sz w:val="22"/>
                  </w:rPr>
                  <m:t>k−1</m:t>
                </m:r>
              </m:sub>
            </m:sSub>
            <m:r>
              <w:rPr>
                <w:rFonts w:ascii="Cambria Math" w:hAnsi="Cambria Math" w:eastAsia="Cambria Math"/>
                <w:sz w:val="22"/>
              </w:rPr>
              <m:t>, </m:t>
            </m:r>
            <m:sSub>
              <m:e>
                <m:r>
                  <w:rPr>
                    <w:rFonts w:ascii="Cambria Math" w:hAnsi="Cambria Math" w:eastAsia="Cambria Math"/>
                    <w:sz w:val="22"/>
                  </w:rPr>
                  <m:t>p</m:t>
                </m:r>
              </m:e>
              <m:sub>
                <m:r>
                  <w:rPr>
                    <w:rFonts w:ascii="Cambria Math" w:hAnsi="Cambria Math" w:eastAsia="Cambria Math"/>
                    <w:sz w:val="22"/>
                  </w:rPr>
                  <m:t>k</m:t>
                </m:r>
              </m:sub>
            </m:sSub>
            <m:r>
              <w:rPr>
                <w:rFonts w:ascii="Cambria Math" w:hAnsi="Cambria Math" w:eastAsia="Cambria Math"/>
                <w:sz w:val="22"/>
              </w:rPr>
              <m:t>)</m:t>
            </m:r>
          </m:num>
          <m:den>
            <m:sSub>
              <m:e>
                <m:r>
                  <w:rPr>
                    <w:rFonts w:ascii="Cambria Math" w:hAnsi="Cambria Math" w:eastAsia="Cambria Math"/>
                    <w:sz w:val="22"/>
                  </w:rPr>
                  <m:t>t</m:t>
                </m:r>
              </m:e>
              <m:sub>
                <m:r>
                  <w:rPr>
                    <w:rFonts w:ascii="Cambria Math" w:hAnsi="Cambria Math" w:eastAsia="Cambria Math"/>
                    <w:sz w:val="22"/>
                  </w:rPr>
                  <m:t>k</m:t>
                </m:r>
              </m:sub>
            </m:sSub>
            <m:r>
              <w:rPr>
                <w:rFonts w:ascii="Cambria Math" w:hAnsi="Cambria Math" w:eastAsia="Cambria Math"/>
                <w:sz w:val="22"/>
              </w:rPr>
              <m:t> − </m:t>
            </m:r>
            <m:sSub>
              <m:e>
                <m:r>
                  <w:rPr>
                    <w:rFonts w:ascii="Cambria Math" w:hAnsi="Cambria Math" w:eastAsia="Cambria Math"/>
                    <w:sz w:val="22"/>
                  </w:rPr>
                  <m:t>t</m:t>
                </m:r>
              </m:e>
              <m:sub>
                <m:r>
                  <w:rPr>
                    <w:rFonts w:ascii="Cambria Math" w:hAnsi="Cambria Math" w:eastAsia="Cambria Math"/>
                    <w:sz w:val="22"/>
                  </w:rPr>
                  <m:t>k−1</m:t>
                </m:r>
              </m:sub>
            </m:sSub>
          </m:den>
        </m:f>
      </m:oMath>
      <w:r>
        <w:rPr>
          <w:sz w:val="18"/>
        </w:rPr>
        <w:t xml:space="preserve">    式1</w:t>
      </w:r>
    </w:p>
    <w:p w14:paraId="001000B4" w14:textId="001000B5">
      <w:pPr>
        <w:spacing w:before="100" w:after="160"/>
        <w:jc w:val="center"/>
      </w:pPr>
      <m:oMath>
        <m:r>
          <w:rPr>
            <w:rFonts w:ascii="Cambria Math" w:hAnsi="Cambria Math" w:eastAsia="Cambria Math"/>
            <w:sz w:val="22"/>
          </w:rPr>
          <m:t>L = ∑ d(</m:t>
        </m:r>
        <m:sSub>
          <m:e>
            <m:r>
              <w:rPr>
                <w:rFonts w:ascii="Cambria Math" w:hAnsi="Cambria Math" w:eastAsia="Cambria Math"/>
                <w:sz w:val="22"/>
              </w:rPr>
              <m:t>p</m:t>
            </m:r>
          </m:e>
          <m:sub>
            <m:r>
              <w:rPr>
                <w:rFonts w:ascii="Cambria Math" w:hAnsi="Cambria Math" w:eastAsia="Cambria Math"/>
                <w:sz w:val="22"/>
              </w:rPr>
              <m:t>k−1</m:t>
            </m:r>
          </m:sub>
        </m:sSub>
        <m:r>
          <w:rPr>
            <w:rFonts w:ascii="Cambria Math" w:hAnsi="Cambria Math" w:eastAsia="Cambria Math"/>
            <w:sz w:val="22"/>
          </w:rPr>
          <m:t>, </m:t>
        </m:r>
        <m:sSub>
          <m:e>
            <m:r>
              <w:rPr>
                <w:rFonts w:ascii="Cambria Math" w:hAnsi="Cambria Math" w:eastAsia="Cambria Math"/>
                <w:sz w:val="22"/>
              </w:rPr>
              <m:t>p</m:t>
            </m:r>
          </m:e>
          <m:sub>
            <m:r>
              <w:rPr>
                <w:rFonts w:ascii="Cambria Math" w:hAnsi="Cambria Math" w:eastAsia="Cambria Math"/>
                <w:sz w:val="22"/>
              </w:rPr>
              <m:t>k</m:t>
            </m:r>
          </m:sub>
        </m:sSub>
        <m:r>
          <w:rPr>
            <w:rFonts w:ascii="Cambria Math" w:hAnsi="Cambria Math" w:eastAsia="Cambria Math"/>
            <w:sz w:val="22"/>
          </w:rPr>
          <m:t>),     S = </m:t>
        </m:r>
        <m:f>
          <m:num>
            <m:r>
              <w:rPr>
                <w:rFonts w:ascii="Cambria Math" w:hAnsi="Cambria Math" w:eastAsia="Cambria Math"/>
                <w:sz w:val="22"/>
              </w:rPr>
              <m:t>d(</m:t>
            </m:r>
            <m:sSub>
              <m:e>
                <m:r>
                  <w:rPr>
                    <w:rFonts w:ascii="Cambria Math" w:hAnsi="Cambria Math" w:eastAsia="Cambria Math"/>
                    <w:sz w:val="22"/>
                  </w:rPr>
                  <m:t>p</m:t>
                </m:r>
              </m:e>
              <m:sub>
                <m:r>
                  <w:rPr>
                    <w:rFonts w:ascii="Cambria Math" w:hAnsi="Cambria Math" w:eastAsia="Cambria Math"/>
                    <w:sz w:val="22"/>
                  </w:rPr>
                  <m:t>0</m:t>
                </m:r>
              </m:sub>
            </m:sSub>
            <m:r>
              <w:rPr>
                <w:rFonts w:ascii="Cambria Math" w:hAnsi="Cambria Math" w:eastAsia="Cambria Math"/>
                <w:sz w:val="22"/>
              </w:rPr>
              <m:t>, </m:t>
            </m:r>
            <m:sSub>
              <m:e>
                <m:r>
                  <w:rPr>
                    <w:rFonts w:ascii="Cambria Math" w:hAnsi="Cambria Math" w:eastAsia="Cambria Math"/>
                    <w:sz w:val="22"/>
                  </w:rPr>
                  <m:t>p</m:t>
                </m:r>
              </m:e>
              <m:sub>
                <m:r>
                  <w:rPr>
                    <w:rFonts w:ascii="Cambria Math" w:hAnsi="Cambria Math" w:eastAsia="Cambria Math"/>
                    <w:sz w:val="22"/>
                  </w:rPr>
                  <m:t>n−1</m:t>
                </m:r>
              </m:sub>
            </m:sSub>
            <m:r>
              <w:rPr>
                <w:rFonts w:ascii="Cambria Math" w:hAnsi="Cambria Math" w:eastAsia="Cambria Math"/>
                <w:sz w:val="22"/>
              </w:rPr>
              <m:t>)</m:t>
            </m:r>
          </m:num>
          <m:den>
            <m:r>
              <w:rPr>
                <w:rFonts w:ascii="Cambria Math" w:hAnsi="Cambria Math" w:eastAsia="Cambria Math"/>
                <w:sz w:val="22"/>
              </w:rPr>
              <m:t>L</m:t>
            </m:r>
          </m:den>
        </m:f>
      </m:oMath>
      <w:r>
        <w:rPr>
          <w:sz w:val="18"/>
        </w:rPr>
        <w:t xml:space="preserve">    式2</w:t>
      </w:r>
    </w:p>
    <w:p w14:paraId="001000B6" w14:textId="001000B7">
      <w:pPr>
        <w:widowControl/>
      </w:pPr>
      <w:r>
        <w:rPr>
          <w:b w:val="0"/>
        </w:rPr>
        <w:t>式1与式2的时间按秒计，距离按米计；当路径长度为零时，代码将直线度设为零。跨度定义为窗口内任意两点的最大距离。球面距离使用 Haversine 计算，地球半径为 6 371 000 米。</w:t>
      </w:r>
    </w:p>
    <w:tbl>
      <w:tblPr>
        <w:tblW w:w="0" w:type="auto"/>
        <w:jc w:val="center"/>
        <w:tblLayout w:type="fixed"/>
        <w:tblLook w:val="04A0" w:firstRow="1" w:lastRow="0" w:firstColumn="1" w:lastColumn="0" w:noHBand="0" w:noVBand="1"/>
      </w:tblPr>
      <w:tblGrid>
        <w:gridCol w:w="1800"/>
        <w:gridCol w:w="4536"/>
        <w:gridCol w:w="3600"/>
      </w:tblGrid>
      <w:tr>
        <w:trPr>
          <w:tblHeader/>
          <w:cantSplit/>
        </w:trPr>
        <w:tc>
          <w:tcPr>
            <w:tcW w:w="180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0B8" w14:textId="001000B9">
            <w:pPr>
              <w:spacing w:after="0" w:line="269" w:lineRule="auto"/>
            </w:pPr>
            <w:r>
              <w:rPr>
                <w:b/>
                <w:color w:val="000000"/>
                <w:sz w:val="20"/>
              </w:rPr>
              <w:t>特征</w:t>
            </w:r>
          </w:p>
        </w:tc>
        <w:tc>
          <w:tcPr>
            <w:tcW w:w="453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0BA" w14:textId="001000BB">
            <w:pPr>
              <w:spacing w:after="0" w:line="269" w:lineRule="auto"/>
            </w:pPr>
            <w:r>
              <w:rPr>
                <w:b/>
                <w:color w:val="000000"/>
                <w:sz w:val="20"/>
              </w:rPr>
              <w:t>实际定义</w:t>
            </w:r>
          </w:p>
        </w:tc>
        <w:tc>
          <w:tcPr>
            <w:tcW w:w="360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0BC" w14:textId="001000BD">
            <w:pPr>
              <w:spacing w:after="0" w:line="269" w:lineRule="auto"/>
            </w:pPr>
            <w:r>
              <w:rPr>
                <w:b/>
                <w:color w:val="000000"/>
                <w:sz w:val="20"/>
              </w:rPr>
              <w:t>理解重点</w:t>
            </w:r>
          </w:p>
        </w:tc>
      </w:tr>
      <w:tr>
        <w:trPr>
          <w:cantSplit/>
        </w:trPr>
        <w:tc>
          <w:tcPr>
            <w:tcW w:w="180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BE" w14:textId="001000BF">
            <w:pPr>
              <w:spacing w:after="0" w:line="269" w:lineRule="auto"/>
            </w:pPr>
            <w:r>
              <w:rPr>
                <w:b w:val="0"/>
                <w:color w:val="000000"/>
                <w:sz w:val="20"/>
              </w:rPr>
              <w:t>速度</w:t>
            </w:r>
          </w:p>
        </w:tc>
        <w:tc>
          <w:tcPr>
            <w:tcW w:w="45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C0" w14:textId="001000C1">
            <w:pPr>
              <w:spacing w:after="0" w:line="269" w:lineRule="auto"/>
            </w:pPr>
            <w:r>
              <w:rPr>
                <w:b w:val="0"/>
                <w:color w:val="000000"/>
                <w:sz w:val="20"/>
              </w:rPr>
              <w:t>引擎使用最近最多3段平均；聚类和 I-24 各有窗口统计</w:t>
            </w:r>
          </w:p>
        </w:tc>
        <w:tc>
          <w:tcPr>
            <w:tcW w:w="360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C2" w14:textId="001000C3">
            <w:pPr>
              <w:spacing w:after="0" w:line="269" w:lineRule="auto"/>
            </w:pPr>
            <w:r>
              <w:rPr>
                <w:b w:val="0"/>
                <w:color w:val="000000"/>
                <w:sz w:val="20"/>
              </w:rPr>
              <w:t>不同模块的速度值不能视为同一个量</w:t>
            </w:r>
          </w:p>
        </w:tc>
      </w:tr>
      <w:tr>
        <w:trPr>
          <w:cantSplit/>
        </w:trPr>
        <w:tc>
          <w:tcPr>
            <w:tcW w:w="180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C4" w14:textId="001000C5">
            <w:pPr>
              <w:spacing w:after="0" w:line="269" w:lineRule="auto"/>
            </w:pPr>
            <w:r>
              <w:rPr>
                <w:b w:val="0"/>
                <w:color w:val="000000"/>
                <w:sz w:val="20"/>
              </w:rPr>
              <w:t>悬停时长</w:t>
            </w:r>
          </w:p>
        </w:tc>
        <w:tc>
          <w:tcPr>
            <w:tcW w:w="45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C6" w14:textId="001000C7">
            <w:pPr>
              <w:spacing w:after="0" w:line="269" w:lineRule="auto"/>
            </w:pPr>
            <w:r>
              <w:rPr>
                <w:b w:val="0"/>
                <w:color w:val="000000"/>
                <w:sz w:val="20"/>
              </w:rPr>
              <w:t>向前查找连续处于末点20米邻域的时长</w:t>
            </w:r>
          </w:p>
        </w:tc>
        <w:tc>
          <w:tcPr>
            <w:tcW w:w="360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C8" w14:textId="001000C9">
            <w:pPr>
              <w:spacing w:after="0" w:line="269" w:lineRule="auto"/>
            </w:pPr>
            <w:r>
              <w:rPr>
                <w:b w:val="0"/>
                <w:color w:val="000000"/>
                <w:sz w:val="20"/>
              </w:rPr>
              <w:t>是空间邻域持续性近似</w:t>
            </w:r>
          </w:p>
        </w:tc>
      </w:tr>
      <w:tr>
        <w:trPr>
          <w:cantSplit/>
        </w:trPr>
        <w:tc>
          <w:tcPr>
            <w:tcW w:w="180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CA" w14:textId="001000CB">
            <w:pPr>
              <w:spacing w:after="0" w:line="269" w:lineRule="auto"/>
            </w:pPr>
            <w:r>
              <w:rPr>
                <w:b w:val="0"/>
                <w:color w:val="000000"/>
                <w:sz w:val="20"/>
              </w:rPr>
              <w:t>航向变化</w:t>
            </w:r>
          </w:p>
        </w:tc>
        <w:tc>
          <w:tcPr>
            <w:tcW w:w="45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CC" w14:textId="001000CD">
            <w:pPr>
              <w:spacing w:after="0" w:line="269" w:lineRule="auto"/>
            </w:pPr>
            <w:r>
              <w:rPr>
                <w:b w:val="0"/>
                <w:color w:val="000000"/>
                <w:sz w:val="20"/>
              </w:rPr>
              <w:t>对有效位移段计算方向，再取近期最大角差</w:t>
            </w:r>
          </w:p>
        </w:tc>
        <w:tc>
          <w:tcPr>
            <w:tcW w:w="360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CE" w14:textId="001000CF">
            <w:pPr>
              <w:spacing w:after="0" w:line="269" w:lineRule="auto"/>
            </w:pPr>
            <w:r>
              <w:rPr>
                <w:b w:val="0"/>
                <w:color w:val="000000"/>
                <w:sz w:val="20"/>
              </w:rPr>
              <w:t>位移不足0.5米的段不形成有效航向</w:t>
            </w:r>
          </w:p>
        </w:tc>
      </w:tr>
      <w:tr>
        <w:trPr>
          <w:cantSplit/>
        </w:trPr>
        <w:tc>
          <w:tcPr>
            <w:tcW w:w="180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D0" w14:textId="001000D1">
            <w:pPr>
              <w:spacing w:after="0" w:line="269" w:lineRule="auto"/>
            </w:pPr>
            <w:r>
              <w:rPr>
                <w:b w:val="0"/>
                <w:color w:val="000000"/>
                <w:sz w:val="20"/>
              </w:rPr>
              <w:t>设施距离变化</w:t>
            </w:r>
          </w:p>
        </w:tc>
        <w:tc>
          <w:tcPr>
            <w:tcW w:w="45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D2" w14:textId="001000D3">
            <w:pPr>
              <w:spacing w:after="0" w:line="269" w:lineRule="auto"/>
            </w:pPr>
            <w:r>
              <w:rPr>
                <w:b w:val="0"/>
                <w:color w:val="000000"/>
                <w:sz w:val="20"/>
              </w:rPr>
              <w:t>首点距离减末点距离</w:t>
            </w:r>
          </w:p>
        </w:tc>
        <w:tc>
          <w:tcPr>
            <w:tcW w:w="360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0D4" w14:textId="001000D5">
            <w:pPr>
              <w:spacing w:after="0" w:line="269" w:lineRule="auto"/>
            </w:pPr>
            <w:r>
              <w:rPr>
                <w:b w:val="0"/>
                <w:color w:val="000000"/>
                <w:sz w:val="20"/>
              </w:rPr>
              <w:t>单位是米，不是闭合速度</w:t>
            </w:r>
          </w:p>
        </w:tc>
      </w:tr>
      <w:tr>
        <w:trPr>
          <w:cantSplit/>
        </w:trPr>
        <w:tc>
          <w:tcPr>
            <w:tcW w:w="180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D6" w14:textId="001000D7">
            <w:pPr>
              <w:spacing w:after="0" w:line="269" w:lineRule="auto"/>
            </w:pPr>
            <w:r>
              <w:rPr>
                <w:b w:val="0"/>
                <w:color w:val="000000"/>
                <w:sz w:val="20"/>
              </w:rPr>
              <w:t>绕飞与重复</w:t>
            </w:r>
          </w:p>
        </w:tc>
        <w:tc>
          <w:tcPr>
            <w:tcW w:w="45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D8" w14:textId="001000D9">
            <w:pPr>
              <w:spacing w:after="0" w:line="269" w:lineRule="auto"/>
            </w:pPr>
            <w:r>
              <w:rPr>
                <w:b w:val="0"/>
                <w:color w:val="000000"/>
                <w:sz w:val="20"/>
              </w:rPr>
              <w:t>设施绕转、路径重复、抖动及扫描特征</w:t>
            </w:r>
          </w:p>
        </w:tc>
        <w:tc>
          <w:tcPr>
            <w:tcW w:w="360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0DA" w14:textId="001000DB">
            <w:pPr>
              <w:spacing w:after="0" w:line="269" w:lineRule="auto"/>
            </w:pPr>
            <w:r>
              <w:rPr>
                <w:b w:val="0"/>
                <w:color w:val="000000"/>
                <w:sz w:val="20"/>
              </w:rPr>
              <w:t>与其他条件组合，不单独解释为动机</w:t>
            </w:r>
          </w:p>
        </w:tc>
      </w:tr>
    </w:tbl>
    <w:p w14:paraId="001000DC" w14:textId="001000DD">
      <w:pPr>
        <w:spacing w:after="40"/>
      </w:pPr>
    </w:p>
    <w:p w14:paraId="001000DE" w14:textId="001000DF">
      <w:pPr>
        <w:pStyle w:val="Heading2"/>
      </w:pPr>
      <w:r>
        <w:t>方法适用性</w:t>
      </w:r>
    </w:p>
    <w:p w14:paraId="001000E0" w14:textId="001000E1">
      <w:pPr>
        <w:widowControl/>
      </w:pPr>
      <w:r>
        <w:rPr>
          <w:b w:val="0"/>
        </w:rPr>
        <w:t>这些特征能够从现有轨迹直接计算，并且可以逐项检查，适合作为首版规则输入。它们对定位噪声、采样间隔、轨迹截断和设施选择敏感，因此需要有效性判断、窗口设计和场景回归。当前没有用独立真实数据证明每一个经验阈值已达到最优。</w:t>
      </w:r>
    </w:p>
    <w:p w14:paraId="001000E2" w14:textId="001000E3">
      <w:pPr>
        <w:widowControl/>
        <w:spacing w:line="276" w:lineRule="auto"/>
      </w:pPr>
      <w:r>
        <w:rPr>
          <w:b w:val="0"/>
          <w:sz w:val="18"/>
        </w:rPr>
        <w:t>实现与证据  engine.py _parse_target、_compute_member_intent_features；project_reference 第4章公式 F01、F02。[S03]</w:t>
      </w:r>
    </w:p>
    <w:p w14:paraId="001000E4" w14:textId="001000E5">
      <w:r>
        <w:br w:type="page"/>
      </w:r>
    </w:p>
    <w:p w14:paraId="001000E6" w14:textId="001000E7">
      <w:pPr>
        <w:pStyle w:val="Heading1"/>
      </w:pPr>
      <w:r>
        <w:t>5 可靠度感知集群划分</w:t>
      </w:r>
    </w:p>
    <w:p w14:paraId="001000E8" w14:textId="001000E9">
      <w:pPr>
        <w:widowControl/>
      </w:pPr>
      <w:r>
        <w:rPr>
          <w:b w:val="0"/>
        </w:rPr>
        <w:t>空间接近的目标不一定属于同一群体。当前方法同时考虑位置、方向和速度，并在低速、速度过渡或明显转向时降低不可靠运动特征的影响。稳健运动统计最多使用最近 11 个有效段。</w:t>
      </w:r>
    </w:p>
    <w:p w14:paraId="001000EA" w14:textId="001000EB">
      <w:pPr>
        <w:pStyle w:val="Heading2"/>
      </w:pPr>
      <w:r>
        <w:t>成对距离</w:t>
      </w:r>
    </w:p>
    <w:p w14:paraId="001000EC" w14:textId="001000ED">
      <w:pPr>
        <w:widowControl/>
      </w:pPr>
      <w:r>
        <w:rPr>
          <w:b w:val="0"/>
        </w:rPr>
        <w:t>先分别标准化位置、方向和速度。成对方向可靠度取两个目标方向可靠度的较小值，速度可靠度同理。标准化差异与可靠度共同形成距离矩阵。</w:t>
      </w:r>
    </w:p>
    <w:p w14:paraId="001000EE" w14:textId="001000EF">
      <w:pPr>
        <w:spacing w:before="100" w:after="160"/>
        <w:jc w:val="center"/>
      </w:pPr>
      <m:oMath>
        <m:sSub>
          <m:e>
            <m:r>
              <w:rPr>
                <w:rFonts w:ascii="Cambria Math" w:hAnsi="Cambria Math" w:eastAsia="Cambria Math"/>
                <w:sz w:val="22"/>
              </w:rPr>
              <m:t>r</m:t>
            </m:r>
          </m:e>
          <m:sub>
            <m:r>
              <w:rPr>
                <w:rFonts w:ascii="Cambria Math" w:hAnsi="Cambria Math" w:eastAsia="Cambria Math"/>
                <w:sz w:val="22"/>
              </w:rPr>
              <m:t>ij</m:t>
            </m:r>
          </m:sub>
        </m:sSub>
        <m:r>
          <w:rPr>
            <w:rFonts w:ascii="Cambria Math" w:hAnsi="Cambria Math" w:eastAsia="Cambria Math"/>
            <w:sz w:val="22"/>
          </w:rPr>
          <m:t> = min(</m:t>
        </m:r>
        <m:sSub>
          <m:e>
            <m:r>
              <w:rPr>
                <w:rFonts w:ascii="Cambria Math" w:hAnsi="Cambria Math" w:eastAsia="Cambria Math"/>
                <w:sz w:val="22"/>
              </w:rPr>
              <m:t>r</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r</m:t>
            </m:r>
          </m:e>
          <m:sub>
            <m:r>
              <w:rPr>
                <w:rFonts w:ascii="Cambria Math" w:hAnsi="Cambria Math" w:eastAsia="Cambria Math"/>
                <w:sz w:val="22"/>
              </w:rPr>
              <m:t>j</m:t>
            </m:r>
          </m:sub>
        </m:sSub>
        <m:r>
          <w:rPr>
            <w:rFonts w:ascii="Cambria Math" w:hAnsi="Cambria Math" w:eastAsia="Cambria Math"/>
            <w:sz w:val="22"/>
          </w:rPr>
          <m:t>)</m:t>
        </m:r>
      </m:oMath>
      <w:r>
        <w:rPr>
          <w:sz w:val="18"/>
        </w:rPr>
        <w:t xml:space="preserve">    式3</w:t>
      </w:r>
    </w:p>
    <w:p w14:paraId="001000F0" w14:textId="001000F1">
      <w:pPr>
        <w:spacing w:before="100" w:after="160"/>
        <w:jc w:val="center"/>
      </w:pPr>
      <m:oMath>
        <m:sSub>
          <m:e>
            <m:r>
              <w:rPr>
                <w:rFonts w:ascii="Cambria Math" w:hAnsi="Cambria Math" w:eastAsia="Cambria Math"/>
                <w:sz w:val="22"/>
              </w:rPr>
              <m:t>D</m:t>
            </m:r>
          </m:e>
          <m:sub>
            <m:r>
              <w:rPr>
                <w:rFonts w:ascii="Cambria Math" w:hAnsi="Cambria Math" w:eastAsia="Cambria Math"/>
                <w:sz w:val="22"/>
              </w:rPr>
              <m:t>ij</m:t>
            </m:r>
          </m:sub>
        </m:sSub>
        <m:r>
          <w:rPr>
            <w:rFonts w:ascii="Cambria Math" w:hAnsi="Cambria Math" w:eastAsia="Cambria Math"/>
            <w:sz w:val="22"/>
          </w:rPr>
          <m:t> = </m:t>
        </m:r>
        <m:rad>
          <m:radPr>
            <m:degHide m:val="1"/>
          </m:radPr>
          <m:deg/>
          <m:e>
            <m:sSup>
              <m:e>
                <m:sSub>
                  <m:e>
                    <m:r>
                      <w:rPr>
                        <w:rFonts w:ascii="Cambria Math" w:hAnsi="Cambria Math" w:eastAsia="Cambria Math"/>
                        <w:sz w:val="22"/>
                      </w:rPr>
                      <m:t>d</m:t>
                    </m:r>
                  </m:e>
                  <m:sub>
                    <m:r>
                      <w:rPr>
                        <w:rFonts w:ascii="Cambria Math" w:hAnsi="Cambria Math" w:eastAsia="Cambria Math"/>
                        <w:sz w:val="22"/>
                      </w:rPr>
                      <m:t>pos</m:t>
                    </m:r>
                  </m:sub>
                </m:sSub>
              </m:e>
              <m:sup>
                <m:r>
                  <w:rPr>
                    <w:rFonts w:ascii="Cambria Math" w:hAnsi="Cambria Math" w:eastAsia="Cambria Math"/>
                    <w:sz w:val="22"/>
                  </w:rPr>
                  <m:t>2</m:t>
                </m:r>
              </m:sup>
            </m:sSup>
            <m:r>
              <w:rPr>
                <w:rFonts w:ascii="Cambria Math" w:hAnsi="Cambria Math" w:eastAsia="Cambria Math"/>
                <w:sz w:val="22"/>
              </w:rPr>
              <m:t> + </m:t>
            </m:r>
            <m:sSup>
              <m:e>
                <m:r>
                  <w:rPr>
                    <w:rFonts w:ascii="Cambria Math" w:hAnsi="Cambria Math" w:eastAsia="Cambria Math"/>
                    <w:sz w:val="22"/>
                  </w:rPr>
                  <m:t>(</m:t>
                </m:r>
                <m:sSub>
                  <m:e>
                    <m:r>
                      <w:rPr>
                        <w:rFonts w:ascii="Cambria Math" w:hAnsi="Cambria Math" w:eastAsia="Cambria Math"/>
                        <w:sz w:val="22"/>
                      </w:rPr>
                      <m:t>r</m:t>
                    </m:r>
                  </m:e>
                  <m:sub>
                    <m:r>
                      <w:rPr>
                        <w:rFonts w:ascii="Cambria Math" w:hAnsi="Cambria Math" w:eastAsia="Cambria Math"/>
                        <w:sz w:val="22"/>
                      </w:rPr>
                      <m:t>dir</m:t>
                    </m:r>
                  </m:sub>
                </m:sSub>
                <m:r>
                  <w:rPr>
                    <w:rFonts w:ascii="Cambria Math" w:hAnsi="Cambria Math" w:eastAsia="Cambria Math"/>
                    <w:sz w:val="22"/>
                  </w:rPr>
                  <m:t> </m:t>
                </m:r>
                <m:sSub>
                  <m:e>
                    <m:r>
                      <w:rPr>
                        <w:rFonts w:ascii="Cambria Math" w:hAnsi="Cambria Math" w:eastAsia="Cambria Math"/>
                        <w:sz w:val="22"/>
                      </w:rPr>
                      <m:t>d</m:t>
                    </m:r>
                  </m:e>
                  <m:sub>
                    <m:r>
                      <w:rPr>
                        <w:rFonts w:ascii="Cambria Math" w:hAnsi="Cambria Math" w:eastAsia="Cambria Math"/>
                        <w:sz w:val="22"/>
                      </w:rPr>
                      <m:t>dir</m:t>
                    </m:r>
                  </m:sub>
                </m:sSub>
                <m:r>
                  <w:rPr>
                    <w:rFonts w:ascii="Cambria Math" w:hAnsi="Cambria Math" w:eastAsia="Cambria Math"/>
                    <w:sz w:val="22"/>
                  </w:rPr>
                  <m:t>)</m:t>
                </m:r>
              </m:e>
              <m:sup>
                <m:r>
                  <w:rPr>
                    <w:rFonts w:ascii="Cambria Math" w:hAnsi="Cambria Math" w:eastAsia="Cambria Math"/>
                    <w:sz w:val="22"/>
                  </w:rPr>
                  <m:t>2</m:t>
                </m:r>
              </m:sup>
            </m:sSup>
            <m:r>
              <w:rPr>
                <w:rFonts w:ascii="Cambria Math" w:hAnsi="Cambria Math" w:eastAsia="Cambria Math"/>
                <w:sz w:val="22"/>
              </w:rPr>
              <m:t> + </m:t>
            </m:r>
            <m:sSup>
              <m:e>
                <m:r>
                  <w:rPr>
                    <w:rFonts w:ascii="Cambria Math" w:hAnsi="Cambria Math" w:eastAsia="Cambria Math"/>
                    <w:sz w:val="22"/>
                  </w:rPr>
                  <m:t>(</m:t>
                </m:r>
                <m:sSub>
                  <m:e>
                    <m:r>
                      <w:rPr>
                        <w:rFonts w:ascii="Cambria Math" w:hAnsi="Cambria Math" w:eastAsia="Cambria Math"/>
                        <w:sz w:val="22"/>
                      </w:rPr>
                      <m:t>r</m:t>
                    </m:r>
                  </m:e>
                  <m:sub>
                    <m:r>
                      <w:rPr>
                        <w:rFonts w:ascii="Cambria Math" w:hAnsi="Cambria Math" w:eastAsia="Cambria Math"/>
                        <w:sz w:val="22"/>
                      </w:rPr>
                      <m:t>speed</m:t>
                    </m:r>
                  </m:sub>
                </m:sSub>
                <m:r>
                  <w:rPr>
                    <w:rFonts w:ascii="Cambria Math" w:hAnsi="Cambria Math" w:eastAsia="Cambria Math"/>
                    <w:sz w:val="22"/>
                  </w:rPr>
                  <m:t> </m:t>
                </m:r>
                <m:sSub>
                  <m:e>
                    <m:r>
                      <w:rPr>
                        <w:rFonts w:ascii="Cambria Math" w:hAnsi="Cambria Math" w:eastAsia="Cambria Math"/>
                        <w:sz w:val="22"/>
                      </w:rPr>
                      <m:t>d</m:t>
                    </m:r>
                  </m:e>
                  <m:sub>
                    <m:r>
                      <w:rPr>
                        <w:rFonts w:ascii="Cambria Math" w:hAnsi="Cambria Math" w:eastAsia="Cambria Math"/>
                        <w:sz w:val="22"/>
                      </w:rPr>
                      <m:t>speed</m:t>
                    </m:r>
                  </m:sub>
                </m:sSub>
                <m:r>
                  <w:rPr>
                    <w:rFonts w:ascii="Cambria Math" w:hAnsi="Cambria Math" w:eastAsia="Cambria Math"/>
                    <w:sz w:val="22"/>
                  </w:rPr>
                  <m:t>)</m:t>
                </m:r>
              </m:e>
              <m:sup>
                <m:r>
                  <w:rPr>
                    <w:rFonts w:ascii="Cambria Math" w:hAnsi="Cambria Math" w:eastAsia="Cambria Math"/>
                    <w:sz w:val="22"/>
                  </w:rPr>
                  <m:t>2</m:t>
                </m:r>
              </m:sup>
            </m:sSup>
          </m:e>
        </m:rad>
      </m:oMath>
      <w:r>
        <w:rPr>
          <w:sz w:val="18"/>
        </w:rPr>
        <w:t xml:space="preserve">    式4</w:t>
      </w:r>
    </w:p>
    <w:p w14:paraId="001000F2" w14:textId="001000F3">
      <w:pPr>
        <w:widowControl/>
      </w:pPr>
      <w:r>
        <w:rPr>
          <w:b w:val="0"/>
        </w:rPr>
        <w:t>式4中三个距离均为归一化特征差异，两个可靠度均为成对值。低可靠度表示该项信息不足，其差异贡献随之降低，避免将未知方向当成与所有有效方向均不相似的证据。</w:t>
      </w:r>
    </w:p>
    <w:p w14:paraId="001000F4" w14:textId="001000F5">
      <w:pPr>
        <w:pStyle w:val="Heading2"/>
      </w:pPr>
      <w:r>
        <w:t>聚类与回退</w:t>
      </w:r>
    </w:p>
    <w:p w14:paraId="001000F6" w14:textId="001000F7">
      <w:pPr>
        <w:widowControl/>
      </w:pPr>
      <w:r>
        <w:rPr>
          <w:b w:val="0"/>
        </w:rPr>
        <w:t>距离矩阵输入 DBSCAN，当前 eps 配置为 1.5，min_samples 为 1。孤立目标仍可形成单机簇。正常路径显式构造成对矩阵，不能笼统描述为线性或 O(N log N) 复杂度。</w:t>
      </w:r>
    </w:p>
    <w:p w14:paraId="001000F8" w14:textId="001000F9">
      <w:pPr>
        <w:widowControl/>
      </w:pPr>
      <w:r>
        <w:rPr>
          <w:b w:val="0"/>
        </w:rPr>
        <w:t>适配器没有可用分组时，引擎回退到距离与航向约束的连通分组，默认 250 米与 50 度。超过 10 个无人机时使用地心弦坐标 KD-tree 搜索候选，再检查实际球面距离与航向。KD-tree 属于这条回退路径，不等于正常 DBSCAN 使用相同算法。</w:t>
      </w:r>
    </w:p>
    <w:p w14:paraId="001000FA" w14:textId="001000FB">
      <w:pPr>
        <w:pStyle w:val="Heading2"/>
      </w:pPr>
      <w:r>
        <w:t>可行性与待验证点</w:t>
      </w:r>
    </w:p>
    <w:p w14:paraId="001000FC" w14:textId="001000FD">
      <w:pPr>
        <w:widowControl/>
      </w:pPr>
      <w:r>
        <w:rPr>
          <w:b w:val="0"/>
        </w:rPr>
        <w:t>方法无需预先指定群数，可直接使用已有轨迹，支持缺失运动特征和小规模实时分析。本次三组聚类相关回归共 14 项通过。真实场景的错误合并、拆分和群体稳定性仍需标注数据评价；当前没有跨请求身份关联。</w:t>
      </w:r>
    </w:p>
    <w:p w14:paraId="001000FE" w14:textId="001000FF">
      <w:pPr>
        <w:widowControl/>
        <w:spacing w:line="276" w:lineRule="auto"/>
      </w:pPr>
      <w:r>
        <w:rPr>
          <w:b w:val="0"/>
          <w:sz w:val="18"/>
        </w:rPr>
        <w:t>实现与证据  clusters_recognition.py；engine.py _clusters；project_reference 第5章公式 F03。本次 T06至T08。[S04][S06]</w:t>
      </w:r>
    </w:p>
    <w:p w14:paraId="00100100" w14:textId="00100101">
      <w:r>
        <w:br w:type="page"/>
      </w:r>
    </w:p>
    <w:p w14:paraId="00100102" w14:textId="00100103">
      <w:pPr>
        <w:pStyle w:val="Heading1"/>
      </w:pPr>
      <w:r>
        <w:t>6 PointNet 队形识别</w:t>
      </w:r>
    </w:p>
    <w:p w14:paraId="00100104" w14:textId="00100105">
      <w:pPr>
        <w:widowControl/>
      </w:pPr>
      <w:r>
        <w:rPr>
          <w:b w:val="0"/>
        </w:rPr>
        <w:t>聚类确定成员后，队形识别处理群内相对位置点集。每个候选集群独立对齐时间，至少需要两个共同时间戳，用前后两个点集的平均位移估计运动方向。某个集群无法对齐只影响该集群，不应使其他集群失效。</w:t>
      </w:r>
    </w:p>
    <w:p w14:paraId="00100106" w14:textId="00100107">
      <w:pPr>
        <w:pStyle w:val="Heading2"/>
      </w:pPr>
      <w:r>
        <w:t>点集标准化</w:t>
      </w:r>
    </w:p>
    <w:p w14:paraId="00100108" w14:textId="00100109">
      <w:pPr>
        <w:widowControl/>
      </w:pPr>
      <w:r>
        <w:rPr>
          <w:b w:val="0"/>
        </w:rPr>
        <w:t>当前输入为二维坐标。先按平均运动方向旋转，随后均值居中，再以最大绝对坐标归一化。尺度过小时保留居中结果，避免不稳定除法。预处理必须与训练时一致。</w:t>
      </w:r>
    </w:p>
    <w:p w14:paraId="0010010A" w14:textId="0010010B">
      <w:pPr>
        <w:spacing w:before="100" w:after="160"/>
        <w:jc w:val="center"/>
      </w:pPr>
      <m:oMath>
        <m:sSub>
          <m:e>
            <m:r>
              <w:rPr>
                <w:rFonts w:ascii="Cambria Math" w:hAnsi="Cambria Math" w:eastAsia="Cambria Math"/>
                <w:sz w:val="22"/>
              </w:rPr>
              <m:t>q</m:t>
            </m:r>
          </m:e>
          <m:sub>
            <m:r>
              <w:rPr>
                <w:rFonts w:ascii="Cambria Math" w:hAnsi="Cambria Math" w:eastAsia="Cambria Math"/>
                <w:sz w:val="22"/>
              </w:rPr>
              <m:t>i</m:t>
            </m:r>
          </m:sub>
        </m:sSub>
        <m:r>
          <w:rPr>
            <w:rFonts w:ascii="Cambria Math" w:hAnsi="Cambria Math" w:eastAsia="Cambria Math"/>
            <w:sz w:val="22"/>
          </w:rPr>
          <m:t> = </m:t>
        </m:r>
        <m:sSub>
          <m:e>
            <m:r>
              <w:rPr>
                <w:rFonts w:ascii="Cambria Math" w:hAnsi="Cambria Math" w:eastAsia="Cambria Math"/>
                <w:sz w:val="22"/>
              </w:rPr>
              <m:t>R</m:t>
            </m:r>
          </m:e>
          <m:sub>
            <m:r>
              <w:rPr>
                <w:rFonts w:ascii="Cambria Math" w:hAnsi="Cambria Math" w:eastAsia="Cambria Math"/>
                <w:sz w:val="22"/>
              </w:rPr>
              <m:t>θ</m:t>
            </m:r>
          </m:sub>
        </m:sSub>
        <m:sSub>
          <m:e>
            <m:r>
              <w:rPr>
                <w:rFonts w:ascii="Cambria Math" w:hAnsi="Cambria Math" w:eastAsia="Cambria Math"/>
                <w:sz w:val="22"/>
              </w:rPr>
              <m:t>p</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z</m:t>
            </m:r>
          </m:e>
          <m:sub>
            <m:r>
              <w:rPr>
                <w:rFonts w:ascii="Cambria Math" w:hAnsi="Cambria Math" w:eastAsia="Cambria Math"/>
                <w:sz w:val="22"/>
              </w:rPr>
              <m:t>i</m:t>
            </m:r>
          </m:sub>
        </m:sSub>
        <m:r>
          <w:rPr>
            <w:rFonts w:ascii="Cambria Math" w:hAnsi="Cambria Math" w:eastAsia="Cambria Math"/>
            <w:sz w:val="22"/>
          </w:rPr>
          <m:t> = </m:t>
        </m:r>
        <m:f>
          <m:num>
            <m:sSub>
              <m:e>
                <m:r>
                  <w:rPr>
                    <w:rFonts w:ascii="Cambria Math" w:hAnsi="Cambria Math" w:eastAsia="Cambria Math"/>
                    <w:sz w:val="22"/>
                  </w:rPr>
                  <m:t>q</m:t>
                </m:r>
              </m:e>
              <m:sub>
                <m:r>
                  <w:rPr>
                    <w:rFonts w:ascii="Cambria Math" w:hAnsi="Cambria Math" w:eastAsia="Cambria Math"/>
                    <w:sz w:val="22"/>
                  </w:rPr>
                  <m:t>i</m:t>
                </m:r>
              </m:sub>
            </m:sSub>
            <m:r>
              <w:rPr>
                <w:rFonts w:ascii="Cambria Math" w:hAnsi="Cambria Math" w:eastAsia="Cambria Math"/>
                <w:sz w:val="22"/>
              </w:rPr>
              <m:t> − q̄</m:t>
            </m:r>
          </m:num>
          <m:den>
            <m:r>
              <w:rPr>
                <w:rFonts w:ascii="Cambria Math" w:hAnsi="Cambria Math" w:eastAsia="Cambria Math"/>
                <w:sz w:val="22"/>
              </w:rPr>
              <m:t>s</m:t>
            </m:r>
          </m:den>
        </m:f>
      </m:oMath>
      <w:r>
        <w:rPr>
          <w:sz w:val="18"/>
        </w:rPr>
        <w:t xml:space="preserve">    式5</w:t>
      </w:r>
    </w:p>
    <w:p w14:paraId="0010010C" w14:textId="0010010D">
      <w:pPr>
        <w:widowControl/>
      </w:pPr>
      <w:r>
        <w:rPr>
          <w:b w:val="0"/>
        </w:rPr>
        <w:t>其中 q̄ 为旋转后点集均值，s 为居中点集的最大绝对坐标；代码仅在 s 大于 0.001 时执行除法。</w:t>
      </w:r>
    </w:p>
    <w:p w14:paraId="00100D6C" w14:textId="00100D6D">
      <w:pPr>
        <w:pStyle w:val="Normal"/>
      </w:pPr>
      <w:r>
        <w:rPr/>
        <w:t xml:space="preserve">标准化使输入对平移、旋转和尺度不变：旋转消除航向差异，均值居中消除位置差异，最大绝对坐标归一化消除编队尺度差异。训练样本的方向取自编队成员速度均值，推理时取自末两帧位移均值，两者定义一致。缺少 direction 的样本不做旋转。第23.6节给出同次五成员输入的逐点一致性与图示。</w:t>
      </w:r>
    </w:p>
    <w:p w14:paraId="0010010E" w14:textId="0010010F">
      <w:pPr>
        <w:spacing w:before="100" w:after="160"/>
        <w:jc w:val="center"/>
      </w:pPr>
      <m:oMath>
        <m:sSub>
          <m:e>
            <m:r>
              <w:rPr>
                <w:rFonts w:ascii="Cambria Math" w:hAnsi="Cambria Math" w:eastAsia="Cambria Math"/>
                <w:sz w:val="22"/>
              </w:rPr>
              <m:t>h</m:t>
            </m:r>
          </m:e>
          <m:sub>
            <m:r>
              <w:rPr>
                <w:rFonts w:ascii="Cambria Math" w:hAnsi="Cambria Math" w:eastAsia="Cambria Math"/>
                <w:sz w:val="22"/>
              </w:rPr>
              <m:t>i</m:t>
            </m:r>
          </m:sub>
        </m:sSub>
        <m:r>
          <w:rPr>
            <w:rFonts w:ascii="Cambria Math" w:hAnsi="Cambria Math" w:eastAsia="Cambria Math"/>
            <w:sz w:val="22"/>
          </w:rPr>
          <m:t> = φ(</m:t>
        </m:r>
        <m:sSub>
          <m:e>
            <m:r>
              <w:rPr>
                <w:rFonts w:ascii="Cambria Math" w:hAnsi="Cambria Math" w:eastAsia="Cambria Math"/>
                <w:sz w:val="22"/>
              </w:rPr>
              <m:t>z</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g</m:t>
            </m:r>
          </m:e>
          <m:sub>
            <m:r>
              <w:rPr>
                <w:rFonts w:ascii="Cambria Math" w:hAnsi="Cambria Math" w:eastAsia="Cambria Math"/>
                <w:sz w:val="22"/>
              </w:rPr>
              <m:t>c</m:t>
            </m:r>
          </m:sub>
        </m:sSub>
        <m:r>
          <w:rPr>
            <w:rFonts w:ascii="Cambria Math" w:hAnsi="Cambria Math" w:eastAsia="Cambria Math"/>
            <w:sz w:val="22"/>
          </w:rPr>
          <m:t> = </m:t>
        </m:r>
        <m:sSub>
          <m:e>
            <m:r>
              <w:rPr>
                <w:rFonts w:ascii="Cambria Math" w:hAnsi="Cambria Math" w:eastAsia="Cambria Math"/>
                <w:sz w:val="22"/>
              </w:rPr>
              <m:t>max</m:t>
            </m:r>
          </m:e>
          <m:sub>
            <m:r>
              <w:rPr>
                <w:rFonts w:ascii="Cambria Math" w:hAnsi="Cambria Math" w:eastAsia="Cambria Math"/>
                <w:sz w:val="22"/>
              </w:rPr>
              <m:t>i∈V</m:t>
            </m:r>
          </m:sub>
        </m:sSub>
        <m:sSub>
          <m:e>
            <m:r>
              <w:rPr>
                <w:rFonts w:ascii="Cambria Math" w:hAnsi="Cambria Math" w:eastAsia="Cambria Math"/>
                <w:sz w:val="22"/>
              </w:rPr>
              <m:t>h</m:t>
            </m:r>
          </m:e>
          <m:sub>
            <m:r>
              <w:rPr>
                <w:rFonts w:ascii="Cambria Math" w:hAnsi="Cambria Math" w:eastAsia="Cambria Math"/>
                <w:sz w:val="22"/>
              </w:rPr>
              <m:t>i,c</m:t>
            </m:r>
          </m:sub>
        </m:sSub>
        <m:r>
          <w:rPr>
            <w:rFonts w:ascii="Cambria Math" w:hAnsi="Cambria Math" w:eastAsia="Cambria Math"/>
            <w:sz w:val="22"/>
          </w:rPr>
          <m:t>,     ŷ = </m:t>
        </m:r>
        <m:sSub>
          <m:e>
            <m:r>
              <w:rPr>
                <w:rFonts w:ascii="Cambria Math" w:hAnsi="Cambria Math" w:eastAsia="Cambria Math"/>
                <w:sz w:val="22"/>
              </w:rPr>
              <m:t>arg max</m:t>
            </m:r>
          </m:e>
          <m:sub>
            <m:r>
              <w:rPr>
                <w:rFonts w:ascii="Cambria Math" w:hAnsi="Cambria Math" w:eastAsia="Cambria Math"/>
                <w:sz w:val="22"/>
              </w:rPr>
              <m:t>k</m:t>
            </m:r>
          </m:sub>
        </m:sSub>
        <m:r>
          <w:rPr>
            <w:rFonts w:ascii="Cambria Math" w:hAnsi="Cambria Math" w:eastAsia="Cambria Math"/>
            <w:sz w:val="22"/>
          </w:rPr>
          <m:t> </m:t>
        </m:r>
        <m:sSub>
          <m:e>
            <m:r>
              <w:rPr>
                <w:rFonts w:ascii="Cambria Math" w:hAnsi="Cambria Math" w:eastAsia="Cambria Math"/>
                <w:sz w:val="22"/>
              </w:rPr>
              <m:t>ψ(g)</m:t>
            </m:r>
          </m:e>
          <m:sub>
            <m:r>
              <w:rPr>
                <w:rFonts w:ascii="Cambria Math" w:hAnsi="Cambria Math" w:eastAsia="Cambria Math"/>
                <w:sz w:val="22"/>
              </w:rPr>
              <m:t>k</m:t>
            </m:r>
          </m:sub>
        </m:sSub>
      </m:oMath>
      <w:r>
        <w:rPr>
          <w:sz w:val="18"/>
        </w:rPr>
        <w:t xml:space="preserve">    式6</w:t>
      </w:r>
    </w:p>
    <w:p w14:paraId="00100110" w14:textId="00100111">
      <w:pPr>
        <w:widowControl/>
      </w:pPr>
      <w:r>
        <w:rPr>
          <w:b w:val="0"/>
        </w:rPr>
        <w:t>式6通过逐点网络提取特征，在有效点集合 V 上做最大池化，再进行分类。掩码防止填充点参与池化。共享逐点计算与对称聚合适合群内点序变化，不要求人为指定成员排列顺序。</w:t>
      </w:r>
    </w:p>
    <w:p w14:paraId="00100D38" w14:textId="00100D39">
      <w:pPr>
        <w:pStyle w:val="Heading2"/>
      </w:pPr>
      <w:r>
        <w:rPr/>
        <w:t xml:space="preserve">算法流程</w:t>
      </w:r>
    </w:p>
    <w:p w14:paraId="00100D3A" w14:textId="00100D3B">
      <w:pPr>
        <w:pStyle w:val="Normal"/>
      </w:pPr>
      <w:r>
        <w:rPr/>
        <w:t xml:space="preserve">单次识别按集群独立执行。聚类给出成员集合后，按该集群的共同时间戳对齐轨迹，取末两个共同时间帧的位置；以两帧位移的均值估计航向；对当前帧点集执行式5的标准化；逐点网络输出五个类别的 logits；取最大值对应的类别作为该集群队形。任一集群失败只标记该集群，不阻断其他集群。</w:t>
      </w:r>
    </w:p>
    <w:p w14:paraId="00100D3C" w14:textId="00100D3D">
      <w:pPr>
        <w:pStyle w:val="Normal"/>
      </w:pPr>
      <w:r>
        <w:rPr/>
        <w:t xml:space="preserve">成员数不大于 2 时不进入网络，直接返回 none；3 架及以上才进入五类分类。原因有两点：两点只能确定一条线段，无法区分 arc、vshape 等形状；训练样本也只保留成员数不少于 3 的编组。</w:t>
      </w:r>
    </w:p>
    <w:p w14:paraId="00100D3E" w14:textId="00100D3F">
      <w:pPr>
        <w:pStyle w:val="Normal"/>
      </w:pPr>
      <w:r>
        <w:rPr/>
        <w:t xml:space="preserve">航向由末两帧位移均值给出。位移过小或为零时，PointNet 推理模块回退到固定方向 (0, -1)，避免零向量除法；该回退只影响航向对齐，不改变点集本身。</w:t>
      </w:r>
    </w:p>
    <w:p w14:paraId="00100D40" w14:textId="00100D41">
      <w:pPr>
        <w:pStyle w:val="Heading2"/>
      </w:pPr>
      <w:r>
        <w:rPr/>
        <w:t xml:space="preserve">网络结构与参数量</w:t>
      </w:r>
    </w:p>
    <w:p w14:paraId="00100D42" w14:textId="00100D43">
      <w:pPr>
        <w:pStyle w:val="Normal"/>
      </w:pPr>
      <w:r>
        <w:rPr/>
        <w:t xml:space="preserve">网络按点集分类组织：输入张量为（批大小，点数，2），只使用 x、y 两个坐标；三层核大小为 1 的一维卷积逐点升维，通道数依次为 2→128、128→128、128→128，每层后接批归一化与 ReLU；在有效点掩码上做逐通道最大池化，得到 128 维群级特征；再经 128→128 全连接、ReLU、Dropout 0.3 和 128→5 全连接输出 logits。张量维度与实际 forward 的对应关系见第23.7节。</w:t>
      </w:r>
    </w:p>
    <w:p w14:paraId="00100D44" w14:textId="00100D45">
      <w:pPr>
        <w:pStyle w:val="Normal"/>
      </w:pPr>
      <w:r>
        <w:rPr/>
        <w:t xml:space="preserve">可训练参数 51333 个，其中卷积层 384、16512、16512，三层批归一化 768，两个全连接层 16512 和 645；float32 权重约 0.20 MB，不含批归一化的运行均值和方差。推理使用 eval 模式关闭 Dropout，逐群批大小通常为 1。</w:t>
      </w:r>
    </w:p>
    <w:p w14:paraId="00100D46" w14:textId="00100D47">
      <w:pPr>
        <w:pStyle w:val="Normal"/>
      </w:pPr>
      <w:r>
        <w:rPr/>
        <w:t xml:space="preserve">逐点共享参数与对称池化使模型对成员排列不敏感，点数变化不需要修改网络结构，掩码保证填充点不参与池化。仓库中还保留过 GRU 循环网络和 Set Transformer 两种实现，当前均未启用；早期把相邻点相对位移拼入输入的 SpatialFeatConv 也已停用，训练与推理统一为二维坐标输入。</w:t>
      </w:r>
    </w:p>
    <w:p w14:paraId="00100D48" w14:textId="00100D49">
      <w:pPr>
        <w:pStyle w:val="Heading2"/>
      </w:pPr>
      <w:r>
        <w:rPr/>
        <w:t xml:space="preserve">训练数据</w:t>
      </w:r>
    </w:p>
    <w:p w14:paraId="00100D4A" w14:textId="00100D4B">
      <w:pPr>
        <w:pStyle w:val="Normal"/>
      </w:pPr>
      <w:r>
        <w:rPr/>
        <w:t xml:space="preserve">当前权重使用 2026 年 2 月生成的一对仿真数据：训练集 9100 条，评估集 4004 条。训练集各类为 vertical 2030、arc 1876、circular 1820、vshape 1750、horizontal 1624；评估集为 vshape 896、vertical 812、horizontal 798、circular 756、arc 742。</w:t>
      </w:r>
    </w:p>
    <w:p w14:paraId="00100D4C" w14:textId="00100D4D">
      <w:pPr>
        <w:pStyle w:val="Normal"/>
      </w:pPr>
      <w:r>
        <w:rPr/>
        <w:t xml:space="preserve">样本来自 agents02 仿真链路：每个航段随机选择 circular、vertical、horizontal、vshape、arc 之一，按编队模板生成成员轨迹，再由 raw_trajectories_batch_convert.py 转换。转换按（segment_key，frame_id）把同一帧、同一编组的成员聚合为一条样本，经纬度转 UTM，用帧间位移计算成员速度并以速度均值写入 direction，wedge 统一映射为 vshape，丢弃成员数少于 3 的编组。</w:t>
      </w:r>
    </w:p>
    <w:p w14:paraId="00100D4E" w14:textId="00100D4F">
      <w:pPr>
        <w:pStyle w:val="Normal"/>
      </w:pPr>
      <w:r>
        <w:rPr/>
        <w:t xml:space="preserve">单条样本包含 formtype、fleet_locs（每个成员的 x、y、vx、vy）、direction、segment_key、frame_id 和 timestamp。训练只读取 x、y 与 direction，vx、vy 仅用于生成 direction。原始轨迹目录未随仓库保存，重新生成需要重跑仿真。</w:t>
      </w:r>
    </w:p>
    <w:p w14:paraId="00100D50" w14:textId="00100D51">
      <w:pPr>
        <w:pStyle w:val="Normal"/>
      </w:pPr>
      <w:r>
        <w:rPr/>
        <w:t xml:space="preserve">仓库中另有一套纯几何模板数据 formation_template_dataset 和一套六类旧数据 auto_formation_recog 文本文件，分别服务于模板分支和旧 RNN 分支，类别定义与当前五类权重不同，不能混用。</w:t>
      </w:r>
    </w:p>
    <w:p w14:paraId="00100D52" w14:textId="00100D53">
      <w:pPr>
        <w:pStyle w:val="Heading2"/>
      </w:pPr>
      <w:r>
        <w:rPr/>
        <w:t xml:space="preserve">训练设置与权重</w:t>
      </w:r>
    </w:p>
    <w:p w14:paraId="00100D54" w14:textId="00100D55">
      <w:pPr>
        <w:pStyle w:val="Normal"/>
      </w:pPr>
      <w:r>
        <w:rPr/>
        <w:t xml:space="preserve">损失函数为交叉熵，优化器 Adam，初始学习率 1e-3，批大小 32；学习率按评估损失经 ReduceLROnPlateau 衰减，factor 0.1，patience 4。脚本按设置的最大轮数训练，每轮在评估集上计算准确率，达到 0.99 即提前停止；当前训练入口的最大轮数为 20。fit_on_data 的分段学习率参数目前未生效，实际调度以平台衰减为准。</w:t>
      </w:r>
    </w:p>
    <w:p w14:paraId="00100D56" w14:textId="00100D85">
      <w:pPr>
        <w:pStyle w:val="Normal"/>
      </w:pPr>
      <w:r>
        <w:rPr/>
        <w:t xml:space="preserve">训练样本按点数降序排序后填充，填充值为 0，配合掩码池化；评估与训练使用相同的标准化和批量组织。权重按时间戳保存，部署固定使用 form_recog_model_20260812_200622.pth，该文件为五类 PointNet、隐藏维 128。训练工程的权重目录中还保留五个六类 GRU 权重、一个四类 PointNet 权重和两个早期五类 PointNet 权重；加载前会校验 fc2.weight 是否存在及其类别维，避免引擎与权重错配。</w:t>
      </w:r>
    </w:p>
    <w:p w14:paraId="00100D58" w14:textId="00100D59">
      <w:pPr>
        <w:pStyle w:val="Normal"/>
      </w:pPr>
      <w:r>
        <w:rPr/>
        <w:t xml:space="preserve">离线评估脚本自动选择最新且类别数为 5 的 PointNet 权重，因此不先训练而直接测试可能选到旧权重。类别顺序 circular、vertical、horizontal、vshape、arc 在训练、评估和部署三处必须一致，索引即标签。</w:t>
      </w:r>
    </w:p>
    <w:p w14:paraId="00100D5A" w14:textId="00100D5B">
      <w:pPr>
        <w:pStyle w:val="Heading2"/>
      </w:pPr>
      <w:r>
        <w:rPr/>
        <w:t xml:space="preserve">工程集成与引擎选择</w:t>
      </w:r>
    </w:p>
    <w:p w14:paraId="00100D5C" w14:textId="00100D5D">
      <w:pPr>
        <w:pStyle w:val="Normal"/>
      </w:pPr>
      <w:r>
        <w:rPr/>
        <w:t xml:space="preserve">latest 工程通过 get_formation_recognizer 统一创建识别器：config.ini 的 FORMATION_RECOG_ENGINE 为 pointnet 时使用本模型，否则回退到六类 GRU。引擎内部固定类别表，外部传入的 form_types 被忽略，避免旧配置把五类权重按六类解释。</w:t>
      </w:r>
    </w:p>
    <w:p w14:paraId="00100D5E" w14:textId="00100D5F">
      <w:pPr>
        <w:pStyle w:val="Normal"/>
      </w:pPr>
      <w:r>
        <w:rPr/>
        <w:t xml:space="preserve">三个运行入口都经过该工厂：HTTP 接口 get_fleet_formtype 经 main_apis.recog_fleet_formtype；新研判服务的 legacy_adapter 按集群独立识别，并写入 diagnostics.formationRecognition；意图识别的 infer_cluster_formations。服务启动时预热一次模型，设备由 FORMATION_RECOG_DEVICE 控制，默认 CPU。</w:t>
      </w:r>
    </w:p>
    <w:p w14:paraId="00100D60" w14:textId="00100D61">
      <w:pPr>
        <w:pStyle w:val="Normal"/>
      </w:pPr>
      <w:r>
        <w:rPr/>
        <w:t xml:space="preserve">PointNet 模块单独实现标准化，使用均值居中；旧 RNN 版使用最小 y 点对齐，两者不可互换，切换引擎时必须同步切换实现。配置文件缺失时工厂默认按 rnn 处理；当前五类类别表不含 echelon，双机规则会因此报错，这是回退路径的已知限制。</w:t>
      </w:r>
    </w:p>
    <w:p w14:paraId="00100D62" w14:textId="00100D63">
      <w:pPr>
        <w:pStyle w:val="Heading2"/>
      </w:pPr>
      <w:r>
        <w:rPr/>
        <w:t xml:space="preserve">性能指标</w:t>
      </w:r>
    </w:p>
    <w:p w14:paraId="00100D64" w14:textId="00100D65">
      <w:pPr>
        <w:pStyle w:val="Normal"/>
      </w:pPr>
      <w:r>
        <w:rPr/>
        <w:t xml:space="preserve">本次在配套评估文件 eval_data_uav_trajectories_merged_20260207_025348.json 上复核当前权重，4004 条样本的交叉熵损失为 0.2510，准确率 0.9053，macro F1 0.9061，weighted F1 0.9060。逐类精确率与召回率分别为：circular 0.9973 与 0.9616，vertical 0.9246 与 0.9667，horizontal 0.8403 与 0.9098，vshape 0.9786 与 0.8181，arc 0.8044 与 0.8814；对应 F1 依次为 0.9791、0.9452、0.8736、0.8912、0.8412。</w:t>
      </w:r>
    </w:p>
    <w:p w14:paraId="00100D66" w14:textId="00100D67">
      <w:pPr>
        <w:pStyle w:val="Normal"/>
      </w:pPr>
      <w:r>
        <w:rPr/>
        <w:t xml:space="preserve">主要混淆发生在几何相邻的类别：arc 与 horizontal 互相误判 103 条，其中 arc 判为 horizontal 54 条、horizontal 判为 arc 49 条；vshape 与 arc 互相误判 115 条，其中 vshape 判为 arc 99 条、arc 判为 vshape 16 条；vertical 与 horizontal 互相误判 47 条；vshape 判为 horizontal 46 条。circular 的精确率最高，vshape 的召回率最低。</w:t>
      </w:r>
    </w:p>
    <w:p w14:paraId="00100D68" w14:textId="00100D69">
      <w:pPr>
        <w:pStyle w:val="Normal"/>
      </w:pPr>
      <w:r>
        <w:rPr/>
        <w:t xml:space="preserve">单模型前向实测条件为 13 点、预热 50 次、计时 500 次、PyTorch 2.5.0。CPU 常驻前向均值 0.146 ms，含张量传输均值 0.148 ms、P95 0.207 ms；RTX 4090 上常驻前向 0.387 ms，含传输 0.510 ms、P95 0.728 ms。模型规模很小，GPU 的启动和传输开销超过计算收益，默认 CPU 更合适。</w:t>
      </w:r>
    </w:p>
    <w:p w14:paraId="00100D6A" w14:textId="00100D6B">
      <w:pPr>
        <w:pStyle w:val="Normal"/>
      </w:pPr>
      <w:r>
        <w:rPr/>
        <w:t xml:space="preserve">上述指标来自与训练同源的仿真评估集，属于同分布留出集，只能证明实现一致性和回归稳定性，不满足第16章要求的独立标注条件，不能作为真实场景的识别准确率。评估集来自与训练分开的原始目录，但是否按场景或轨迹来源完全隔离，仓库内没有记录，仍需核查。</w:t>
      </w:r>
    </w:p>
    <w:tbl>
      <w:tblPr>
        <w:tblW w:w="0" w:type="auto"/>
        <w:jc w:val="center"/>
        <w:tblLayout w:type="fixed"/>
        <w:tblLook w:val="04A0" w:firstRow="1" w:lastRow="0" w:firstColumn="1" w:lastColumn="0" w:noHBand="0" w:noVBand="1"/>
      </w:tblPr>
      <w:tblGrid>
        <w:gridCol w:w="1800"/>
        <w:gridCol w:w="8136"/>
      </w:tblGrid>
      <w:tr>
        <w:trPr>
          <w:tblHeader/>
          <w:cantSplit/>
        </w:trPr>
        <w:tc>
          <w:tcPr>
            <w:tcW w:w="180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112" w14:textId="00100113">
            <w:pPr>
              <w:spacing w:after="0" w:line="269" w:lineRule="auto"/>
            </w:pPr>
            <w:r>
              <w:rPr>
                <w:b/>
                <w:color w:val="000000"/>
                <w:sz w:val="20"/>
              </w:rPr>
              <w:t>项目</w:t>
            </w:r>
          </w:p>
        </w:tc>
        <w:tc>
          <w:tcPr>
            <w:tcW w:w="813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114" w14:textId="00100115">
            <w:pPr>
              <w:spacing w:after="0" w:line="269" w:lineRule="auto"/>
            </w:pPr>
            <w:r>
              <w:rPr>
                <w:b/>
                <w:color w:val="000000"/>
                <w:sz w:val="20"/>
              </w:rPr>
              <w:t>当前实现</w:t>
            </w:r>
          </w:p>
        </w:tc>
      </w:tr>
      <w:tr>
        <w:trPr>
          <w:cantSplit/>
        </w:trPr>
        <w:tc>
          <w:tcPr>
            <w:tcW w:w="180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16" w14:textId="00100117">
            <w:pPr>
              <w:spacing w:after="0" w:line="269" w:lineRule="auto"/>
            </w:pPr>
            <w:r>
              <w:rPr>
                <w:b w:val="0"/>
                <w:color w:val="000000"/>
                <w:sz w:val="20"/>
              </w:rPr>
              <w:t>网络</w:t>
            </w:r>
          </w:p>
        </w:tc>
        <w:tc>
          <w:tcPr>
            <w:tcW w:w="81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18" w14:textId="00100119">
            <w:pPr>
              <w:spacing w:after="0" w:line="269" w:lineRule="auto"/>
            </w:pPr>
            <w:r>
              <w:rPr>
                <w:b w:val="0"/>
                <w:color w:val="000000"/>
                <w:sz w:val="20"/>
              </w:rPr>
              <w:t>3层核大小1的Conv1d，BatchNorm与ReLU；隐藏维128；最大池化；全连接与Dropout 0.3</w:t>
            </w:r>
          </w:p>
        </w:tc>
      </w:tr>
      <w:tr>
        <w:trPr>
          <w:cantSplit/>
        </w:trPr>
        <w:tc>
          <w:tcPr>
            <w:tcW w:w="180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1A" w14:textId="0010011B">
            <w:pPr>
              <w:spacing w:after="0" w:line="269" w:lineRule="auto"/>
            </w:pPr>
            <w:r>
              <w:rPr>
                <w:b w:val="0"/>
                <w:color w:val="000000"/>
                <w:sz w:val="20"/>
              </w:rPr>
              <w:t>类别</w:t>
            </w:r>
          </w:p>
        </w:tc>
        <w:tc>
          <w:tcPr>
            <w:tcW w:w="81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1C" w14:textId="0010011D">
            <w:pPr>
              <w:spacing w:after="0" w:line="269" w:lineRule="auto"/>
            </w:pPr>
            <w:r>
              <w:rPr>
                <w:b w:val="0"/>
                <w:color w:val="000000"/>
                <w:sz w:val="20"/>
              </w:rPr>
              <w:t>circular、vertical、horizontal、vshape、arc</w:t>
            </w:r>
          </w:p>
        </w:tc>
      </w:tr>
      <w:tr>
        <w:trPr>
          <w:cantSplit/>
        </w:trPr>
        <w:tc>
          <w:tcPr>
            <w:tcW w:w="180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1E" w14:textId="0010011F">
            <w:pPr>
              <w:spacing w:after="0" w:line="269" w:lineRule="auto"/>
            </w:pPr>
            <w:r>
              <w:rPr>
                <w:b w:val="0"/>
                <w:color w:val="000000"/>
                <w:sz w:val="20"/>
              </w:rPr>
              <w:t>适用群规模</w:t>
            </w:r>
          </w:p>
        </w:tc>
        <w:tc>
          <w:tcPr>
            <w:tcW w:w="81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20" w14:textId="00100121">
            <w:pPr>
              <w:spacing w:after="0" w:line="269" w:lineRule="auto"/>
            </w:pPr>
            <w:r>
              <w:rPr>
                <w:b w:val="0"/>
                <w:color w:val="000000"/>
                <w:sz w:val="20"/>
              </w:rPr>
              <w:t>大于2机进入五类分类；单机与双机为 none</w:t>
            </w:r>
          </w:p>
        </w:tc>
      </w:tr>
      <w:tr>
        <w:trPr>
          <w:cantSplit/>
        </w:trPr>
        <w:tc>
          <w:tcPr>
            <w:tcW w:w="180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22" w14:textId="00100123">
            <w:pPr>
              <w:spacing w:after="0" w:line="269" w:lineRule="auto"/>
            </w:pPr>
            <w:r>
              <w:rPr>
                <w:b w:val="0"/>
                <w:color w:val="000000"/>
                <w:sz w:val="20"/>
              </w:rPr>
              <w:t>输出性质</w:t>
            </w:r>
          </w:p>
        </w:tc>
        <w:tc>
          <w:tcPr>
            <w:tcW w:w="81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24" w14:textId="00100125">
            <w:pPr>
              <w:spacing w:after="0" w:line="269" w:lineRule="auto"/>
            </w:pPr>
            <w:r>
              <w:rPr>
                <w:b w:val="0"/>
                <w:color w:val="000000"/>
                <w:sz w:val="20"/>
              </w:rPr>
              <w:t>由 logits 的 argmax 选类；无校准概率输出</w:t>
            </w:r>
          </w:p>
        </w:tc>
      </w:tr>
      <w:tr>
        <w:trPr>
          <w:cantSplit/>
        </w:trPr>
        <w:tc>
          <w:tcPr>
            <w:tcW w:w="1800" w:type="dxa"/>
            <w:tcBorders>
              <w:top w:val="single" w:color="D9D9D9" w:sz="4"/>
              <w:left w:val="single" w:color="D9D9D9" w:sz="4"/>
              <w:bottom w:val="single" w:color="D9D9D9" w:sz="4"/>
              <w:right w:val="single" w:color="D9D9D9" w:sz="4"/>
            </w:tcBorders>
            <w:shd w:val="clear" w:fill="FFFFFF"/>
            <w:tcMar>
              <w:top w:w="75" w:type="dxa"/>
              <w:left w:w="95" w:type="dxa"/>
              <w:bottom w:w="75" w:type="dxa"/>
              <w:right w:w="95" w:type="dxa"/>
            </w:tcMar>
            <w:vAlign w:val="center"/>
          </w:tcPr>
          <w:p w14:paraId="00100D6E" w14:textId="00100D6F">
            <w:pPr>
              <w:jc w:val="center"/>
              <w:rPr>
                <w:b w:val="false"/>
                <w:color w:val="000000"/>
                <w:sz w:val="20"/>
              </w:rPr>
            </w:pPr>
            <w:r>
              <w:rPr>
                <w:b w:val="false"/>
                <w:color w:val="000000"/>
                <w:sz w:val="20"/>
              </w:rPr>
              <w:t xml:space="preserve">权重</w:t>
            </w:r>
          </w:p>
        </w:tc>
        <w:tc>
          <w:tcPr>
            <w:tcW w:w="8136" w:type="dxa"/>
            <w:tcBorders>
              <w:top w:val="single" w:color="D9D9D9" w:sz="4"/>
              <w:left w:val="single" w:color="D9D9D9" w:sz="4"/>
              <w:bottom w:val="single" w:color="D9D9D9" w:sz="4"/>
              <w:right w:val="single" w:color="D9D9D9" w:sz="4"/>
            </w:tcBorders>
            <w:shd w:val="clear" w:fill="FFFFFF"/>
            <w:tcMar>
              <w:top w:w="75" w:type="dxa"/>
              <w:left w:w="95" w:type="dxa"/>
              <w:bottom w:w="75" w:type="dxa"/>
              <w:right w:w="95" w:type="dxa"/>
            </w:tcMar>
            <w:vAlign w:val="center"/>
          </w:tcPr>
          <w:p w14:paraId="00100D70" w14:textId="00100D71">
            <w:pPr>
              <w:rPr>
                <w:b w:val="false"/>
                <w:color w:val="000000"/>
                <w:sz w:val="20"/>
              </w:rPr>
            </w:pPr>
            <w:r>
              <w:rPr>
                <w:b w:val="false"/>
                <w:color w:val="000000"/>
                <w:sz w:val="20"/>
              </w:rPr>
              <w:t xml:space="preserve">form_recog_model_20260812_200622.pth（五类 PointNet，隐藏维 128）</w:t>
            </w:r>
          </w:p>
        </w:tc>
      </w:tr>
      <w:tr>
        <w:trPr>
          <w:cantSplit/>
        </w:trPr>
        <w:tc>
          <w:tcPr>
            <w:tcW w:w="1800" w:type="dxa"/>
            <w:tcBorders>
              <w:top w:val="single" w:color="D9D9D9" w:sz="4"/>
              <w:left w:val="single" w:color="D9D9D9" w:sz="4"/>
              <w:bottom w:val="single" w:color="D9D9D9" w:sz="4"/>
              <w:right w:val="single" w:color="D9D9D9" w:sz="4"/>
            </w:tcBorders>
            <w:shd w:val="clear" w:fill="F4F6F8"/>
            <w:tcMar>
              <w:top w:w="75" w:type="dxa"/>
              <w:left w:w="95" w:type="dxa"/>
              <w:bottom w:w="75" w:type="dxa"/>
              <w:right w:w="95" w:type="dxa"/>
            </w:tcMar>
            <w:vAlign w:val="center"/>
          </w:tcPr>
          <w:p w14:paraId="00100D72" w14:textId="00100D73">
            <w:pPr>
              <w:jc w:val="center"/>
              <w:rPr>
                <w:b w:val="false"/>
                <w:color w:val="000000"/>
                <w:sz w:val="20"/>
              </w:rPr>
            </w:pPr>
            <w:r>
              <w:rPr>
                <w:b w:val="false"/>
                <w:color w:val="000000"/>
                <w:sz w:val="20"/>
              </w:rPr>
              <w:t xml:space="preserve">参数量</w:t>
            </w:r>
          </w:p>
        </w:tc>
        <w:tc>
          <w:tcPr>
            <w:tcW w:w="8136" w:type="dxa"/>
            <w:tcBorders>
              <w:top w:val="single" w:color="D9D9D9" w:sz="4"/>
              <w:left w:val="single" w:color="D9D9D9" w:sz="4"/>
              <w:bottom w:val="single" w:color="D9D9D9" w:sz="4"/>
              <w:right w:val="single" w:color="D9D9D9" w:sz="4"/>
            </w:tcBorders>
            <w:shd w:val="clear" w:fill="F4F6F8"/>
            <w:tcMar>
              <w:top w:w="75" w:type="dxa"/>
              <w:left w:w="95" w:type="dxa"/>
              <w:bottom w:w="75" w:type="dxa"/>
              <w:right w:w="95" w:type="dxa"/>
            </w:tcMar>
            <w:vAlign w:val="center"/>
          </w:tcPr>
          <w:p w14:paraId="00100D74" w14:textId="00100D75">
            <w:pPr>
              <w:rPr>
                <w:b w:val="false"/>
                <w:color w:val="000000"/>
                <w:sz w:val="20"/>
              </w:rPr>
            </w:pPr>
            <w:r>
              <w:rPr>
                <w:b w:val="false"/>
                <w:color w:val="000000"/>
                <w:sz w:val="20"/>
              </w:rPr>
              <w:t xml:space="preserve">可训练参数 51333 个；float32 约 0.20 MB</w:t>
            </w:r>
          </w:p>
        </w:tc>
      </w:tr>
      <w:tr>
        <w:trPr>
          <w:cantSplit/>
        </w:trPr>
        <w:tc>
          <w:tcPr>
            <w:tcW w:w="1800" w:type="dxa"/>
            <w:tcBorders>
              <w:top w:val="single" w:color="D9D9D9" w:sz="4"/>
              <w:left w:val="single" w:color="D9D9D9" w:sz="4"/>
              <w:bottom w:val="single" w:color="D9D9D9" w:sz="4"/>
              <w:right w:val="single" w:color="D9D9D9" w:sz="4"/>
            </w:tcBorders>
            <w:shd w:val="clear" w:fill="FFFFFF"/>
            <w:tcMar>
              <w:top w:w="75" w:type="dxa"/>
              <w:left w:w="95" w:type="dxa"/>
              <w:bottom w:w="75" w:type="dxa"/>
              <w:right w:w="95" w:type="dxa"/>
            </w:tcMar>
            <w:vAlign w:val="center"/>
          </w:tcPr>
          <w:p w14:paraId="00100D76" w14:textId="00100D77">
            <w:pPr>
              <w:jc w:val="center"/>
              <w:rPr>
                <w:b w:val="false"/>
                <w:color w:val="000000"/>
                <w:sz w:val="20"/>
              </w:rPr>
            </w:pPr>
            <w:r>
              <w:rPr>
                <w:b w:val="false"/>
                <w:color w:val="000000"/>
                <w:sz w:val="20"/>
              </w:rPr>
              <w:t xml:space="preserve">训练数据</w:t>
            </w:r>
          </w:p>
        </w:tc>
        <w:tc>
          <w:tcPr>
            <w:tcW w:w="8136" w:type="dxa"/>
            <w:tcBorders>
              <w:top w:val="single" w:color="D9D9D9" w:sz="4"/>
              <w:left w:val="single" w:color="D9D9D9" w:sz="4"/>
              <w:bottom w:val="single" w:color="D9D9D9" w:sz="4"/>
              <w:right w:val="single" w:color="D9D9D9" w:sz="4"/>
            </w:tcBorders>
            <w:shd w:val="clear" w:fill="FFFFFF"/>
            <w:tcMar>
              <w:top w:w="75" w:type="dxa"/>
              <w:left w:w="95" w:type="dxa"/>
              <w:bottom w:w="75" w:type="dxa"/>
              <w:right w:w="95" w:type="dxa"/>
            </w:tcMar>
            <w:vAlign w:val="center"/>
          </w:tcPr>
          <w:p w14:paraId="00100D78" w14:textId="00100D79">
            <w:pPr>
              <w:rPr>
                <w:b w:val="false"/>
                <w:color w:val="000000"/>
                <w:sz w:val="20"/>
              </w:rPr>
            </w:pPr>
            <w:r>
              <w:rPr>
                <w:b w:val="false"/>
                <w:color w:val="000000"/>
                <w:sz w:val="20"/>
              </w:rPr>
              <w:t xml:space="preserve">训练 9100 条、评估 4004 条；五类仿真轨迹，编组成员不少于 3</w:t>
            </w:r>
          </w:p>
        </w:tc>
      </w:tr>
      <w:tr>
        <w:trPr>
          <w:cantSplit/>
        </w:trPr>
        <w:tc>
          <w:tcPr>
            <w:tcW w:w="1800" w:type="dxa"/>
            <w:tcBorders>
              <w:top w:val="single" w:color="D9D9D9" w:sz="4"/>
              <w:left w:val="single" w:color="D9D9D9" w:sz="4"/>
              <w:bottom w:val="single" w:color="D9D9D9" w:sz="4"/>
              <w:right w:val="single" w:color="D9D9D9" w:sz="4"/>
            </w:tcBorders>
            <w:shd w:val="clear" w:fill="F4F6F8"/>
            <w:tcMar>
              <w:top w:w="75" w:type="dxa"/>
              <w:left w:w="95" w:type="dxa"/>
              <w:bottom w:w="75" w:type="dxa"/>
              <w:right w:w="95" w:type="dxa"/>
            </w:tcMar>
            <w:vAlign w:val="center"/>
          </w:tcPr>
          <w:p w14:paraId="00100D7A" w14:textId="00100D7B">
            <w:pPr>
              <w:jc w:val="center"/>
              <w:rPr>
                <w:b w:val="false"/>
                <w:color w:val="000000"/>
                <w:sz w:val="20"/>
              </w:rPr>
            </w:pPr>
            <w:r>
              <w:rPr>
                <w:b w:val="false"/>
                <w:color w:val="000000"/>
                <w:sz w:val="20"/>
              </w:rPr>
              <w:t xml:space="preserve">训练设置</w:t>
            </w:r>
          </w:p>
        </w:tc>
        <w:tc>
          <w:tcPr>
            <w:tcW w:w="8136" w:type="dxa"/>
            <w:tcBorders>
              <w:top w:val="single" w:color="D9D9D9" w:sz="4"/>
              <w:left w:val="single" w:color="D9D9D9" w:sz="4"/>
              <w:bottom w:val="single" w:color="D9D9D9" w:sz="4"/>
              <w:right w:val="single" w:color="D9D9D9" w:sz="4"/>
            </w:tcBorders>
            <w:shd w:val="clear" w:fill="F4F6F8"/>
            <w:tcMar>
              <w:top w:w="75" w:type="dxa"/>
              <w:left w:w="95" w:type="dxa"/>
              <w:bottom w:w="75" w:type="dxa"/>
              <w:right w:w="95" w:type="dxa"/>
            </w:tcMar>
            <w:vAlign w:val="center"/>
          </w:tcPr>
          <w:p w14:paraId="00100D7C" w14:textId="00100D7D">
            <w:pPr>
              <w:rPr>
                <w:b w:val="false"/>
                <w:color w:val="000000"/>
                <w:sz w:val="20"/>
              </w:rPr>
            </w:pPr>
            <w:r>
              <w:rPr>
                <w:b w:val="false"/>
                <w:color w:val="000000"/>
                <w:sz w:val="20"/>
              </w:rPr>
              <w:t xml:space="preserve">Adam 1e-3，批 32，交叉熵；评估准确率 0.99 提前停止</w:t>
            </w:r>
          </w:p>
        </w:tc>
      </w:tr>
      <w:tr>
        <w:trPr>
          <w:cantSplit/>
        </w:trPr>
        <w:tc>
          <w:tcPr>
            <w:tcW w:w="1800" w:type="dxa"/>
            <w:tcBorders>
              <w:top w:val="single" w:color="D9D9D9" w:sz="4"/>
              <w:left w:val="single" w:color="D9D9D9" w:sz="4"/>
              <w:bottom w:val="single" w:color="D9D9D9" w:sz="4"/>
              <w:right w:val="single" w:color="D9D9D9" w:sz="4"/>
            </w:tcBorders>
            <w:shd w:val="clear" w:fill="FFFFFF"/>
            <w:tcMar>
              <w:top w:w="75" w:type="dxa"/>
              <w:left w:w="95" w:type="dxa"/>
              <w:bottom w:w="75" w:type="dxa"/>
              <w:right w:w="95" w:type="dxa"/>
            </w:tcMar>
            <w:vAlign w:val="center"/>
          </w:tcPr>
          <w:p w14:paraId="00100D7E" w14:textId="00100D7F">
            <w:pPr>
              <w:jc w:val="center"/>
              <w:rPr>
                <w:b w:val="false"/>
                <w:color w:val="000000"/>
                <w:sz w:val="20"/>
              </w:rPr>
            </w:pPr>
            <w:r>
              <w:rPr>
                <w:b w:val="false"/>
                <w:color w:val="000000"/>
                <w:sz w:val="20"/>
              </w:rPr>
              <w:t xml:space="preserve">离线指标</w:t>
            </w:r>
          </w:p>
        </w:tc>
        <w:tc>
          <w:tcPr>
            <w:tcW w:w="8136" w:type="dxa"/>
            <w:tcBorders>
              <w:top w:val="single" w:color="D9D9D9" w:sz="4"/>
              <w:left w:val="single" w:color="D9D9D9" w:sz="4"/>
              <w:bottom w:val="single" w:color="D9D9D9" w:sz="4"/>
              <w:right w:val="single" w:color="D9D9D9" w:sz="4"/>
            </w:tcBorders>
            <w:shd w:val="clear" w:fill="FFFFFF"/>
            <w:tcMar>
              <w:top w:w="75" w:type="dxa"/>
              <w:left w:w="95" w:type="dxa"/>
              <w:bottom w:w="75" w:type="dxa"/>
              <w:right w:w="95" w:type="dxa"/>
            </w:tcMar>
            <w:vAlign w:val="center"/>
          </w:tcPr>
          <w:p w14:paraId="00100D80" w14:textId="00100D81">
            <w:pPr>
              <w:rPr>
                <w:b w:val="false"/>
                <w:color w:val="000000"/>
                <w:sz w:val="20"/>
              </w:rPr>
            </w:pPr>
            <w:r>
              <w:rPr>
                <w:b w:val="false"/>
                <w:color w:val="000000"/>
                <w:sz w:val="20"/>
              </w:rPr>
              <w:t xml:space="preserve">同分布评估集准确率 0.9053，macro F1 0.9061</w:t>
            </w:r>
          </w:p>
        </w:tc>
      </w:tr>
      <w:tr>
        <w:trPr>
          <w:cantSplit/>
        </w:trPr>
        <w:tc>
          <w:tcPr>
            <w:tcW w:w="1800" w:type="dxa"/>
            <w:shd w:val="clear" w:fill="F4F6F8"/>
            <w:vAlign w:val="center"/>
            <w:tcMar>
              <w:top w:w="75" w:type="dxa"/>
              <w:bottom w:w="75" w:type="dxa"/>
              <w:left w:w="95" w:type="dxa"/>
              <w:right w:w="95" w:type="dxa"/>
            </w:tcMar>
            <w:tcBorders>
              <w:top w:val="single" w:color="D9D9D9" w:sz="4"/>
              <w:bottom w:val="single" w:color="D9D9D9" w:sz="4"/>
              <w:left w:val="single" w:color="D9D9D9" w:sz="4"/>
              <w:right w:val="single" w:color="D9D9D9" w:sz="4"/>
            </w:tcBorders>
          </w:tcPr>
          <w:p w14:paraId="00100126" w14:textId="00100127">
            <w:pPr>
              <w:spacing w:after="0" w:line="269" w:lineRule="auto"/>
            </w:pPr>
            <w:r>
              <w:rPr>
                <w:b w:val="0"/>
                <w:color w:val="000000"/>
                <w:sz w:val="20"/>
              </w:rPr>
              <w:t>降级</w:t>
            </w:r>
          </w:p>
        </w:tc>
        <w:tc>
          <w:tcPr>
            <w:tcW w:w="8136" w:type="dxa"/>
            <w:shd w:val="clear" w:fill="F4F6F8"/>
            <w:vAlign w:val="center"/>
            <w:tcMar>
              <w:top w:w="75" w:type="dxa"/>
              <w:bottom w:w="75" w:type="dxa"/>
              <w:left w:w="95" w:type="dxa"/>
              <w:right w:w="95" w:type="dxa"/>
            </w:tcMar>
            <w:tcBorders>
              <w:top w:val="single" w:color="D9D9D9" w:sz="4"/>
              <w:bottom w:val="single" w:color="D9D9D9" w:sz="4"/>
              <w:left w:val="single" w:color="D9D9D9" w:sz="4"/>
              <w:right w:val="single" w:color="D9D9D9" w:sz="4"/>
            </w:tcBorders>
          </w:tcPr>
          <w:p w14:paraId="00100128" w14:textId="00100129">
            <w:pPr>
              <w:spacing w:after="0" w:line="269" w:lineRule="auto"/>
            </w:pPr>
            <w:r>
              <w:rPr>
                <w:b w:val="0"/>
                <w:color w:val="000000"/>
                <w:sz w:val="20"/>
              </w:rPr>
              <w:t>权重、时间对齐或推理失败时返回无可靠队形，并记录诊断</w:t>
            </w:r>
          </w:p>
        </w:tc>
      </w:tr>
    </w:tbl>
    <w:p w14:paraId="0010012A" w14:textId="0010012B">
      <w:pPr>
        <w:spacing w:after="40"/>
      </w:pPr>
    </w:p>
    <w:p w14:paraId="0010012C" w14:textId="0010012D">
      <w:pPr>
        <w:widowControl/>
        <w:spacing w:line="276" w:lineRule="auto"/>
      </w:pPr>
      <w:r>
        <w:rPr>
          <w:b w:val="0"/>
          <w:sz w:val="18"/>
        </w:rPr>
        <w:t>本次固定样本的两个非豁免集群均正常使用 PointNet，并输出 vshape。该结果证明调用路径可运行，不等于已验证队形分类准确率。</w:t>
      </w:r>
    </w:p>
    <w:p w14:paraId="0010012E" w14:textId="00100D82">
      <w:pPr>
        <w:widowControl/>
        <w:spacing w:line="276" w:lineRule="auto"/>
      </w:pPr>
      <w:r>
        <w:rPr>
          <w:b w:val="0"/>
          <w:sz w:val="18"/>
        </w:rPr>
        <w:t xml:space="preserve">实现与证据  formation_recognition_pointnet.py；legacy_adapter.py _recognize_formations；project_reference 第6章 F04；test_main01_clusters.py；权重 form_recog_model_20260812_200622.pth；data 下 20260207 合并训练与评估文件。[S04][S07]</w:t>
      </w:r>
    </w:p>
    <w:p w14:paraId="00100130" w14:textId="00100131">
      <w:r>
        <w:br w:type="page"/>
      </w:r>
    </w:p>
    <w:p w14:paraId="00100132" w14:textId="00100133">
      <w:pPr>
        <w:pStyle w:val="Heading1"/>
      </w:pPr>
      <w:r>
        <w:t>7 统一空间上下文</w:t>
      </w:r>
    </w:p>
    <w:p w14:paraId="00100134" w14:textId="00100D34">
      <w:pPr>
        <w:widowControl/>
      </w:pPr>
      <w:r>
        <w:rPr>
          <w:b w:val="0"/>
        </w:rPr>
        <w:t xml:space="preserve">多个设施、圈层或禁飞区同时存在时，设施选择会改变趋近、距离和风险解释。当前实现先计算一次目标空间关系，再形成 SpatialContext，供意图、威胁、ETA 和防御分析复用，避免跨设施混用证据。下面按输入与有效期、逐区域几何、候选与相关性、上下文构成、集群整合、下游消费和边界限制七个环节展开。</w:t>
      </w:r>
    </w:p>
    <w:p w14:paraId="00100136" w14:textId="00100137">
      <w:pPr>
        <w:pStyle w:val="Heading2"/>
      </w:pPr>
      <w:r>
        <w:t>几何和候选筛选</w:t>
      </w:r>
    </w:p>
    <w:p w14:paraId="00100138" w14:textId="00100139">
      <w:pPr>
        <w:widowControl/>
      </w:pPr>
      <w:r>
        <w:rPr>
          <w:b w:val="0"/>
        </w:rPr>
        <w:t>空间分析包含圆形与多边形内外判断、最近边界距离、进出趋势，以及可用时的高度约束。默认边界容差为 10 米，运动方向窗口为 12 点。已命中有效圈层或禁飞区的目标具有相关性；区域外目标按所属防控空域最外层 warning 边界的距离判断关联范围，默认 5 000 米。</w:t>
      </w:r>
    </w:p>
    <w:p w14:paraId="0010013A" w14:textId="0010013B">
      <w:pPr>
        <w:widowControl/>
      </w:pPr>
      <w:r>
        <w:rPr>
          <w:b w:val="0"/>
        </w:rPr>
        <w:t>这个 5 000 米参考空域外边界，不是所有设施中心的固定半径。缺少 warning 的旧地图按最低可用圈层回退。高度信息不足时不能将未知直接当成已知不相关；仅靠附近独立禁飞区边界也不能随意建立本地设施风险上下文。</w:t>
      </w:r>
    </w:p>
    <w:tbl>
      <w:tblPr>
        <w:tblW w:w="0" w:type="auto"/>
        <w:jc w:val="center"/>
        <w:tblLayout w:type="fixed"/>
        <w:tblLook w:val="04A0" w:firstRow="1" w:lastRow="0" w:firstColumn="1" w:lastColumn="0" w:noHBand="0" w:noVBand="1"/>
      </w:tblPr>
      <w:tblGrid>
        <w:gridCol w:w="2088"/>
        <w:gridCol w:w="3024"/>
        <w:gridCol w:w="4824"/>
      </w:tblGrid>
      <w:tr>
        <w:trPr>
          <w:tblHeader/>
          <w:cantSplit/>
        </w:trPr>
        <w:tc>
          <w:tcPr>
            <w:tcW w:w="208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13C" w14:textId="0010013D">
            <w:pPr>
              <w:spacing w:after="0" w:line="269" w:lineRule="auto"/>
            </w:pPr>
            <w:r>
              <w:rPr>
                <w:b/>
                <w:color w:val="000000"/>
                <w:sz w:val="20"/>
              </w:rPr>
              <w:t>状态</w:t>
            </w:r>
          </w:p>
        </w:tc>
        <w:tc>
          <w:tcPr>
            <w:tcW w:w="302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13E" w14:textId="0010013F">
            <w:pPr>
              <w:spacing w:after="0" w:line="269" w:lineRule="auto"/>
            </w:pPr>
            <w:r>
              <w:rPr>
                <w:b/>
                <w:color w:val="000000"/>
                <w:sz w:val="20"/>
              </w:rPr>
              <w:t>含义</w:t>
            </w:r>
          </w:p>
        </w:tc>
        <w:tc>
          <w:tcPr>
            <w:tcW w:w="482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140" w14:textId="00100141">
            <w:pPr>
              <w:spacing w:after="0" w:line="269" w:lineRule="auto"/>
            </w:pPr>
            <w:r>
              <w:rPr>
                <w:b/>
                <w:color w:val="000000"/>
                <w:sz w:val="20"/>
              </w:rPr>
              <w:t>后续处理</w:t>
            </w:r>
          </w:p>
        </w:tc>
      </w:tr>
      <w:tr>
        <w:trPr>
          <w:cantSplit/>
        </w:trPr>
        <w:tc>
          <w:tcPr>
            <w:tcW w:w="208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42" w14:textId="00100143">
            <w:pPr>
              <w:spacing w:after="0" w:line="269" w:lineRule="auto"/>
            </w:pPr>
            <w:r>
              <w:rPr>
                <w:b w:val="0"/>
                <w:color w:val="000000"/>
                <w:sz w:val="20"/>
              </w:rPr>
              <w:t>relevant</w:t>
            </w:r>
          </w:p>
        </w:tc>
        <w:tc>
          <w:tcPr>
            <w:tcW w:w="30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44" w14:textId="00100145">
            <w:pPr>
              <w:spacing w:after="0" w:line="269" w:lineRule="auto"/>
            </w:pPr>
            <w:r>
              <w:rPr>
                <w:b w:val="0"/>
                <w:color w:val="000000"/>
                <w:sz w:val="20"/>
              </w:rPr>
              <w:t>存在适用的空间依据</w:t>
            </w:r>
          </w:p>
        </w:tc>
        <w:tc>
          <w:tcPr>
            <w:tcW w:w="48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46" w14:textId="00100147">
            <w:pPr>
              <w:spacing w:after="0" w:line="269" w:lineRule="auto"/>
            </w:pPr>
            <w:r>
              <w:rPr>
                <w:b w:val="0"/>
                <w:color w:val="000000"/>
                <w:sz w:val="20"/>
              </w:rPr>
              <w:t>围绕同一上下文进行设施距离、意图和 ETA 分析</w:t>
            </w:r>
          </w:p>
        </w:tc>
      </w:tr>
      <w:tr>
        <w:trPr>
          <w:cantSplit/>
        </w:trPr>
        <w:tc>
          <w:tcPr>
            <w:tcW w:w="208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48" w14:textId="00100149">
            <w:pPr>
              <w:spacing w:after="0" w:line="269" w:lineRule="auto"/>
            </w:pPr>
            <w:r>
              <w:rPr>
                <w:b w:val="0"/>
                <w:color w:val="000000"/>
                <w:sz w:val="20"/>
              </w:rPr>
              <w:t>irrelevant</w:t>
            </w:r>
          </w:p>
        </w:tc>
        <w:tc>
          <w:tcPr>
            <w:tcW w:w="30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4A" w14:textId="0010014B">
            <w:pPr>
              <w:spacing w:after="0" w:line="269" w:lineRule="auto"/>
            </w:pPr>
            <w:r>
              <w:rPr>
                <w:b w:val="0"/>
                <w:color w:val="000000"/>
                <w:sz w:val="20"/>
              </w:rPr>
              <w:t>已知超出空间关联范围</w:t>
            </w:r>
          </w:p>
        </w:tc>
        <w:tc>
          <w:tcPr>
            <w:tcW w:w="48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4C" w14:textId="0010014D">
            <w:pPr>
              <w:spacing w:after="0" w:line="269" w:lineRule="auto"/>
            </w:pPr>
            <w:r>
              <w:rPr>
                <w:b w:val="0"/>
                <w:color w:val="000000"/>
                <w:sz w:val="20"/>
              </w:rPr>
              <w:t>本地威胁默认封顶35；不做本地 ETA 或资源分配</w:t>
            </w:r>
          </w:p>
        </w:tc>
      </w:tr>
      <w:tr>
        <w:trPr>
          <w:cantSplit/>
        </w:trPr>
        <w:tc>
          <w:tcPr>
            <w:tcW w:w="208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4E" w14:textId="0010014F">
            <w:pPr>
              <w:spacing w:after="0" w:line="269" w:lineRule="auto"/>
            </w:pPr>
            <w:r>
              <w:rPr>
                <w:b w:val="0"/>
                <w:color w:val="000000"/>
                <w:sz w:val="20"/>
              </w:rPr>
              <w:t>unavailable 或 uncertain</w:t>
            </w:r>
          </w:p>
        </w:tc>
        <w:tc>
          <w:tcPr>
            <w:tcW w:w="30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50" w14:textId="00100151">
            <w:pPr>
              <w:spacing w:after="0" w:line="269" w:lineRule="auto"/>
            </w:pPr>
            <w:r>
              <w:rPr>
                <w:b w:val="0"/>
                <w:color w:val="000000"/>
                <w:sz w:val="20"/>
              </w:rPr>
              <w:t>地图、高度或关系不足以确定</w:t>
            </w:r>
          </w:p>
        </w:tc>
        <w:tc>
          <w:tcPr>
            <w:tcW w:w="48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52" w14:textId="00100153">
            <w:pPr>
              <w:spacing w:after="0" w:line="269" w:lineRule="auto"/>
            </w:pPr>
            <w:r>
              <w:rPr>
                <w:b w:val="0"/>
                <w:color w:val="000000"/>
                <w:sz w:val="20"/>
              </w:rPr>
              <w:t>保守判读并复核，不套用确定不相关的结论</w:t>
            </w:r>
          </w:p>
        </w:tc>
      </w:tr>
    </w:tbl>
    <w:p w14:paraId="00100154" w14:textId="00100155">
      <w:pPr>
        <w:spacing w:after="40"/>
      </w:pPr>
    </w:p>
    <w:p w14:paraId="00100CB8" w14:textId="00100CB9">
      <w:pPr>
        <w:pStyle w:val="Heading2"/>
      </w:pPr>
      <w:r>
        <w:rPr/>
        <w:t xml:space="preserve">输入构成与有效期过滤</w:t>
      </w:r>
    </w:p>
    <w:p w14:paraId="00100CB6" w14:textId="00100CB7">
      <w:pPr>
        <w:pStyle w:val="Normal"/>
      </w:pPr>
      <w:r>
        <w:rPr/>
        <w:t xml:space="preserve">空间上下文只由三类输入构成：一是 baseData 中的 facilities、rings、airspaces；二是目标的轨迹点、时间戳与高度属性；三是 ruleConfig 中的空间参数。网关在请求未提供任何非空空间列表时整体采用服务默认地图；只要请求提供任一非空列表，就完整采用请求地图，缺失列表按空数组处理，不与默认地图做字段级合并。</w:t>
      </w:r>
    </w:p>
    <w:p w14:paraId="00100CB4" w14:textId="00100CB5">
      <w:pPr>
        <w:pStyle w:val="Normal"/>
      </w:pPr>
      <w:r>
        <w:rPr/>
        <w:t xml:space="preserve">区域进入几何计算前先做有效期过滤：enabled=false、status 属于 disabled/expired/inactive，或当前时刻不在 startTime/endTime（兼容 validFrom/validTo）内的记录不参与计算。圈层统一归一化为圆形（center+radius）或多边形（geometry），ringCode 与 ringLevel 归一为 warn=1、alert=2、core=3；禁飞区只接受 no_fly、statutory_no_fly、temporary_no_fly 等法定类型。</w:t>
      </w:r>
    </w:p>
    <w:p w14:paraId="00100CB2" w14:textId="00100CB3">
      <w:pPr>
        <w:pStyle w:val="Normal"/>
      </w:pPr>
      <w:r>
        <w:rPr/>
        <w:t xml:space="preserve">关联范围的基准不是每一个圈层，而是每个父防控空域的最外层参考圈。算法按 airspaceId 分组，优先取 warn 圈；旧地图没有 warn 圈时取该组最低可用等级；没有 airspaceId 的旧圈层视为独立空域。禁飞区不参与距离外扩，只有实际命中才构成候选。</w:t>
      </w:r>
    </w:p>
    <w:p w14:paraId="00100CB0" w14:textId="00100CB1">
      <w:pPr>
        <w:pStyle w:val="Heading2"/>
      </w:pPr>
      <w:r>
        <w:rPr/>
        <w:t xml:space="preserve">逐区域几何与趋势</w:t>
      </w:r>
    </w:p>
    <w:p w14:paraId="00100CAE" w14:textId="00100CAF">
      <w:pPr>
        <w:pStyle w:val="Normal"/>
      </w:pPr>
      <w:r>
        <w:rPr/>
        <w:t xml:space="preserve">对每个目标、每个有效区域，算法在最近 12 点窗口（airspaceDirectionWindowPoints，默认 12）上同时计算三组量。水平关系：圆形区域用 haversine 中心距与半径比较；多边形区域用射线法判断内外，并用局部切平面求点到各边的最短距离；距离不超过 10 米（airspaceBoundaryToleranceMeters）判为 boundary。三维关系：区域配置高度上下限时，按区域 altitudeReference（AGL 或 AMSL）与目标高度基准换算；同基准直接比较，跨基准使用 groundElevationMeters 换算。换算不出结果时返回 unknown，不能当作 outside。</w:t>
      </w:r>
    </w:p>
    <w:p w14:paraId="00100CAC" w14:textId="00100CAD">
      <w:pPr>
        <w:pStyle w:val="Normal"/>
      </w:pPr>
      <w:r>
        <w:rPr/>
        <w:t xml:space="preserve">运动趋势以真实时间为自变量、边界距离为因变量做最小二乘。结合当前内外关系、目标速度和斜率符号，判定 approaching、departing、parallel、inside_stable、moving_deeper、moving_to_exit 或 stationary。只有满足接近或向出口运动、且斜率绝对值超过方向阈值 0.5 米/秒时，才用当前边界距离除以斜率绝对值估计预计穿越时间。</w:t>
      </w:r>
    </w:p>
    <w:p w14:paraId="00100D32" w14:textId="00100D33">
      <m:oMathPara>
        <m:oMath>
          <m:r>
            <m:t xml:space="preserve">b = </m:t>
          </m:r>
          <m:f>
            <m:num>
              <m:sSub>
                <m:e>
                  <m:r>
                    <m:t xml:space="preserve">Σ</m:t>
                  </m:r>
                </m:e>
                <m:sub>
                  <m:r>
                    <m:t xml:space="preserve">k</m:t>
                  </m:r>
                </m:sub>
              </m:sSub>
              <m:sSub>
                <m:e>
                  <m:r>
                    <m:t xml:space="preserve"> (t</m:t>
                  </m:r>
                </m:e>
                <m:sub>
                  <m:r>
                    <m:t xml:space="preserve">k</m:t>
                  </m:r>
                </m:sub>
              </m:sSub>
              <m:r>
                <m:t xml:space="preserve"> - </m:t>
              </m:r>
              <m:acc>
                <m:accPr>
                  <m:chr m:val="̄"/>
                </m:accPr>
                <m:e>
                  <m:r>
                    <m:t xml:space="preserve">t</m:t>
                  </m:r>
                </m:e>
              </m:acc>
              <m:sSub>
                <m:e>
                  <m:r>
                    <m:t xml:space="preserve">)(d</m:t>
                  </m:r>
                </m:e>
                <m:sub>
                  <m:r>
                    <m:t xml:space="preserve">k</m:t>
                  </m:r>
                </m:sub>
              </m:sSub>
              <m:r>
                <m:t xml:space="preserve"> - </m:t>
              </m:r>
              <m:acc>
                <m:accPr>
                  <m:chr m:val="̄"/>
                </m:accPr>
                <m:e>
                  <m:r>
                    <m:t xml:space="preserve">d</m:t>
                  </m:r>
                </m:e>
              </m:acc>
              <m:r>
                <m:t xml:space="preserve">)</m:t>
              </m:r>
            </m:num>
            <m:den>
              <m:sSub>
                <m:e>
                  <m:r>
                    <m:t xml:space="preserve">Σ</m:t>
                  </m:r>
                </m:e>
                <m:sub>
                  <m:r>
                    <m:t xml:space="preserve">k</m:t>
                  </m:r>
                </m:sub>
              </m:sSub>
              <m:sSub>
                <m:e>
                  <m:r>
                    <m:t xml:space="preserve"> (t</m:t>
                  </m:r>
                </m:e>
                <m:sub>
                  <m:r>
                    <m:t xml:space="preserve">k</m:t>
                  </m:r>
                </m:sub>
              </m:sSub>
              <m:r>
                <m:t xml:space="preserve"> - </m:t>
              </m:r>
              <m:acc>
                <m:accPr>
                  <m:chr m:val="̄"/>
                </m:accPr>
                <m:e>
                  <m:r>
                    <m:t xml:space="preserve">t</m:t>
                  </m:r>
                </m:e>
              </m:acc>
              <m:sSup>
                <m:e>
                  <m:r>
                    <m:t xml:space="preserve">)</m:t>
                  </m:r>
                </m:e>
                <m:sup>
                  <m:r>
                    <m:t xml:space="preserve">2</m:t>
                  </m:r>
                </m:sup>
              </m:sSup>
            </m:den>
          </m:f>
        </m:oMath>
      </m:oMathPara>
    </w:p>
    <w:p w14:paraId="00100CAA" w14:textId="00100CAB">
      <w:pPr>
        <w:pStyle w:val="Normal"/>
      </w:pPr>
      <w:r>
        <w:rPr/>
        <w:t xml:space="preserve">每条关系的置信度由轨迹质量、趋势拟合度和窗口点数占比合成：0.55×trackQuality + 0.30×R² + 0.15×pointRatio。它表示空间证据的可信程度，不是命中概率，也不替代地图精度评估。</w:t>
      </w:r>
    </w:p>
    <w:p w14:paraId="00100CA6" w14:textId="00100CA7">
      <w:pPr>
        <w:pStyle w:val="Heading2"/>
      </w:pPr>
      <w:r>
        <w:rPr/>
        <w:t xml:space="preserve">候选判定与相关性</w:t>
      </w:r>
    </w:p>
    <w:p w14:paraId="00100CA8" w14:textId="00100CA9">
      <w:pPr>
        <w:pStyle w:val="Normal"/>
      </w:pPr>
      <w:r>
        <w:rPr/>
        <w:t xml:space="preserve">区域是否进入内部候选，与是否出现在公共 movementRelations 中不是同一个条件。候选只有两种来源：一是命中，即高度匹配且水平关系为 inside 或 boundary；二是该区域为父空域的范围参考圈、高度已知且边界距离不超过 airspaceAssessmentRangeMeters（默认 5 000 米）。公共明细则收录命中、压线、高度未知，以及边界距离不超过 5 000 米的区域。因此，未绑定父空域的独立内层圈可以出现在公共明细里，但不会改变内部主上下文。</w:t>
      </w:r>
    </w:p>
    <w:tbl>
      <w:tblPr>
        <w:tblW w:w="9936" w:type="dxa"/>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CellMar>
          <w:top w:w="75" w:type="dxa"/>
          <w:left w:w="75" w:type="dxa"/>
          <w:bottom w:w="75" w:type="dxa"/>
          <w:right w:w="75" w:type="dxa"/>
        </w:tblCellMar>
        <w:tblLook w:val="04A0"/>
      </w:tblPr>
      <w:tblGrid>
        <w:gridCol w:w="1900"/>
        <w:gridCol w:w="1500"/>
        <w:gridCol w:w="2100"/>
        <w:gridCol w:w="4436"/>
      </w:tblGrid>
      <w:tr>
        <w:trPr>
          <w:cantSplit/>
          <w:tblHeader/>
        </w:trPr>
        <w:tc>
          <w:tcPr>
            <w:shd w:val="clear" w:fill="DCE6EF"/>
            <w:tcMar>
              <w:top w:w="75" w:type="dxa"/>
              <w:left w:w="95" w:type="dxa"/>
              <w:bottom w:w="75" w:type="dxa"/>
              <w:right w:w="95" w:type="dxa"/>
            </w:tcMar>
            <w:vAlign w:val="center"/>
          </w:tcPr>
          <w:p w14:paraId="00100CBA" w14:textId="00100CBB">
            <w:r>
              <w:rPr>
                <w:b/>
                <w:sz w:val="20"/>
              </w:rPr>
              <w:t xml:space="preserve">水平关系</w:t>
            </w:r>
          </w:p>
        </w:tc>
        <w:tc>
          <w:tcPr>
            <w:shd w:val="clear" w:fill="DCE6EF"/>
            <w:tcMar>
              <w:top w:w="75" w:type="dxa"/>
              <w:left w:w="95" w:type="dxa"/>
              <w:bottom w:w="75" w:type="dxa"/>
              <w:right w:w="95" w:type="dxa"/>
            </w:tcMar>
            <w:vAlign w:val="center"/>
          </w:tcPr>
          <w:p w14:paraId="00100CBC" w14:textId="00100CBD">
            <w:r>
              <w:rPr>
                <w:b/>
                <w:sz w:val="20"/>
              </w:rPr>
              <w:t xml:space="preserve">高度判定</w:t>
            </w:r>
          </w:p>
        </w:tc>
        <w:tc>
          <w:tcPr>
            <w:shd w:val="clear" w:fill="DCE6EF"/>
            <w:tcMar>
              <w:top w:w="75" w:type="dxa"/>
              <w:left w:w="95" w:type="dxa"/>
              <w:bottom w:w="75" w:type="dxa"/>
              <w:right w:w="95" w:type="dxa"/>
            </w:tcMar>
            <w:vAlign w:val="center"/>
          </w:tcPr>
          <w:p w14:paraId="00100CBE" w14:textId="00100CBF">
            <w:r>
              <w:rPr>
                <w:b/>
                <w:sz w:val="20"/>
              </w:rPr>
              <w:t xml:space="preserve">范围参考圈</w:t>
            </w:r>
          </w:p>
        </w:tc>
        <w:tc>
          <w:tcPr>
            <w:shd w:val="clear" w:fill="DCE6EF"/>
            <w:tcMar>
              <w:top w:w="75" w:type="dxa"/>
              <w:left w:w="95" w:type="dxa"/>
              <w:bottom w:w="75" w:type="dxa"/>
              <w:right w:w="95" w:type="dxa"/>
            </w:tcMar>
            <w:vAlign w:val="center"/>
          </w:tcPr>
          <w:p w14:paraId="00100CC0" w14:textId="00100CC1">
            <w:r>
              <w:rPr>
                <w:b/>
                <w:sz w:val="20"/>
              </w:rPr>
              <w:t xml:space="preserve">结果</w:t>
            </w:r>
          </w:p>
        </w:tc>
      </w:tr>
      <w:tr>
        <w:trPr>
          <w:cantSplit/>
        </w:trPr>
        <w:tc>
          <w:tcPr>
            <w:shd w:val="clear" w:fill="FFFFFF"/>
            <w:tcMar>
              <w:top w:w="75" w:type="dxa"/>
              <w:left w:w="95" w:type="dxa"/>
              <w:bottom w:w="75" w:type="dxa"/>
              <w:right w:w="95" w:type="dxa"/>
            </w:tcMar>
            <w:vAlign w:val="center"/>
          </w:tcPr>
          <w:p w14:paraId="00100CC2" w14:textId="00100CC3">
            <w:r>
              <w:rPr>
                <w:b w:val="false"/>
                <w:sz w:val="20"/>
              </w:rPr>
              <w:t xml:space="preserve">inside 或 boundary</w:t>
            </w:r>
          </w:p>
        </w:tc>
        <w:tc>
          <w:tcPr>
            <w:shd w:val="clear" w:fill="FFFFFF"/>
            <w:tcMar>
              <w:top w:w="75" w:type="dxa"/>
              <w:left w:w="95" w:type="dxa"/>
              <w:bottom w:w="75" w:type="dxa"/>
              <w:right w:w="95" w:type="dxa"/>
            </w:tcMar>
            <w:vAlign w:val="center"/>
          </w:tcPr>
          <w:p w14:paraId="00100CC4" w14:textId="00100CC5">
            <w:r>
              <w:rPr>
                <w:b w:val="false"/>
                <w:sz w:val="20"/>
              </w:rPr>
              <w:t xml:space="preserve">匹配</w:t>
            </w:r>
          </w:p>
        </w:tc>
        <w:tc>
          <w:tcPr>
            <w:shd w:val="clear" w:fill="FFFFFF"/>
            <w:tcMar>
              <w:top w:w="75" w:type="dxa"/>
              <w:left w:w="95" w:type="dxa"/>
              <w:bottom w:w="75" w:type="dxa"/>
              <w:right w:w="95" w:type="dxa"/>
            </w:tcMar>
            <w:vAlign w:val="center"/>
          </w:tcPr>
          <w:p w14:paraId="00100CC6" w14:textId="00100CC7">
            <w:r>
              <w:rPr>
                <w:b w:val="false"/>
                <w:sz w:val="20"/>
              </w:rPr>
              <w:t xml:space="preserve">任意</w:t>
            </w:r>
          </w:p>
        </w:tc>
        <w:tc>
          <w:tcPr>
            <w:shd w:val="clear" w:fill="FFFFFF"/>
            <w:tcMar>
              <w:top w:w="75" w:type="dxa"/>
              <w:left w:w="95" w:type="dxa"/>
              <w:bottom w:w="75" w:type="dxa"/>
              <w:right w:w="95" w:type="dxa"/>
            </w:tcMar>
            <w:vAlign w:val="center"/>
          </w:tcPr>
          <w:p w14:paraId="00100CC8" w14:textId="00100CC9">
            <w:r>
              <w:rPr>
                <w:b w:val="false"/>
                <w:sz w:val="20"/>
              </w:rPr>
              <w:t xml:space="preserve">命中候选；始终相关</w:t>
            </w:r>
          </w:p>
        </w:tc>
      </w:tr>
      <w:tr>
        <w:trPr>
          <w:cantSplit/>
        </w:trPr>
        <w:tc>
          <w:tcPr>
            <w:shd w:val="clear" w:fill="F4F6F8"/>
            <w:tcMar>
              <w:top w:w="75" w:type="dxa"/>
              <w:left w:w="95" w:type="dxa"/>
              <w:bottom w:w="75" w:type="dxa"/>
              <w:right w:w="95" w:type="dxa"/>
            </w:tcMar>
            <w:vAlign w:val="center"/>
          </w:tcPr>
          <w:p w14:paraId="00100CCA" w14:textId="00100CCB">
            <w:r>
              <w:rPr>
                <w:b w:val="false"/>
                <w:sz w:val="20"/>
              </w:rPr>
              <w:t xml:space="preserve">inside 或 boundary</w:t>
            </w:r>
          </w:p>
        </w:tc>
        <w:tc>
          <w:tcPr>
            <w:shd w:val="clear" w:fill="F4F6F8"/>
            <w:tcMar>
              <w:top w:w="75" w:type="dxa"/>
              <w:left w:w="95" w:type="dxa"/>
              <w:bottom w:w="75" w:type="dxa"/>
              <w:right w:w="95" w:type="dxa"/>
            </w:tcMar>
            <w:vAlign w:val="center"/>
          </w:tcPr>
          <w:p w14:paraId="00100CCC" w14:textId="00100CCD">
            <w:r>
              <w:rPr>
                <w:b w:val="false"/>
                <w:sz w:val="20"/>
              </w:rPr>
              <w:t xml:space="preserve">不匹配</w:t>
            </w:r>
          </w:p>
        </w:tc>
        <w:tc>
          <w:tcPr>
            <w:shd w:val="clear" w:fill="F4F6F8"/>
            <w:tcMar>
              <w:top w:w="75" w:type="dxa"/>
              <w:left w:w="95" w:type="dxa"/>
              <w:bottom w:w="75" w:type="dxa"/>
              <w:right w:w="95" w:type="dxa"/>
            </w:tcMar>
            <w:vAlign w:val="center"/>
          </w:tcPr>
          <w:p w14:paraId="00100CCE" w14:textId="00100CCF">
            <w:r>
              <w:rPr>
                <w:b w:val="false"/>
                <w:sz w:val="20"/>
              </w:rPr>
              <w:t xml:space="preserve">任意</w:t>
            </w:r>
          </w:p>
        </w:tc>
        <w:tc>
          <w:tcPr>
            <w:shd w:val="clear" w:fill="F4F6F8"/>
            <w:tcMar>
              <w:top w:w="75" w:type="dxa"/>
              <w:left w:w="95" w:type="dxa"/>
              <w:bottom w:w="75" w:type="dxa"/>
              <w:right w:w="95" w:type="dxa"/>
            </w:tcMar>
            <w:vAlign w:val="center"/>
          </w:tcPr>
          <w:p w14:paraId="00100CD0" w14:textId="00100CD1">
            <w:r>
              <w:rPr>
                <w:b w:val="false"/>
                <w:sz w:val="20"/>
              </w:rPr>
              <w:t xml:space="preserve">不构成候选；仅当边界距离不超过 5000 米时进入公共明细</w:t>
            </w:r>
          </w:p>
        </w:tc>
      </w:tr>
      <w:tr>
        <w:trPr>
          <w:cantSplit/>
        </w:trPr>
        <w:tc>
          <w:tcPr>
            <w:shd w:val="clear" w:fill="FFFFFF"/>
            <w:tcMar>
              <w:top w:w="75" w:type="dxa"/>
              <w:left w:w="95" w:type="dxa"/>
              <w:bottom w:w="75" w:type="dxa"/>
              <w:right w:w="95" w:type="dxa"/>
            </w:tcMar>
            <w:vAlign w:val="center"/>
          </w:tcPr>
          <w:p w14:paraId="00100CD2" w14:textId="00100CD3">
            <w:r>
              <w:rPr>
                <w:b w:val="false"/>
                <w:sz w:val="20"/>
              </w:rPr>
              <w:t xml:space="preserve">inside 或 boundary</w:t>
            </w:r>
          </w:p>
        </w:tc>
        <w:tc>
          <w:tcPr>
            <w:shd w:val="clear" w:fill="FFFFFF"/>
            <w:tcMar>
              <w:top w:w="75" w:type="dxa"/>
              <w:left w:w="95" w:type="dxa"/>
              <w:bottom w:w="75" w:type="dxa"/>
              <w:right w:w="95" w:type="dxa"/>
            </w:tcMar>
            <w:vAlign w:val="center"/>
          </w:tcPr>
          <w:p w14:paraId="00100CD4" w14:textId="00100CD5">
            <w:r>
              <w:rPr>
                <w:b w:val="false"/>
                <w:sz w:val="20"/>
              </w:rPr>
              <w:t xml:space="preserve">未知</w:t>
            </w:r>
          </w:p>
        </w:tc>
        <w:tc>
          <w:tcPr>
            <w:shd w:val="clear" w:fill="FFFFFF"/>
            <w:tcMar>
              <w:top w:w="75" w:type="dxa"/>
              <w:left w:w="95" w:type="dxa"/>
              <w:bottom w:w="75" w:type="dxa"/>
              <w:right w:w="95" w:type="dxa"/>
            </w:tcMar>
            <w:vAlign w:val="center"/>
          </w:tcPr>
          <w:p w14:paraId="00100CD6" w14:textId="00100CD7">
            <w:r>
              <w:rPr>
                <w:b w:val="false"/>
                <w:sz w:val="20"/>
              </w:rPr>
              <w:t xml:space="preserve">任意</w:t>
            </w:r>
          </w:p>
        </w:tc>
        <w:tc>
          <w:tcPr>
            <w:shd w:val="clear" w:fill="FFFFFF"/>
            <w:tcMar>
              <w:top w:w="75" w:type="dxa"/>
              <w:left w:w="95" w:type="dxa"/>
              <w:bottom w:w="75" w:type="dxa"/>
              <w:right w:w="95" w:type="dxa"/>
            </w:tcMar>
            <w:vAlign w:val="center"/>
          </w:tcPr>
          <w:p w14:paraId="00100CD8" w14:textId="00100CD9">
            <w:r>
              <w:rPr>
                <w:b w:val="false"/>
                <w:sz w:val="20"/>
              </w:rPr>
              <w:t xml:space="preserve">不构成候选；标记 uncertainty；作用域可能为 unavailable</w:t>
            </w:r>
          </w:p>
        </w:tc>
      </w:tr>
      <w:tr>
        <w:trPr>
          <w:cantSplit/>
        </w:trPr>
        <w:tc>
          <w:tcPr>
            <w:shd w:val="clear" w:fill="F4F6F8"/>
            <w:tcMar>
              <w:top w:w="75" w:type="dxa"/>
              <w:left w:w="95" w:type="dxa"/>
              <w:bottom w:w="75" w:type="dxa"/>
              <w:right w:w="95" w:type="dxa"/>
            </w:tcMar>
            <w:vAlign w:val="center"/>
          </w:tcPr>
          <w:p w14:paraId="00100CDA" w14:textId="00100CDB">
            <w:r>
              <w:rPr>
                <w:b w:val="false"/>
                <w:sz w:val="20"/>
              </w:rPr>
              <w:t xml:space="preserve">outside</w:t>
            </w:r>
          </w:p>
        </w:tc>
        <w:tc>
          <w:tcPr>
            <w:shd w:val="clear" w:fill="F4F6F8"/>
            <w:tcMar>
              <w:top w:w="75" w:type="dxa"/>
              <w:left w:w="95" w:type="dxa"/>
              <w:bottom w:w="75" w:type="dxa"/>
              <w:right w:w="95" w:type="dxa"/>
            </w:tcMar>
            <w:vAlign w:val="center"/>
          </w:tcPr>
          <w:p w14:paraId="00100CDC" w14:textId="00100CDD">
            <w:r>
              <w:rPr>
                <w:b w:val="false"/>
                <w:sz w:val="20"/>
              </w:rPr>
              <w:t xml:space="preserve">匹配</w:t>
            </w:r>
          </w:p>
        </w:tc>
        <w:tc>
          <w:tcPr>
            <w:shd w:val="clear" w:fill="F4F6F8"/>
            <w:tcMar>
              <w:top w:w="75" w:type="dxa"/>
              <w:left w:w="95" w:type="dxa"/>
              <w:bottom w:w="75" w:type="dxa"/>
              <w:right w:w="95" w:type="dxa"/>
            </w:tcMar>
            <w:vAlign w:val="center"/>
          </w:tcPr>
          <w:p w14:paraId="00100CDE" w14:textId="00100CDF">
            <w:r>
              <w:rPr>
                <w:b w:val="false"/>
                <w:sz w:val="20"/>
              </w:rPr>
              <w:t xml:space="preserve">是且不超过 5000 米</w:t>
            </w:r>
          </w:p>
        </w:tc>
        <w:tc>
          <w:tcPr>
            <w:shd w:val="clear" w:fill="F4F6F8"/>
            <w:tcMar>
              <w:top w:w="75" w:type="dxa"/>
              <w:left w:w="95" w:type="dxa"/>
              <w:bottom w:w="75" w:type="dxa"/>
              <w:right w:w="95" w:type="dxa"/>
            </w:tcMar>
            <w:vAlign w:val="center"/>
          </w:tcPr>
          <w:p w14:paraId="00100CE0" w14:textId="00100CE1">
            <w:r>
              <w:rPr>
                <w:b w:val="false"/>
                <w:sz w:val="20"/>
              </w:rPr>
              <w:t xml:space="preserve">未命中候选；相关但不命中</w:t>
            </w:r>
          </w:p>
        </w:tc>
      </w:tr>
      <w:tr>
        <w:trPr>
          <w:cantSplit/>
        </w:trPr>
        <w:tc>
          <w:tcPr>
            <w:shd w:val="clear" w:fill="FFFFFF"/>
            <w:tcMar>
              <w:top w:w="75" w:type="dxa"/>
              <w:left w:w="95" w:type="dxa"/>
              <w:bottom w:w="75" w:type="dxa"/>
              <w:right w:w="95" w:type="dxa"/>
            </w:tcMar>
            <w:vAlign w:val="center"/>
          </w:tcPr>
          <w:p w14:paraId="00100CE2" w14:textId="00100CE3">
            <w:r>
              <w:rPr>
                <w:b w:val="false"/>
                <w:sz w:val="20"/>
              </w:rPr>
              <w:t xml:space="preserve">outside</w:t>
            </w:r>
          </w:p>
        </w:tc>
        <w:tc>
          <w:tcPr>
            <w:shd w:val="clear" w:fill="FFFFFF"/>
            <w:tcMar>
              <w:top w:w="75" w:type="dxa"/>
              <w:left w:w="95" w:type="dxa"/>
              <w:bottom w:w="75" w:type="dxa"/>
              <w:right w:w="95" w:type="dxa"/>
            </w:tcMar>
            <w:vAlign w:val="center"/>
          </w:tcPr>
          <w:p w14:paraId="00100CE4" w14:textId="00100CE5">
            <w:r>
              <w:rPr>
                <w:b w:val="false"/>
                <w:sz w:val="20"/>
              </w:rPr>
              <w:t xml:space="preserve">匹配</w:t>
            </w:r>
          </w:p>
        </w:tc>
        <w:tc>
          <w:tcPr>
            <w:shd w:val="clear" w:fill="FFFFFF"/>
            <w:tcMar>
              <w:top w:w="75" w:type="dxa"/>
              <w:left w:w="95" w:type="dxa"/>
              <w:bottom w:w="75" w:type="dxa"/>
              <w:right w:w="95" w:type="dxa"/>
            </w:tcMar>
            <w:vAlign w:val="center"/>
          </w:tcPr>
          <w:p w14:paraId="00100CE6" w14:textId="00100CE7">
            <w:r>
              <w:rPr>
                <w:b w:val="false"/>
                <w:sz w:val="20"/>
              </w:rPr>
              <w:t xml:space="preserve">否但不超过 5000 米</w:t>
            </w:r>
          </w:p>
        </w:tc>
        <w:tc>
          <w:tcPr>
            <w:shd w:val="clear" w:fill="FFFFFF"/>
            <w:tcMar>
              <w:top w:w="75" w:type="dxa"/>
              <w:left w:w="95" w:type="dxa"/>
              <w:bottom w:w="75" w:type="dxa"/>
              <w:right w:w="95" w:type="dxa"/>
            </w:tcMar>
            <w:vAlign w:val="center"/>
          </w:tcPr>
          <w:p w14:paraId="00100CE8" w14:textId="00100CE9">
            <w:r>
              <w:rPr>
                <w:b w:val="false"/>
                <w:sz w:val="20"/>
              </w:rPr>
              <w:t xml:space="preserve">不构成候选；仅进入公共明细</w:t>
            </w:r>
          </w:p>
        </w:tc>
      </w:tr>
      <w:tr>
        <w:trPr>
          <w:cantSplit/>
        </w:trPr>
        <w:tc>
          <w:tcPr>
            <w:shd w:val="clear" w:fill="F4F6F8"/>
            <w:tcMar>
              <w:top w:w="75" w:type="dxa"/>
              <w:left w:w="95" w:type="dxa"/>
              <w:bottom w:w="75" w:type="dxa"/>
              <w:right w:w="95" w:type="dxa"/>
            </w:tcMar>
            <w:vAlign w:val="center"/>
          </w:tcPr>
          <w:p w14:paraId="00100CEA" w14:textId="00100CEB">
            <w:r>
              <w:rPr>
                <w:b w:val="false"/>
                <w:sz w:val="20"/>
              </w:rPr>
              <w:t xml:space="preserve">outside</w:t>
            </w:r>
          </w:p>
        </w:tc>
        <w:tc>
          <w:tcPr>
            <w:shd w:val="clear" w:fill="F4F6F8"/>
            <w:tcMar>
              <w:top w:w="75" w:type="dxa"/>
              <w:left w:w="95" w:type="dxa"/>
              <w:bottom w:w="75" w:type="dxa"/>
              <w:right w:w="95" w:type="dxa"/>
            </w:tcMar>
            <w:vAlign w:val="center"/>
          </w:tcPr>
          <w:p w14:paraId="00100CEC" w14:textId="00100CED">
            <w:r>
              <w:rPr>
                <w:b w:val="false"/>
                <w:sz w:val="20"/>
              </w:rPr>
              <w:t xml:space="preserve">匹配</w:t>
            </w:r>
          </w:p>
        </w:tc>
        <w:tc>
          <w:tcPr>
            <w:shd w:val="clear" w:fill="F4F6F8"/>
            <w:tcMar>
              <w:top w:w="75" w:type="dxa"/>
              <w:left w:w="95" w:type="dxa"/>
              <w:bottom w:w="75" w:type="dxa"/>
              <w:right w:w="95" w:type="dxa"/>
            </w:tcMar>
            <w:vAlign w:val="center"/>
          </w:tcPr>
          <w:p w14:paraId="00100CEE" w14:textId="00100CEF">
            <w:r>
              <w:rPr>
                <w:b w:val="false"/>
                <w:sz w:val="20"/>
              </w:rPr>
              <w:t xml:space="preserve">是但超过 5000 米</w:t>
            </w:r>
          </w:p>
        </w:tc>
        <w:tc>
          <w:tcPr>
            <w:shd w:val="clear" w:fill="F4F6F8"/>
            <w:tcMar>
              <w:top w:w="75" w:type="dxa"/>
              <w:left w:w="95" w:type="dxa"/>
              <w:bottom w:w="75" w:type="dxa"/>
              <w:right w:w="95" w:type="dxa"/>
            </w:tcMar>
            <w:vAlign w:val="center"/>
          </w:tcPr>
          <w:p w14:paraId="00100CF0" w14:textId="00100CF1">
            <w:r>
              <w:rPr>
                <w:b w:val="false"/>
                <w:sz w:val="20"/>
              </w:rPr>
              <w:t xml:space="preserve">不构成候选；不进入公共明细</w:t>
            </w:r>
          </w:p>
        </w:tc>
      </w:tr>
      <w:tr>
        <w:trPr>
          <w:cantSplit/>
        </w:trPr>
        <w:tc>
          <w:tcPr>
            <w:shd w:val="clear" w:fill="FFFFFF"/>
            <w:tcMar>
              <w:top w:w="75" w:type="dxa"/>
              <w:left w:w="95" w:type="dxa"/>
              <w:bottom w:w="75" w:type="dxa"/>
              <w:right w:w="95" w:type="dxa"/>
            </w:tcMar>
            <w:vAlign w:val="center"/>
          </w:tcPr>
          <w:p w14:paraId="00100CF2" w14:textId="00100CF3">
            <w:r>
              <w:rPr>
                <w:b w:val="false"/>
                <w:sz w:val="20"/>
              </w:rPr>
              <w:t xml:space="preserve">outside</w:t>
            </w:r>
          </w:p>
        </w:tc>
        <w:tc>
          <w:tcPr>
            <w:shd w:val="clear" w:fill="FFFFFF"/>
            <w:tcMar>
              <w:top w:w="75" w:type="dxa"/>
              <w:left w:w="95" w:type="dxa"/>
              <w:bottom w:w="75" w:type="dxa"/>
              <w:right w:w="95" w:type="dxa"/>
            </w:tcMar>
            <w:vAlign w:val="center"/>
          </w:tcPr>
          <w:p w14:paraId="00100CF4" w14:textId="00100CF5">
            <w:r>
              <w:rPr>
                <w:b w:val="false"/>
                <w:sz w:val="20"/>
              </w:rPr>
              <w:t xml:space="preserve">未知</w:t>
            </w:r>
          </w:p>
        </w:tc>
        <w:tc>
          <w:tcPr>
            <w:shd w:val="clear" w:fill="FFFFFF"/>
            <w:tcMar>
              <w:top w:w="75" w:type="dxa"/>
              <w:left w:w="95" w:type="dxa"/>
              <w:bottom w:w="75" w:type="dxa"/>
              <w:right w:w="95" w:type="dxa"/>
            </w:tcMar>
            <w:vAlign w:val="center"/>
          </w:tcPr>
          <w:p w14:paraId="00100CF6" w14:textId="00100CF7">
            <w:r>
              <w:rPr>
                <w:b w:val="false"/>
                <w:sz w:val="20"/>
              </w:rPr>
              <w:t xml:space="preserve">是且不超过 5000 米</w:t>
            </w:r>
          </w:p>
        </w:tc>
        <w:tc>
          <w:tcPr>
            <w:shd w:val="clear" w:fill="FFFFFF"/>
            <w:tcMar>
              <w:top w:w="75" w:type="dxa"/>
              <w:left w:w="95" w:type="dxa"/>
              <w:bottom w:w="75" w:type="dxa"/>
              <w:right w:w="95" w:type="dxa"/>
            </w:tcMar>
            <w:vAlign w:val="center"/>
          </w:tcPr>
          <w:p w14:paraId="00100CF8" w14:textId="00100CF9">
            <w:r>
              <w:rPr>
                <w:b w:val="false"/>
                <w:sz w:val="20"/>
              </w:rPr>
              <w:t xml:space="preserve">不构成候选；标记 uncertainty</w:t>
            </w:r>
          </w:p>
        </w:tc>
      </w:tr>
      <w:tr>
        <w:trPr>
          <w:cantSplit/>
        </w:trPr>
        <w:tc>
          <w:tcPr>
            <w:shd w:val="clear" w:fill="F4F6F8"/>
            <w:tcMar>
              <w:top w:w="75" w:type="dxa"/>
              <w:left w:w="95" w:type="dxa"/>
              <w:bottom w:w="75" w:type="dxa"/>
              <w:right w:w="95" w:type="dxa"/>
            </w:tcMar>
            <w:vAlign w:val="center"/>
          </w:tcPr>
          <w:p w14:paraId="00100CFA" w14:textId="00100CFB">
            <w:r>
              <w:rPr>
                <w:b w:val="false"/>
                <w:sz w:val="20"/>
              </w:rPr>
              <w:t xml:space="preserve">outside</w:t>
            </w:r>
          </w:p>
        </w:tc>
        <w:tc>
          <w:tcPr>
            <w:shd w:val="clear" w:fill="F4F6F8"/>
            <w:tcMar>
              <w:top w:w="75" w:type="dxa"/>
              <w:left w:w="95" w:type="dxa"/>
              <w:bottom w:w="75" w:type="dxa"/>
              <w:right w:w="95" w:type="dxa"/>
            </w:tcMar>
            <w:vAlign w:val="center"/>
          </w:tcPr>
          <w:p w14:paraId="00100CFC" w14:textId="00100CFD">
            <w:r>
              <w:rPr>
                <w:b w:val="false"/>
                <w:sz w:val="20"/>
              </w:rPr>
              <w:t xml:space="preserve">未知</w:t>
            </w:r>
          </w:p>
        </w:tc>
        <w:tc>
          <w:tcPr>
            <w:shd w:val="clear" w:fill="F4F6F8"/>
            <w:tcMar>
              <w:top w:w="75" w:type="dxa"/>
              <w:left w:w="95" w:type="dxa"/>
              <w:bottom w:w="75" w:type="dxa"/>
              <w:right w:w="95" w:type="dxa"/>
            </w:tcMar>
            <w:vAlign w:val="center"/>
          </w:tcPr>
          <w:p w14:paraId="00100CFE" w14:textId="00100CFF">
            <w:r>
              <w:rPr>
                <w:b w:val="false"/>
                <w:sz w:val="20"/>
              </w:rPr>
              <w:t xml:space="preserve">否或超过 5000 米</w:t>
            </w:r>
          </w:p>
        </w:tc>
        <w:tc>
          <w:tcPr>
            <w:shd w:val="clear" w:fill="F4F6F8"/>
            <w:tcMar>
              <w:top w:w="75" w:type="dxa"/>
              <w:left w:w="95" w:type="dxa"/>
              <w:bottom w:w="75" w:type="dxa"/>
              <w:right w:w="95" w:type="dxa"/>
            </w:tcMar>
            <w:vAlign w:val="center"/>
          </w:tcPr>
          <w:p w14:paraId="00100D00" w14:textId="00100D01">
            <w:r>
              <w:rPr>
                <w:b w:val="false"/>
                <w:sz w:val="20"/>
              </w:rPr>
              <w:t xml:space="preserve">不构成候选；进入公共明细但不影响作用域</w:t>
            </w:r>
          </w:p>
        </w:tc>
      </w:tr>
    </w:tbl>
    <w:p w14:paraId="00100CA4" w14:textId="00100CA5">
      <w:pPr>
        <w:pStyle w:val="Normal"/>
      </w:pPr>
      <w:r>
        <w:rPr/>
        <w:t xml:space="preserve">没有任何候选时，作用域按证据状态区分：水平上可能命中或接近、但高度基准或地面高程缺失导致无法换算的，记为 unavailable 并标记 uncertainty；地图没有任何有效区域的，也记为 unavailable；其余情况记为 irrelevant。这样“已知不相关”和“无法判断”不会混为一谈。</w:t>
      </w:r>
    </w:p>
    <w:p w14:paraId="00100CA2" w14:textId="00100CA3">
      <w:pPr>
        <w:pStyle w:val="Normal"/>
      </w:pPr>
      <w:r>
        <w:rPr/>
        <w:t xml:space="preserve">命中法定禁飞区的目标始终属于空间相关，圈层状态记为 hard；未命中禁飞区的目标不享受 5 000 米距离外扩。命中禁飞区时，禁飞区编号仍由专用数组返回，不写入防控空域编号字段。</w:t>
      </w:r>
    </w:p>
    <w:p w14:paraId="00100CA0" w14:textId="00100CA1">
      <w:pPr>
        <w:pStyle w:val="Heading2"/>
      </w:pPr>
      <w:r>
        <w:rPr/>
        <w:t xml:space="preserve">上下文字段构成</w:t>
      </w:r>
    </w:p>
    <w:p w14:paraId="00100C9E" w14:textId="00100C9F">
      <w:pPr>
        <w:pStyle w:val="Normal"/>
      </w:pPr>
      <w:r>
        <w:rPr/>
        <w:t xml:space="preserve">SpatialContext 是内部只读对象，不序列化到响应，公共输出仍由 targetAirspaceResults、clusterDtoList 和 targetIntentResults 承载。其字段分为作用域、圈层、主区域、空域与设施、规则命中五组。</w:t>
      </w:r>
    </w:p>
    <w:tbl>
      <w:tblPr>
        <w:tblW w:w="9936" w:type="dxa"/>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CellMar>
          <w:top w:w="75" w:type="dxa"/>
          <w:left w:w="75" w:type="dxa"/>
          <w:bottom w:w="75" w:type="dxa"/>
          <w:right w:w="75" w:type="dxa"/>
        </w:tblCellMar>
        <w:tblLook w:val="04A0"/>
      </w:tblPr>
      <w:tblGrid>
        <w:gridCol w:w="1900"/>
        <w:gridCol w:w="3300"/>
        <w:gridCol w:w="2700"/>
        <w:gridCol w:w="2036"/>
      </w:tblGrid>
      <w:tr>
        <w:trPr>
          <w:cantSplit/>
          <w:tblHeader/>
        </w:trPr>
        <w:tc>
          <w:tcPr>
            <w:tcW w:w="1900" w:type="dxa"/>
            <w:shd w:val="clear" w:fill="DCE6EF"/>
            <w:tcMar>
              <w:top w:w="75" w:type="dxa"/>
              <w:left w:w="95" w:type="dxa"/>
              <w:bottom w:w="75" w:type="dxa"/>
              <w:right w:w="95" w:type="dxa"/>
            </w:tcMar>
            <w:vAlign w:val="center"/>
          </w:tcPr>
          <w:p w14:paraId="00100D02" w14:textId="00100D03">
            <w:r>
              <w:rPr>
                <w:b/>
                <w:sz w:val="20"/>
              </w:rPr>
              <w:t xml:space="preserve">字段组</w:t>
            </w:r>
          </w:p>
        </w:tc>
        <w:tc>
          <w:tcPr>
            <w:tcW w:w="3300" w:type="dxa"/>
            <w:shd w:val="clear" w:fill="DCE6EF"/>
            <w:tcMar>
              <w:top w:w="75" w:type="dxa"/>
              <w:left w:w="95" w:type="dxa"/>
              <w:bottom w:w="75" w:type="dxa"/>
              <w:right w:w="95" w:type="dxa"/>
            </w:tcMar>
            <w:vAlign w:val="center"/>
          </w:tcPr>
          <w:p w14:paraId="00100D04" w14:textId="00100D05">
            <w:r>
              <w:rPr>
                <w:b/>
                <w:sz w:val="20"/>
              </w:rPr>
              <w:t xml:space="preserve">代表字段</w:t>
            </w:r>
          </w:p>
        </w:tc>
        <w:tc>
          <w:tcPr>
            <w:tcW w:w="2700" w:type="dxa"/>
            <w:shd w:val="clear" w:fill="DCE6EF"/>
            <w:tcMar>
              <w:top w:w="75" w:type="dxa"/>
              <w:left w:w="95" w:type="dxa"/>
              <w:bottom w:w="75" w:type="dxa"/>
              <w:right w:w="95" w:type="dxa"/>
            </w:tcMar>
            <w:vAlign w:val="center"/>
          </w:tcPr>
          <w:p w14:paraId="00100D06" w14:textId="00100D07">
            <w:r>
              <w:rPr>
                <w:b/>
                <w:sz w:val="20"/>
              </w:rPr>
              <w:t xml:space="preserve">计算口径</w:t>
            </w:r>
          </w:p>
        </w:tc>
        <w:tc>
          <w:tcPr>
            <w:tcW w:w="2036" w:type="dxa"/>
            <w:shd w:val="clear" w:fill="DCE6EF"/>
            <w:tcMar>
              <w:top w:w="75" w:type="dxa"/>
              <w:left w:w="95" w:type="dxa"/>
              <w:bottom w:w="75" w:type="dxa"/>
              <w:right w:w="95" w:type="dxa"/>
            </w:tcMar>
            <w:vAlign w:val="center"/>
          </w:tcPr>
          <w:p w14:paraId="00100D08" w14:textId="00100D09">
            <w:r>
              <w:rPr>
                <w:b/>
                <w:sz w:val="20"/>
              </w:rPr>
              <w:t xml:space="preserve">下游用途</w:t>
            </w:r>
          </w:p>
        </w:tc>
      </w:tr>
      <w:tr>
        <w:trPr>
          <w:cantSplit/>
        </w:trPr>
        <w:tc>
          <w:tcPr>
            <w:tcW w:w="1900" w:type="dxa"/>
            <w:shd w:val="clear" w:fill="FFFFFF"/>
            <w:tcMar>
              <w:top w:w="75" w:type="dxa"/>
              <w:left w:w="95" w:type="dxa"/>
              <w:bottom w:w="75" w:type="dxa"/>
              <w:right w:w="95" w:type="dxa"/>
            </w:tcMar>
            <w:vAlign w:val="center"/>
          </w:tcPr>
          <w:p w14:paraId="00100D0A" w14:textId="00100D0B">
            <w:r>
              <w:rPr>
                <w:b w:val="false"/>
                <w:sz w:val="20"/>
              </w:rPr>
              <w:t xml:space="preserve">作用域</w:t>
            </w:r>
          </w:p>
        </w:tc>
        <w:tc>
          <w:tcPr>
            <w:tcW w:w="3300" w:type="dxa"/>
            <w:shd w:val="clear" w:fill="FFFFFF"/>
            <w:tcMar>
              <w:top w:w="75" w:type="dxa"/>
              <w:left w:w="95" w:type="dxa"/>
              <w:bottom w:w="75" w:type="dxa"/>
              <w:right w:w="95" w:type="dxa"/>
            </w:tcMar>
            <w:vAlign w:val="center"/>
          </w:tcPr>
          <w:p w14:paraId="00100D0C" w14:textId="00100D0D">
            <w:r>
              <w:rPr>
                <w:b w:val="false"/>
                <w:sz w:val="20"/>
              </w:rPr>
              <w:t xml:space="preserve">scope / relevant / spatial_uncertain</w:t>
            </w:r>
          </w:p>
        </w:tc>
        <w:tc>
          <w:tcPr>
            <w:tcW w:w="2700" w:type="dxa"/>
            <w:shd w:val="clear" w:fill="FFFFFF"/>
            <w:tcMar>
              <w:top w:w="75" w:type="dxa"/>
              <w:left w:w="95" w:type="dxa"/>
              <w:bottom w:w="75" w:type="dxa"/>
              <w:right w:w="95" w:type="dxa"/>
            </w:tcMar>
            <w:vAlign w:val="center"/>
          </w:tcPr>
          <w:p w14:paraId="00100D0E" w14:textId="00100D0F">
            <w:r>
              <w:rPr>
                <w:b w:val="false"/>
                <w:sz w:val="20"/>
              </w:rPr>
              <w:t xml:space="preserve">候选集合、地图有效性、高度可判定性</w:t>
            </w:r>
          </w:p>
        </w:tc>
        <w:tc>
          <w:tcPr>
            <w:tcW w:w="2036" w:type="dxa"/>
            <w:shd w:val="clear" w:fill="FFFFFF"/>
            <w:tcMar>
              <w:top w:w="75" w:type="dxa"/>
              <w:left w:w="95" w:type="dxa"/>
              <w:bottom w:w="75" w:type="dxa"/>
              <w:right w:w="95" w:type="dxa"/>
            </w:tcMar>
            <w:vAlign w:val="center"/>
          </w:tcPr>
          <w:p w14:paraId="00100D10" w14:textId="00100D11">
            <w:r>
              <w:rPr>
                <w:b w:val="false"/>
                <w:sz w:val="20"/>
              </w:rPr>
              <w:t xml:space="preserve">意图、威胁、ETA 与防御的作用域门控</w:t>
            </w:r>
          </w:p>
        </w:tc>
      </w:tr>
      <w:tr>
        <w:trPr>
          <w:cantSplit/>
        </w:trPr>
        <w:tc>
          <w:tcPr>
            <w:tcW w:w="1900" w:type="dxa"/>
            <w:shd w:val="clear" w:fill="F4F6F8"/>
            <w:tcMar>
              <w:top w:w="75" w:type="dxa"/>
              <w:left w:w="95" w:type="dxa"/>
              <w:bottom w:w="75" w:type="dxa"/>
              <w:right w:w="95" w:type="dxa"/>
            </w:tcMar>
            <w:vAlign w:val="center"/>
          </w:tcPr>
          <w:p w14:paraId="00100D12" w14:textId="00100D13">
            <w:r>
              <w:rPr>
                <w:b w:val="false"/>
                <w:sz w:val="20"/>
              </w:rPr>
              <w:t xml:space="preserve">圈层</w:t>
            </w:r>
          </w:p>
        </w:tc>
        <w:tc>
          <w:tcPr>
            <w:tcW w:w="3300" w:type="dxa"/>
            <w:shd w:val="clear" w:fill="F4F6F8"/>
            <w:tcMar>
              <w:top w:w="75" w:type="dxa"/>
              <w:left w:w="95" w:type="dxa"/>
              <w:bottom w:w="75" w:type="dxa"/>
              <w:right w:w="95" w:type="dxa"/>
            </w:tcMar>
            <w:vAlign w:val="center"/>
          </w:tcPr>
          <w:p w14:paraId="00100D14" w14:textId="00100D15">
            <w:r>
              <w:rPr>
                <w:b w:val="false"/>
                <w:sz w:val="20"/>
              </w:rPr>
              <w:t xml:space="preserve">ring_status / ring_trend / rule_hits</w:t>
            </w:r>
          </w:p>
        </w:tc>
        <w:tc>
          <w:tcPr>
            <w:tcW w:w="2700" w:type="dxa"/>
            <w:shd w:val="clear" w:fill="F4F6F8"/>
            <w:tcMar>
              <w:top w:w="75" w:type="dxa"/>
              <w:left w:w="95" w:type="dxa"/>
              <w:bottom w:w="75" w:type="dxa"/>
              <w:right w:w="95" w:type="dxa"/>
            </w:tcMar>
            <w:vAlign w:val="center"/>
          </w:tcPr>
          <w:p w14:paraId="00100D16" w14:textId="00100D17">
            <w:r>
              <w:rPr>
                <w:b w:val="false"/>
                <w:sz w:val="20"/>
              </w:rPr>
              <w:t xml:space="preserve">命中最高等级与边界距离趋势</w:t>
            </w:r>
          </w:p>
        </w:tc>
        <w:tc>
          <w:tcPr>
            <w:tcW w:w="2036" w:type="dxa"/>
            <w:shd w:val="clear" w:fill="F4F6F8"/>
            <w:tcMar>
              <w:top w:w="75" w:type="dxa"/>
              <w:left w:w="95" w:type="dxa"/>
              <w:bottom w:w="75" w:type="dxa"/>
              <w:right w:w="95" w:type="dxa"/>
            </w:tcMar>
            <w:vAlign w:val="center"/>
          </w:tcPr>
          <w:p w14:paraId="00100D18" w14:textId="00100D19">
            <w:r>
              <w:rPr>
                <w:b w:val="false"/>
                <w:sz w:val="20"/>
              </w:rPr>
              <w:t xml:space="preserve">圈层分、空间硬规则与证据链</w:t>
            </w:r>
          </w:p>
        </w:tc>
      </w:tr>
      <w:tr>
        <w:trPr>
          <w:cantSplit/>
        </w:trPr>
        <w:tc>
          <w:tcPr>
            <w:tcW w:w="1900" w:type="dxa"/>
            <w:shd w:val="clear" w:fill="FFFFFF"/>
            <w:tcMar>
              <w:top w:w="75" w:type="dxa"/>
              <w:left w:w="95" w:type="dxa"/>
              <w:bottom w:w="75" w:type="dxa"/>
              <w:right w:w="95" w:type="dxa"/>
            </w:tcMar>
            <w:vAlign w:val="center"/>
          </w:tcPr>
          <w:p w14:paraId="00100D1A" w14:textId="00100D1B">
            <w:r>
              <w:rPr>
                <w:b w:val="false"/>
                <w:sz w:val="20"/>
              </w:rPr>
              <w:t xml:space="preserve">主区域</w:t>
            </w:r>
          </w:p>
        </w:tc>
        <w:tc>
          <w:tcPr>
            <w:tcW w:w="3300" w:type="dxa"/>
            <w:shd w:val="clear" w:fill="FFFFFF"/>
            <w:tcMar>
              <w:top w:w="75" w:type="dxa"/>
              <w:left w:w="95" w:type="dxa"/>
              <w:bottom w:w="75" w:type="dxa"/>
              <w:right w:w="95" w:type="dxa"/>
            </w:tcMar>
            <w:vAlign w:val="center"/>
          </w:tcPr>
          <w:p w14:paraId="00100D1C" w14:textId="00100D1D">
            <w:r>
              <w:rPr>
                <w:b w:val="false"/>
                <w:sz w:val="20"/>
              </w:rPr>
              <w:t xml:space="preserve">primary_area_kind / primary_area_id / primary_area_level / primary_area_matched / primary_boundary_distance_meters</w:t>
            </w:r>
          </w:p>
        </w:tc>
        <w:tc>
          <w:tcPr>
            <w:tcW w:w="2700" w:type="dxa"/>
            <w:shd w:val="clear" w:fill="FFFFFF"/>
            <w:tcMar>
              <w:top w:w="75" w:type="dxa"/>
              <w:left w:w="95" w:type="dxa"/>
              <w:bottom w:w="75" w:type="dxa"/>
              <w:right w:w="95" w:type="dxa"/>
            </w:tcMar>
            <w:vAlign w:val="center"/>
          </w:tcPr>
          <w:p w14:paraId="00100D1E" w14:textId="00100D1F">
            <w:r>
              <w:rPr>
                <w:b w:val="false"/>
                <w:sz w:val="20"/>
              </w:rPr>
              <w:t xml:space="preserve">多候选确定性排序后的第一项</w:t>
            </w:r>
          </w:p>
        </w:tc>
        <w:tc>
          <w:tcPr>
            <w:tcW w:w="2036" w:type="dxa"/>
            <w:shd w:val="clear" w:fill="FFFFFF"/>
            <w:tcMar>
              <w:top w:w="75" w:type="dxa"/>
              <w:left w:w="95" w:type="dxa"/>
              <w:bottom w:w="75" w:type="dxa"/>
              <w:right w:w="95" w:type="dxa"/>
            </w:tcMar>
            <w:vAlign w:val="center"/>
          </w:tcPr>
          <w:p w14:paraId="00100D20" w14:textId="00100D21">
            <w:r>
              <w:rPr>
                <w:b w:val="false"/>
                <w:sz w:val="20"/>
              </w:rPr>
              <w:t xml:space="preserve">稳定主上下文与排序键</w:t>
            </w:r>
          </w:p>
        </w:tc>
      </w:tr>
      <w:tr>
        <w:trPr>
          <w:cantSplit/>
        </w:trPr>
        <w:tc>
          <w:tcPr>
            <w:tcW w:w="1900" w:type="dxa"/>
            <w:shd w:val="clear" w:fill="F4F6F8"/>
            <w:tcMar>
              <w:top w:w="75" w:type="dxa"/>
              <w:left w:w="95" w:type="dxa"/>
              <w:bottom w:w="75" w:type="dxa"/>
              <w:right w:w="95" w:type="dxa"/>
            </w:tcMar>
            <w:vAlign w:val="center"/>
          </w:tcPr>
          <w:p w14:paraId="00100D22" w14:textId="00100D23">
            <w:r>
              <w:rPr>
                <w:b w:val="false"/>
                <w:sz w:val="20"/>
              </w:rPr>
              <w:t xml:space="preserve">空域与设施</w:t>
            </w:r>
          </w:p>
        </w:tc>
        <w:tc>
          <w:tcPr>
            <w:tcW w:w="3300" w:type="dxa"/>
            <w:shd w:val="clear" w:fill="F4F6F8"/>
            <w:tcMar>
              <w:top w:w="75" w:type="dxa"/>
              <w:left w:w="95" w:type="dxa"/>
              <w:bottom w:w="75" w:type="dxa"/>
              <w:right w:w="95" w:type="dxa"/>
            </w:tcMar>
            <w:vAlign w:val="center"/>
          </w:tcPr>
          <w:p w14:paraId="00100D24" w14:textId="00100D25">
            <w:r>
              <w:rPr>
                <w:b w:val="false"/>
                <w:sz w:val="20"/>
              </w:rPr>
              <w:t xml:space="preserve">airspace_id / facility_id / facility_ids / has_relevant_ring</w:t>
            </w:r>
          </w:p>
        </w:tc>
        <w:tc>
          <w:tcPr>
            <w:tcW w:w="2700" w:type="dxa"/>
            <w:shd w:val="clear" w:fill="F4F6F8"/>
            <w:tcMar>
              <w:top w:w="75" w:type="dxa"/>
              <w:left w:w="95" w:type="dxa"/>
              <w:bottom w:w="75" w:type="dxa"/>
              <w:right w:w="95" w:type="dxa"/>
            </w:tcMar>
            <w:vAlign w:val="center"/>
          </w:tcPr>
          <w:p w14:paraId="00100D26" w14:textId="00100D27">
            <w:r>
              <w:rPr>
                <w:b w:val="false"/>
                <w:sz w:val="20"/>
              </w:rPr>
              <w:t xml:space="preserve">圈层候选的父空域与锚点设施</w:t>
            </w:r>
          </w:p>
        </w:tc>
        <w:tc>
          <w:tcPr>
            <w:tcW w:w="2036" w:type="dxa"/>
            <w:shd w:val="clear" w:fill="F4F6F8"/>
            <w:tcMar>
              <w:top w:w="75" w:type="dxa"/>
              <w:left w:w="95" w:type="dxa"/>
              <w:bottom w:w="75" w:type="dxa"/>
              <w:right w:w="95" w:type="dxa"/>
            </w:tcMar>
            <w:vAlign w:val="center"/>
          </w:tcPr>
          <w:p w14:paraId="00100D28" w14:textId="00100D29">
            <w:r>
              <w:rPr>
                <w:b w:val="false"/>
                <w:sz w:val="20"/>
              </w:rPr>
              <w:t xml:space="preserve">设施距离、ETA 与设施类意图特征</w:t>
            </w:r>
          </w:p>
        </w:tc>
      </w:tr>
      <w:tr>
        <w:trPr>
          <w:cantSplit/>
        </w:trPr>
        <w:tc>
          <w:tcPr>
            <w:tcW w:w="1900" w:type="dxa"/>
            <w:shd w:val="clear" w:fill="FFFFFF"/>
            <w:tcMar>
              <w:top w:w="75" w:type="dxa"/>
              <w:left w:w="95" w:type="dxa"/>
              <w:bottom w:w="75" w:type="dxa"/>
              <w:right w:w="95" w:type="dxa"/>
            </w:tcMar>
            <w:vAlign w:val="center"/>
          </w:tcPr>
          <w:p w14:paraId="00100D2A" w14:textId="00100D2B">
            <w:r>
              <w:rPr>
                <w:b w:val="false"/>
                <w:sz w:val="20"/>
              </w:rPr>
              <w:t xml:space="preserve">规则命中</w:t>
            </w:r>
          </w:p>
        </w:tc>
        <w:tc>
          <w:tcPr>
            <w:tcW w:w="3300" w:type="dxa"/>
            <w:shd w:val="clear" w:fill="FFFFFF"/>
            <w:tcMar>
              <w:top w:w="75" w:type="dxa"/>
              <w:left w:w="95" w:type="dxa"/>
              <w:bottom w:w="75" w:type="dxa"/>
              <w:right w:w="95" w:type="dxa"/>
            </w:tcMar>
            <w:vAlign w:val="center"/>
          </w:tcPr>
          <w:p w14:paraId="00100D2C" w14:textId="00100D2D">
            <w:r>
              <w:rPr>
                <w:b w:val="false"/>
                <w:sz w:val="20"/>
              </w:rPr>
              <w:t xml:space="preserve">rule_hits</w:t>
            </w:r>
          </w:p>
        </w:tc>
        <w:tc>
          <w:tcPr>
            <w:tcW w:w="2700" w:type="dxa"/>
            <w:shd w:val="clear" w:fill="FFFFFF"/>
            <w:tcMar>
              <w:top w:w="75" w:type="dxa"/>
              <w:left w:w="95" w:type="dxa"/>
              <w:bottom w:w="75" w:type="dxa"/>
              <w:right w:w="95" w:type="dxa"/>
            </w:tcMar>
            <w:vAlign w:val="center"/>
          </w:tcPr>
          <w:p w14:paraId="00100D2E" w14:textId="00100D2F">
            <w:r>
              <w:rPr>
                <w:b w:val="false"/>
                <w:sz w:val="20"/>
              </w:rPr>
              <w:t xml:space="preserve">禁飞命中与圈层命中</w:t>
            </w:r>
          </w:p>
        </w:tc>
        <w:tc>
          <w:tcPr>
            <w:tcW w:w="2036" w:type="dxa"/>
            <w:shd w:val="clear" w:fill="FFFFFF"/>
            <w:tcMar>
              <w:top w:w="75" w:type="dxa"/>
              <w:left w:w="95" w:type="dxa"/>
              <w:bottom w:w="75" w:type="dxa"/>
              <w:right w:w="95" w:type="dxa"/>
            </w:tcMar>
            <w:vAlign w:val="center"/>
          </w:tcPr>
          <w:p w14:paraId="00100D30" w14:textId="00100D31">
            <w:r>
              <w:rPr>
                <w:b w:val="false"/>
                <w:sz w:val="20"/>
              </w:rPr>
              <w:t xml:space="preserve">规则命中与可解释性</w:t>
            </w:r>
          </w:p>
        </w:tc>
      </w:tr>
    </w:tbl>
    <w:p w14:paraId="00100C9C" w14:textId="00100C9D">
      <w:pPr>
        <w:pStyle w:val="Normal"/>
      </w:pPr>
      <w:r>
        <w:rPr/>
        <w:t xml:space="preserve">多个候选只选一个主区域：命中优先于未命中；命中项按圈层严重度降序（禁飞 hard &gt; core &gt; alert &gt; warn）；未命中项按边界距离升序；最后按区域类型、区域编号、目标编号稳定排序，保证结果不依赖输入数组顺序。主区域、父空域、锚点设施、设施距离和 ETA 在同一上下文内原子确定。锚点设施取第一个圈层候选的 relatedFacilityId；若主区域是禁飞区，airspace_id 仍取圈层候选的父空域，避免把禁飞区编号混入防控空域命名空间。</w:t>
      </w:r>
    </w:p>
    <w:p w14:paraId="00100C9A" w14:textId="00100C9B">
      <w:pPr>
        <w:pStyle w:val="Normal"/>
      </w:pPr>
      <w:r>
        <w:rPr/>
        <w:t xml:space="preserve">旧地图圈层未提供 relatedFacilityId 时，仅在没有任何候选设施编号且整张地图恰好只有一个设施的无歧义场景允许回退；多设施场景不猜测最近设施。</w:t>
      </w:r>
    </w:p>
    <w:p w14:paraId="00100156" w14:textId="00100157">
      <w:pPr>
        <w:pStyle w:val="Heading2"/>
      </w:pPr>
      <w:r>
        <w:t>主上下文与成员作用域</w:t>
      </w:r>
    </w:p>
    <w:p w14:paraId="00100158" w14:textId="00100D35">
      <w:pPr>
        <w:widowControl/>
      </w:pPr>
      <w:r>
        <w:rPr>
          <w:b w:val="0"/>
        </w:rPr>
        <w:t xml:space="preserve">候选排序规则是：命中优先于未命中；命中项按圈层严重度降序（hard &gt; core &gt; alert &gt; warn），再按边界距离升序；未命中项按边界距离升序，再按严重度降序；最后按区域类型、区域编号和目标编号稳定排序。集群从成员上下文中选择同一排序原则下的主上下文，并限制空间硬规则只由该上下文的成员触发。其他设施方向的成员命中不能无条件抬高当前主设施的空间意图和硬规则。</w:t>
      </w:r>
    </w:p>
    <w:p w14:paraId="00100C98" w14:textId="00100C99">
      <w:pPr>
        <w:pStyle w:val="Heading2"/>
      </w:pPr>
      <w:r>
        <w:rPr/>
        <w:t xml:space="preserve">集群整合与下游消费</w:t>
      </w:r>
    </w:p>
    <w:p w14:paraId="00100C96" w14:textId="00100C97">
      <w:pPr>
        <w:pStyle w:val="Normal"/>
      </w:pPr>
      <w:r>
        <w:rPr/>
        <w:t xml:space="preserve">集群先合并成员作用域：任一成员 relevant 则集群 relevant；否则任一成员 unavailable 则集群 unavailable；否则 irrelevant。再在所有 relevant 成员上下文中按同一排序键选主上下文；与主上下文具有相同 airspaceId（主上下文无父空域时比较区域类型和区域编号）的成员构成空间评分成员集合。集群标量 airspaceId 只表示这个主上下文的父空域，命中明细仍由 spatialSummary 返回。</w:t>
      </w:r>
    </w:p>
    <w:p w14:paraId="00100C94" w14:textId="00100C95">
      <w:pPr>
        <w:pStyle w:val="Normal"/>
      </w:pPr>
      <w:r>
        <w:rPr/>
        <w:t xml:space="preserve">意图、威胁、ETA、路由和防御只消费主上下文。只有空间评分成员集合内的成员可以触发该上下文的 R1 至 R9 空间硬规则；空间型意图若只由其他上下文的成员触发，集群意图维取中性值 18，不能跨上下文抬底。设施距离、ETA、设施类意图特征和碰撞证据只使用主上下文锚点设施，不从其他候选借用。</w:t>
      </w:r>
    </w:p>
    <w:p w14:paraId="00100C92" w14:textId="00100C93">
      <w:pPr>
        <w:pStyle w:val="Normal"/>
      </w:pPr>
      <w:r>
        <w:rPr/>
        <w:t xml:space="preserve">作用域对威胁的直接后果是：relevant 时空间硬规则可以把分数抬到下限；irrelevant 时不关联设施、不计算 ETA、hardRuleFloor 为 0、最终分封顶为 mediumThreatThreshold−1，防御评估返回 not_applicable；unavailable 时保留可计算维度和保守硬规则，不套用低档封顶，并强制 reviewRequired 为 true。</w:t>
      </w:r>
    </w:p>
    <w:p w14:paraId="00100C90" w14:textId="00100C91">
      <w:pPr>
        <w:pStyle w:val="Normal"/>
      </w:pPr>
      <w:r>
        <w:rPr/>
        <w:t xml:space="preserve">单机威胁使用每个成员自己的上下文独立计算，不继承同集群其他成员的高度、行为、合规或载荷风险；集群分只做聚合展示，不能直接当作成员分。</w:t>
      </w:r>
    </w:p>
    <w:p w14:paraId="00100C8E" w14:textId="00100C8F">
      <w:pPr>
        <w:pStyle w:val="Heading2"/>
      </w:pPr>
      <w:r>
        <w:rPr/>
        <w:t xml:space="preserve">边界与实现限制</w:t>
      </w:r>
    </w:p>
    <w:p w14:paraId="00100C8C" w14:textId="00100C8D">
      <w:pPr>
        <w:pStyle w:val="Normal"/>
      </w:pPr>
      <w:r>
        <w:rPr/>
        <w:t xml:space="preserve">需要特别区分三个口径：5 000 米是到范围参考圈边界的距离，不是到设施中心或圆心的距离；高度未知不是已知不相关，不能直接套用远场低档封顶；禁飞区不参与距离外扩，远处的独立禁飞区边界不能建立本地设施风险上下文。</w:t>
      </w:r>
    </w:p>
    <w:p w14:paraId="00100C8A" w14:textId="00100C8B">
      <w:pPr>
        <w:pStyle w:val="Normal"/>
      </w:pPr>
      <w:r>
        <w:rPr/>
        <w:t xml:space="preserve">设施类特征只针对主上下文的锚点设施计算。非锚点设施即使在同一张地图内，也不会参与 I-10、I-21 等依赖设施类型语义的规则；碰撞证据也只对锚点设施生成。默认动态地图把设施类型统一为 other，并且不生成 sensitive_mapping 区域，因此这些规则需要调用方提供带明确类型的业务地图才能触发。</w:t>
      </w:r>
    </w:p>
    <w:p w14:paraId="00100C88" w14:textId="00100C89">
      <w:pPr>
        <w:pStyle w:val="Normal"/>
      </w:pPr>
      <w:r>
        <w:rPr/>
        <w:t xml:space="preserve">公共 targetAirspaceResults 的 status 表示空间输入完整度，内部 scope 表示相关性。二者不是同一口径：例如所有圈层都因过期或非法被过滤时，可能出现 status 为 available、内部 scope 为 unavailable 的组合。此时应以 scope 和 reviewRequired 为准，并补充“记录被过滤”的诊断。集群中存在 unavailable 成员时，作用域门控暂时失效，全体成员都可以触发保守硬规则；这是保守设计，但会降低集群分的成员归因性。</w:t>
      </w:r>
    </w:p>
    <w:p w14:paraId="00100C86" w14:textId="00100C87">
      <w:pPr>
        <w:pStyle w:val="Normal"/>
      </w:pPr>
      <w:r>
        <w:rPr/>
        <w:t xml:space="preserve">空间评估的复杂度约为目标数×有效区域数×窗口点数×多边形边数的乘积，没有空间索引。默认单空域样本耗时很低；大规模复合地图（例如上百个空域和数百个区域）需要单独测量并评估是否引入包围盒预筛。ruleConfig 中的 airspaceAssessmentRangeMeters 和 airspaceBoundaryToleranceMeters 当前只有下界约束，调用方应按业务边界配置，不能无限放大。</w:t>
      </w:r>
    </w:p>
    <w:p w14:paraId="00100C84" w14:textId="00100C85">
      <w:pPr>
        <w:pStyle w:val="Normal"/>
      </w:pPr>
      <w:r>
        <w:rPr/>
        <w:t xml:space="preserve">合规豁免与空间上下文的关系需要单独说明：豁免在聚类前完成，豁免目标不进入威胁、ETA 和防御资源链，但其 targetAirspaceResults 仍照常计算，法定禁飞特殊候选也会在豁免意图评估中出现。当前实现没有定义“法定禁飞优先于白名单或计划豁免”的合并规则；若业务要求禁飞绝对优先，应在豁免阶段显式增加判定。</w:t>
      </w:r>
    </w:p>
    <w:p w14:paraId="0010015A" w14:textId="0010015B">
      <w:pPr>
        <w:pStyle w:val="Heading2"/>
      </w:pPr>
      <w:r>
        <w:t>验证意义</w:t>
      </w:r>
    </w:p>
    <w:p w14:paraId="0010015C" w14:textId="00100D36">
      <w:pPr>
        <w:widowControl/>
      </w:pPr>
      <w:r>
        <w:rPr>
          <w:b w:val="0"/>
        </w:rPr>
        <w:t xml:space="preserve">本次空间分析与输入校验共 20 项通过，支持已编码场景下的空间逻辑回归；另有 7 项空间相关集成场景（重叠空域主上下文、混合作用域、圈层与禁飞区高度未知、跨上下文空间意图中性化、锚点设施不借用）通过。地图覆盖范围、边界精度与高度来源仍需与实际部署数据一同核验。统一上下文解决的是判断一致性，不自动修复上游地图误差。</w:t>
      </w:r>
    </w:p>
    <w:p w14:paraId="0010015E" w14:textId="00100D37">
      <w:pPr>
        <w:widowControl/>
        <w:spacing w:line="276" w:lineRule="auto"/>
      </w:pPr>
      <w:r>
        <w:rPr>
          <w:b w:val="0"/>
          <w:sz w:val="18"/>
        </w:rPr>
        <w:t xml:space="preserve">实现与证据  airspace_analysis.py evaluate_with_context / _evaluate_target / _movement_relation / _candidate_key / _spatial_context；engine.py _clusters / _evaluate_cluster / _spatial_context_key / _same_primary_context / _facilities_for_context / _threat；defense_analysis.py evaluate；project_reference 第7章。本次 T09。[S03][S08]</w:t>
      </w:r>
    </w:p>
    <w:p w14:paraId="00100160" w14:textId="00100161">
      <w:r>
        <w:br w:type="page"/>
      </w:r>
    </w:p>
    <w:p w14:paraId="00100162" w14:textId="00100163">
      <w:pPr>
        <w:pStyle w:val="Heading1"/>
      </w:pPr>
      <w:r>
        <w:t>8 意图候选与证据组织</w:t>
      </w:r>
    </w:p>
    <w:p w14:paraId="00100164" w14:textId="00100165">
      <w:pPr>
        <w:widowControl/>
      </w:pPr>
      <w:r>
        <w:rPr>
          <w:b w:val="0"/>
        </w:rPr>
        <w:t>意图模块使用统一的 IntentFeatureFrame，包含单机特征、群体特征、空间状态和豁免匹配记录。启用规则分别评估，每个成立的规则形成一个候选，记录业务代码、置信评分、触发成员、优先级、信息完整度和观测证据。</w:t>
      </w:r>
    </w:p>
    <w:p w14:paraId="00100166" w14:textId="00100167">
      <w:pPr>
        <w:pStyle w:val="Heading2"/>
      </w:pPr>
      <w:r>
        <w:t>独立评估和稳定选择</w:t>
      </w:r>
    </w:p>
    <w:p w14:paraId="00100168" w14:textId="00100169">
      <w:pPr>
        <w:widowControl/>
      </w:pPr>
      <w:r>
        <w:rPr>
          <w:b w:val="0"/>
        </w:rPr>
        <w:t>候选按优先级升序、confidence 降序、完整度降序、代码升序排列。同一意图的多个来源去重后保留最强项。首项为主意图，其余可作为候选输出。优先级解决同时成立时的冲突，不是威胁分，因此主意图不一定拥有最大的 confidence。</w:t>
      </w:r>
    </w:p>
    <w:p w14:paraId="0010016A" w14:textId="0010016B">
      <w:pPr>
        <w:spacing w:before="100" w:after="160"/>
        <w:jc w:val="center"/>
      </w:pPr>
      <m:oMath>
        <m:r>
          <w:rPr>
            <w:rFonts w:ascii="Cambria Math" w:hAnsi="Cambria Math" w:eastAsia="Cambria Math"/>
            <w:sz w:val="22"/>
          </w:rPr>
          <m:t>K(c) = (priority, −confidence, −completeness, code)</m:t>
        </m:r>
      </m:oMath>
      <w:r>
        <w:rPr>
          <w:sz w:val="18"/>
        </w:rPr>
        <w:t xml:space="preserve">    式7</w:t>
      </w:r>
    </w:p>
    <w:p w14:paraId="0010016C" w14:textId="0010016D">
      <w:pPr>
        <w:widowControl/>
      </w:pPr>
      <w:r>
        <w:rPr>
          <w:b w:val="0"/>
        </w:rPr>
        <w:t>式7为排序规则的简写；实际代码对两个浮点值先保留八位精度排序。没有合格候选时返回空意图并进入复核，I-28 当前禁用。法定禁飞区侵入使用特殊标记 NO_FLY_INTRUSION，intentCode 为空时仍可能有有效特殊结论。</w:t>
      </w:r>
    </w:p>
    <w:p w14:paraId="0010016E" w14:textId="0010016F">
      <w:pPr>
        <w:pStyle w:val="Heading2"/>
      </w:pPr>
      <w:r>
        <w:t>单机和集群分别判读</w:t>
      </w:r>
    </w:p>
    <w:p w14:paraId="00100170" w14:textId="00100171">
      <w:pPr>
        <w:widowControl/>
      </w:pPr>
      <w:r>
        <w:rPr>
          <w:b w:val="0"/>
        </w:rPr>
        <w:t>集群规则结合成员与群体特征；单机使用自己的特征和空间依据。多成员集群逐成员计算，不能把集群主意图或威胁直接复制给全部目标。单机结果从 targetIntentResults 读取，成员威胁位于 clusterDtoList 的 targetDtoList 中。</w:t>
      </w:r>
    </w:p>
    <w:p w14:paraId="00100172" w14:textId="00100173">
      <w:pPr>
        <w:widowControl/>
      </w:pPr>
      <w:r>
        <w:rPr>
          <w:b w:val="0"/>
        </w:rPr>
        <w:t>默认保留单机完整合格候选。关闭 returnTargetIntentCandidates 时，只隐藏候选数组，候选数量仍保留。证据链使使用者可以区分“规则成立”“信息缺失”和“算法降级”。</w:t>
      </w:r>
    </w:p>
    <w:p w14:paraId="00100174" w14:textId="00100175">
      <w:pPr>
        <w:pStyle w:val="Heading2"/>
      </w:pPr>
      <w:r>
        <w:t>方法选择与限制</w:t>
      </w:r>
    </w:p>
    <w:p w14:paraId="00100176" w14:textId="00100177">
      <w:pPr>
        <w:widowControl/>
      </w:pPr>
      <w:r>
        <w:rPr>
          <w:b w:val="0"/>
        </w:rPr>
        <w:t>首版采用确定性规则，便于把产品约束与观测值逐项对应，并直接构造边界回归。代价是经验阈值和组合逻辑对场景变化敏感。规则 confidence 是人为定义的排序与质量量，不等于意图真实概率；需要后续标注数据校准和误报分析。</w:t>
      </w:r>
    </w:p>
    <w:p w14:paraId="00100178" w14:textId="00100179">
      <w:pPr>
        <w:widowControl/>
        <w:spacing w:line="276" w:lineRule="auto"/>
      </w:pPr>
      <w:r>
        <w:rPr>
          <w:b w:val="0"/>
          <w:sz w:val="18"/>
        </w:rPr>
        <w:t>实现与证据  intent_rules.py；engine.py _intent、_build_target_intent_results；project_reference 第8.1和8.5节。[S09]</w:t>
      </w:r>
    </w:p>
    <w:p w14:paraId="0010017A" w14:textId="0010017B">
      <w:r>
        <w:br w:type="page"/>
      </w:r>
    </w:p>
    <w:p w14:paraId="0010017C" w14:textId="0010017D">
      <w:pPr>
        <w:pStyle w:val="Heading1"/>
      </w:pPr>
      <w:r>
        <w:t>9 首版规则覆盖范围</w:t>
      </w:r>
    </w:p>
    <w:p w14:paraId="0010017E" w14:textId="0010017F">
      <w:pPr>
        <w:widowControl/>
      </w:pPr>
      <w:r>
        <w:rPr>
          <w:b w:val="0"/>
        </w:rPr>
        <w:t>业务目录保留 I-01 至 I-30。当前首版启用其中 19 项，以下名称沿用产品分类，表示规则输出标签，不等于对真实动机的直接证明。</w:t>
      </w:r>
    </w:p>
    <w:tbl>
      <w:tblPr>
        <w:tblW w:w="0" w:type="auto"/>
        <w:jc w:val="center"/>
        <w:tblLayout w:type="fixed"/>
        <w:tblLook w:val="04A0" w:firstRow="1" w:lastRow="0" w:firstColumn="1" w:lastColumn="0" w:noHBand="0" w:noVBand="1"/>
      </w:tblPr>
      <w:tblGrid>
        <w:gridCol w:w="936"/>
        <w:gridCol w:w="3168"/>
        <w:gridCol w:w="5832"/>
      </w:tblGrid>
      <w:tr>
        <w:trPr>
          <w:tblHeader/>
          <w:cantSplit/>
        </w:trPr>
        <w:tc>
          <w:tcPr>
            <w:tcW w:w="93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180" w14:textId="00100181">
            <w:pPr>
              <w:spacing w:after="0" w:line="269" w:lineRule="auto"/>
              <w:jc w:val="center"/>
            </w:pPr>
            <w:r>
              <w:rPr>
                <w:b/>
                <w:color w:val="000000"/>
                <w:sz w:val="20"/>
              </w:rPr>
              <w:t>代码</w:t>
            </w:r>
          </w:p>
        </w:tc>
        <w:tc>
          <w:tcPr>
            <w:tcW w:w="316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182" w14:textId="00100183">
            <w:pPr>
              <w:spacing w:after="0" w:line="269" w:lineRule="auto"/>
            </w:pPr>
            <w:r>
              <w:rPr>
                <w:b/>
                <w:color w:val="000000"/>
                <w:sz w:val="20"/>
              </w:rPr>
              <w:t>业务名称</w:t>
            </w:r>
          </w:p>
        </w:tc>
        <w:tc>
          <w:tcPr>
            <w:tcW w:w="583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184" w14:textId="00100185">
            <w:pPr>
              <w:spacing w:after="0" w:line="269" w:lineRule="auto"/>
            </w:pPr>
            <w:r>
              <w:rPr>
                <w:b/>
                <w:color w:val="000000"/>
                <w:sz w:val="20"/>
              </w:rPr>
              <w:t>主要依据摘要</w:t>
            </w:r>
          </w:p>
        </w:tc>
      </w:tr>
      <w:tr>
        <w:trPr>
          <w:cantSplit/>
        </w:trPr>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86" w14:textId="00100187">
            <w:pPr>
              <w:spacing w:after="0" w:line="269" w:lineRule="auto"/>
              <w:jc w:val="center"/>
            </w:pPr>
            <w:r>
              <w:rPr>
                <w:b w:val="0"/>
                <w:color w:val="000000"/>
                <w:sz w:val="20"/>
              </w:rPr>
              <w:t>I-01</w:t>
            </w:r>
          </w:p>
        </w:tc>
        <w:tc>
          <w:tcPr>
            <w:tcW w:w="31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88" w14:textId="00100189">
            <w:pPr>
              <w:spacing w:after="0" w:line="269" w:lineRule="auto"/>
            </w:pPr>
            <w:r>
              <w:rPr>
                <w:b w:val="0"/>
                <w:color w:val="000000"/>
                <w:sz w:val="20"/>
              </w:rPr>
              <w:t>已报备巡检</w:t>
            </w:r>
          </w:p>
        </w:tc>
        <w:tc>
          <w:tcPr>
            <w:tcW w:w="583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8A" w14:textId="0010018B">
            <w:pPr>
              <w:spacing w:after="0" w:line="269" w:lineRule="auto"/>
            </w:pPr>
            <w:r>
              <w:rPr>
                <w:b w:val="0"/>
                <w:color w:val="000000"/>
                <w:sz w:val="20"/>
              </w:rPr>
              <w:t>有效巡检计划及匹配分</w:t>
            </w:r>
          </w:p>
        </w:tc>
      </w:tr>
      <w:tr>
        <w:trPr>
          <w:cantSplit/>
        </w:trPr>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8C" w14:textId="0010018D">
            <w:pPr>
              <w:spacing w:after="0" w:line="269" w:lineRule="auto"/>
              <w:jc w:val="center"/>
            </w:pPr>
            <w:r>
              <w:rPr>
                <w:b w:val="0"/>
                <w:color w:val="000000"/>
                <w:sz w:val="20"/>
              </w:rPr>
              <w:t>I-02</w:t>
            </w:r>
          </w:p>
        </w:tc>
        <w:tc>
          <w:tcPr>
            <w:tcW w:w="31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8E" w14:textId="0010018F">
            <w:pPr>
              <w:spacing w:after="0" w:line="269" w:lineRule="auto"/>
            </w:pPr>
            <w:r>
              <w:rPr>
                <w:b w:val="0"/>
                <w:color w:val="000000"/>
                <w:sz w:val="20"/>
              </w:rPr>
              <w:t>已报备航拍物流测绘</w:t>
            </w:r>
          </w:p>
        </w:tc>
        <w:tc>
          <w:tcPr>
            <w:tcW w:w="583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90" w14:textId="00100191">
            <w:pPr>
              <w:spacing w:after="0" w:line="269" w:lineRule="auto"/>
            </w:pPr>
            <w:r>
              <w:rPr>
                <w:b w:val="0"/>
                <w:color w:val="000000"/>
                <w:sz w:val="20"/>
              </w:rPr>
              <w:t>有效计划用途及匹配分</w:t>
            </w:r>
          </w:p>
        </w:tc>
      </w:tr>
      <w:tr>
        <w:trPr>
          <w:cantSplit/>
        </w:trPr>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92" w14:textId="00100193">
            <w:pPr>
              <w:spacing w:after="0" w:line="269" w:lineRule="auto"/>
              <w:jc w:val="center"/>
            </w:pPr>
            <w:r>
              <w:rPr>
                <w:b w:val="0"/>
                <w:color w:val="000000"/>
                <w:sz w:val="20"/>
              </w:rPr>
              <w:t>I-03</w:t>
            </w:r>
          </w:p>
        </w:tc>
        <w:tc>
          <w:tcPr>
            <w:tcW w:w="31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94" w14:textId="00100195">
            <w:pPr>
              <w:spacing w:after="0" w:line="269" w:lineRule="auto"/>
            </w:pPr>
            <w:r>
              <w:rPr>
                <w:b w:val="0"/>
                <w:color w:val="000000"/>
                <w:sz w:val="20"/>
              </w:rPr>
              <w:t>我方系统测试</w:t>
            </w:r>
          </w:p>
        </w:tc>
        <w:tc>
          <w:tcPr>
            <w:tcW w:w="583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96" w14:textId="00100197">
            <w:pPr>
              <w:spacing w:after="0" w:line="269" w:lineRule="auto"/>
            </w:pPr>
            <w:r>
              <w:rPr>
                <w:b w:val="0"/>
                <w:color w:val="000000"/>
                <w:sz w:val="20"/>
              </w:rPr>
              <w:t>有效测试白名单</w:t>
            </w:r>
          </w:p>
        </w:tc>
      </w:tr>
      <w:tr>
        <w:trPr>
          <w:cantSplit/>
        </w:trPr>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98" w14:textId="00100199">
            <w:pPr>
              <w:spacing w:after="0" w:line="269" w:lineRule="auto"/>
              <w:jc w:val="center"/>
            </w:pPr>
            <w:r>
              <w:rPr>
                <w:b w:val="0"/>
                <w:color w:val="000000"/>
                <w:sz w:val="20"/>
              </w:rPr>
              <w:t>I-05</w:t>
            </w:r>
          </w:p>
        </w:tc>
        <w:tc>
          <w:tcPr>
            <w:tcW w:w="31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9A" w14:textId="0010019B">
            <w:pPr>
              <w:spacing w:after="0" w:line="269" w:lineRule="auto"/>
            </w:pPr>
            <w:r>
              <w:rPr>
                <w:b w:val="0"/>
                <w:color w:val="000000"/>
                <w:sz w:val="20"/>
              </w:rPr>
              <w:t>装备调试</w:t>
            </w:r>
          </w:p>
        </w:tc>
        <w:tc>
          <w:tcPr>
            <w:tcW w:w="583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9C" w14:textId="0010019D">
            <w:pPr>
              <w:spacing w:after="0" w:line="269" w:lineRule="auto"/>
            </w:pPr>
            <w:r>
              <w:rPr>
                <w:b w:val="0"/>
                <w:color w:val="000000"/>
                <w:sz w:val="20"/>
              </w:rPr>
              <w:t>调试白名单与小范围悬停</w:t>
            </w:r>
          </w:p>
        </w:tc>
      </w:tr>
      <w:tr>
        <w:trPr>
          <w:cantSplit/>
        </w:trPr>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9E" w14:textId="0010019F">
            <w:pPr>
              <w:spacing w:after="0" w:line="269" w:lineRule="auto"/>
              <w:jc w:val="center"/>
            </w:pPr>
            <w:r>
              <w:rPr>
                <w:b w:val="0"/>
                <w:color w:val="000000"/>
                <w:sz w:val="20"/>
              </w:rPr>
              <w:t>I-08</w:t>
            </w:r>
          </w:p>
        </w:tc>
        <w:tc>
          <w:tcPr>
            <w:tcW w:w="31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A0" w14:textId="001001A1">
            <w:pPr>
              <w:spacing w:after="0" w:line="269" w:lineRule="auto"/>
            </w:pPr>
            <w:r>
              <w:rPr>
                <w:b w:val="0"/>
                <w:color w:val="000000"/>
                <w:sz w:val="20"/>
              </w:rPr>
              <w:t>新手误操作</w:t>
            </w:r>
          </w:p>
        </w:tc>
        <w:tc>
          <w:tcPr>
            <w:tcW w:w="583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A2" w14:textId="001001A3">
            <w:pPr>
              <w:spacing w:after="0" w:line="269" w:lineRule="auto"/>
            </w:pPr>
            <w:r>
              <w:rPr>
                <w:b w:val="0"/>
                <w:color w:val="000000"/>
                <w:sz w:val="20"/>
              </w:rPr>
              <w:t>经验信息或代理与航迹抖动</w:t>
            </w:r>
          </w:p>
        </w:tc>
      </w:tr>
      <w:tr>
        <w:trPr>
          <w:cantSplit/>
        </w:trPr>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A4" w14:textId="001001A5">
            <w:pPr>
              <w:spacing w:after="0" w:line="269" w:lineRule="auto"/>
              <w:jc w:val="center"/>
            </w:pPr>
            <w:r>
              <w:rPr>
                <w:b w:val="0"/>
                <w:color w:val="000000"/>
                <w:sz w:val="20"/>
              </w:rPr>
              <w:t>I-10</w:t>
            </w:r>
          </w:p>
        </w:tc>
        <w:tc>
          <w:tcPr>
            <w:tcW w:w="31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A6" w14:textId="001001A7">
            <w:pPr>
              <w:spacing w:after="0" w:line="269" w:lineRule="auto"/>
            </w:pPr>
            <w:r>
              <w:rPr>
                <w:b w:val="0"/>
                <w:color w:val="000000"/>
                <w:sz w:val="20"/>
              </w:rPr>
              <w:t>未报备航拍</w:t>
            </w:r>
          </w:p>
        </w:tc>
        <w:tc>
          <w:tcPr>
            <w:tcW w:w="583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A8" w14:textId="001001A9">
            <w:pPr>
              <w:spacing w:after="0" w:line="269" w:lineRule="auto"/>
            </w:pPr>
            <w:r>
              <w:rPr>
                <w:b w:val="0"/>
                <w:color w:val="000000"/>
                <w:sz w:val="20"/>
              </w:rPr>
              <w:t>景点或地标附近悬停</w:t>
            </w:r>
          </w:p>
        </w:tc>
      </w:tr>
      <w:tr>
        <w:trPr>
          <w:cantSplit/>
        </w:trPr>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AA" w14:textId="001001AB">
            <w:pPr>
              <w:spacing w:after="0" w:line="269" w:lineRule="auto"/>
              <w:jc w:val="center"/>
            </w:pPr>
            <w:r>
              <w:rPr>
                <w:b w:val="0"/>
                <w:color w:val="000000"/>
                <w:sz w:val="20"/>
              </w:rPr>
              <w:t>I-11</w:t>
            </w:r>
          </w:p>
        </w:tc>
        <w:tc>
          <w:tcPr>
            <w:tcW w:w="31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AC" w14:textId="001001AD">
            <w:pPr>
              <w:spacing w:after="0" w:line="269" w:lineRule="auto"/>
            </w:pPr>
            <w:r>
              <w:rPr>
                <w:b w:val="0"/>
                <w:color w:val="000000"/>
                <w:sz w:val="20"/>
              </w:rPr>
              <w:t>未报备飞行</w:t>
            </w:r>
          </w:p>
        </w:tc>
        <w:tc>
          <w:tcPr>
            <w:tcW w:w="583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AE" w14:textId="001001AF">
            <w:pPr>
              <w:spacing w:after="0" w:line="269" w:lineRule="auto"/>
            </w:pPr>
            <w:r>
              <w:rPr>
                <w:b w:val="0"/>
                <w:color w:val="000000"/>
                <w:sz w:val="20"/>
              </w:rPr>
              <w:t>明确未登记且未豁免</w:t>
            </w:r>
          </w:p>
        </w:tc>
      </w:tr>
      <w:tr>
        <w:trPr>
          <w:cantSplit/>
        </w:trPr>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B0" w14:textId="001001B1">
            <w:pPr>
              <w:spacing w:after="0" w:line="269" w:lineRule="auto"/>
              <w:jc w:val="center"/>
            </w:pPr>
            <w:r>
              <w:rPr>
                <w:b w:val="0"/>
                <w:color w:val="000000"/>
                <w:sz w:val="20"/>
              </w:rPr>
              <w:t>I-12</w:t>
            </w:r>
          </w:p>
        </w:tc>
        <w:tc>
          <w:tcPr>
            <w:tcW w:w="31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B2" w14:textId="001001B3">
            <w:pPr>
              <w:spacing w:after="0" w:line="269" w:lineRule="auto"/>
            </w:pPr>
            <w:r>
              <w:rPr>
                <w:b w:val="0"/>
                <w:color w:val="000000"/>
                <w:sz w:val="20"/>
              </w:rPr>
              <w:t>超高飞行</w:t>
            </w:r>
          </w:p>
        </w:tc>
        <w:tc>
          <w:tcPr>
            <w:tcW w:w="583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B4" w14:textId="001001B5">
            <w:pPr>
              <w:spacing w:after="0" w:line="269" w:lineRule="auto"/>
            </w:pPr>
            <w:r>
              <w:rPr>
                <w:b w:val="0"/>
                <w:color w:val="000000"/>
                <w:sz w:val="20"/>
              </w:rPr>
              <w:t>AGL 高度规则</w:t>
            </w:r>
          </w:p>
        </w:tc>
      </w:tr>
      <w:tr>
        <w:trPr>
          <w:cantSplit/>
        </w:trPr>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B6" w14:textId="001001B7">
            <w:pPr>
              <w:spacing w:after="0" w:line="269" w:lineRule="auto"/>
              <w:jc w:val="center"/>
            </w:pPr>
            <w:r>
              <w:rPr>
                <w:b w:val="0"/>
                <w:color w:val="000000"/>
                <w:sz w:val="20"/>
              </w:rPr>
              <w:t>I-13</w:t>
            </w:r>
          </w:p>
        </w:tc>
        <w:tc>
          <w:tcPr>
            <w:tcW w:w="31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B8" w14:textId="001001B9">
            <w:pPr>
              <w:spacing w:after="0" w:line="269" w:lineRule="auto"/>
            </w:pPr>
            <w:r>
              <w:rPr>
                <w:b w:val="0"/>
                <w:color w:val="000000"/>
                <w:sz w:val="20"/>
              </w:rPr>
              <w:t>闯入预警警戒区</w:t>
            </w:r>
          </w:p>
        </w:tc>
        <w:tc>
          <w:tcPr>
            <w:tcW w:w="583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BA" w14:textId="001001BB">
            <w:pPr>
              <w:spacing w:after="0" w:line="269" w:lineRule="auto"/>
            </w:pPr>
            <w:r>
              <w:rPr>
                <w:b w:val="0"/>
                <w:color w:val="000000"/>
                <w:sz w:val="20"/>
              </w:rPr>
              <w:t>成员当前圈层</w:t>
            </w:r>
          </w:p>
        </w:tc>
      </w:tr>
      <w:tr>
        <w:trPr>
          <w:cantSplit/>
        </w:trPr>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BC" w14:textId="001001BD">
            <w:pPr>
              <w:spacing w:after="0" w:line="269" w:lineRule="auto"/>
              <w:jc w:val="center"/>
            </w:pPr>
            <w:r>
              <w:rPr>
                <w:b w:val="0"/>
                <w:color w:val="000000"/>
                <w:sz w:val="20"/>
              </w:rPr>
              <w:t>I-14</w:t>
            </w:r>
          </w:p>
        </w:tc>
        <w:tc>
          <w:tcPr>
            <w:tcW w:w="31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BE" w14:textId="001001BF">
            <w:pPr>
              <w:spacing w:after="0" w:line="269" w:lineRule="auto"/>
            </w:pPr>
            <w:r>
              <w:rPr>
                <w:b w:val="0"/>
                <w:color w:val="000000"/>
                <w:sz w:val="20"/>
              </w:rPr>
              <w:t>要地侦察绕飞</w:t>
            </w:r>
          </w:p>
        </w:tc>
        <w:tc>
          <w:tcPr>
            <w:tcW w:w="583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C0" w14:textId="001001C1">
            <w:pPr>
              <w:spacing w:after="0" w:line="269" w:lineRule="auto"/>
            </w:pPr>
            <w:r>
              <w:rPr>
                <w:b w:val="0"/>
                <w:color w:val="000000"/>
                <w:sz w:val="20"/>
              </w:rPr>
              <w:t>设施距离、绕转角和路径</w:t>
            </w:r>
          </w:p>
        </w:tc>
      </w:tr>
      <w:tr>
        <w:trPr>
          <w:cantSplit/>
        </w:trPr>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C2" w14:textId="001001C3">
            <w:pPr>
              <w:spacing w:after="0" w:line="269" w:lineRule="auto"/>
              <w:jc w:val="center"/>
            </w:pPr>
            <w:r>
              <w:rPr>
                <w:b w:val="0"/>
                <w:color w:val="000000"/>
                <w:sz w:val="20"/>
              </w:rPr>
              <w:t>I-15</w:t>
            </w:r>
          </w:p>
        </w:tc>
        <w:tc>
          <w:tcPr>
            <w:tcW w:w="31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C4" w14:textId="001001C5">
            <w:pPr>
              <w:spacing w:after="0" w:line="269" w:lineRule="auto"/>
            </w:pPr>
            <w:r>
              <w:rPr>
                <w:b w:val="0"/>
                <w:color w:val="000000"/>
                <w:sz w:val="20"/>
              </w:rPr>
              <w:t>要地侦察悬停观察</w:t>
            </w:r>
          </w:p>
        </w:tc>
        <w:tc>
          <w:tcPr>
            <w:tcW w:w="583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C6" w14:textId="001001C7">
            <w:pPr>
              <w:spacing w:after="0" w:line="269" w:lineRule="auto"/>
            </w:pPr>
            <w:r>
              <w:rPr>
                <w:b w:val="0"/>
                <w:color w:val="000000"/>
                <w:sz w:val="20"/>
              </w:rPr>
              <w:t>关联设施附近持续悬停</w:t>
            </w:r>
          </w:p>
        </w:tc>
      </w:tr>
      <w:tr>
        <w:trPr>
          <w:cantSplit/>
        </w:trPr>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C8" w14:textId="001001C9">
            <w:pPr>
              <w:spacing w:after="0" w:line="269" w:lineRule="auto"/>
              <w:jc w:val="center"/>
            </w:pPr>
            <w:r>
              <w:rPr>
                <w:b w:val="0"/>
                <w:color w:val="000000"/>
                <w:sz w:val="20"/>
              </w:rPr>
              <w:t>I-17</w:t>
            </w:r>
          </w:p>
        </w:tc>
        <w:tc>
          <w:tcPr>
            <w:tcW w:w="31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CA" w14:textId="001001CB">
            <w:pPr>
              <w:spacing w:after="0" w:line="269" w:lineRule="auto"/>
            </w:pPr>
            <w:r>
              <w:rPr>
                <w:b w:val="0"/>
                <w:color w:val="000000"/>
                <w:sz w:val="20"/>
              </w:rPr>
              <w:t>异常航线往复</w:t>
            </w:r>
          </w:p>
        </w:tc>
        <w:tc>
          <w:tcPr>
            <w:tcW w:w="583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CC" w14:textId="001001CD">
            <w:pPr>
              <w:spacing w:after="0" w:line="269" w:lineRule="auto"/>
            </w:pPr>
            <w:r>
              <w:rPr>
                <w:b w:val="0"/>
                <w:color w:val="000000"/>
                <w:sz w:val="20"/>
              </w:rPr>
              <w:t>重复特征和路径长度</w:t>
            </w:r>
          </w:p>
        </w:tc>
      </w:tr>
      <w:tr>
        <w:trPr>
          <w:cantSplit/>
        </w:trPr>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CE" w14:textId="001001CF">
            <w:pPr>
              <w:spacing w:after="0" w:line="269" w:lineRule="auto"/>
              <w:jc w:val="center"/>
            </w:pPr>
            <w:r>
              <w:rPr>
                <w:b w:val="0"/>
                <w:color w:val="000000"/>
                <w:sz w:val="20"/>
              </w:rPr>
              <w:t>I-18</w:t>
            </w:r>
          </w:p>
        </w:tc>
        <w:tc>
          <w:tcPr>
            <w:tcW w:w="31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D0" w14:textId="001001D1">
            <w:pPr>
              <w:spacing w:after="0" w:line="269" w:lineRule="auto"/>
            </w:pPr>
            <w:r>
              <w:rPr>
                <w:b w:val="0"/>
                <w:color w:val="000000"/>
                <w:sz w:val="20"/>
              </w:rPr>
              <w:t>夜间隐匿飞行</w:t>
            </w:r>
          </w:p>
        </w:tc>
        <w:tc>
          <w:tcPr>
            <w:tcW w:w="583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D2" w14:textId="001001D3">
            <w:pPr>
              <w:spacing w:after="0" w:line="269" w:lineRule="auto"/>
            </w:pPr>
            <w:r>
              <w:rPr>
                <w:b w:val="0"/>
                <w:color w:val="000000"/>
                <w:sz w:val="20"/>
              </w:rPr>
              <w:t>业务时区夜间且无有效报备</w:t>
            </w:r>
          </w:p>
        </w:tc>
      </w:tr>
      <w:tr>
        <w:trPr>
          <w:cantSplit/>
        </w:trPr>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D4" w14:textId="001001D5">
            <w:pPr>
              <w:spacing w:after="0" w:line="269" w:lineRule="auto"/>
              <w:jc w:val="center"/>
            </w:pPr>
            <w:r>
              <w:rPr>
                <w:b w:val="0"/>
                <w:color w:val="000000"/>
                <w:sz w:val="20"/>
              </w:rPr>
              <w:t>I-21</w:t>
            </w:r>
          </w:p>
        </w:tc>
        <w:tc>
          <w:tcPr>
            <w:tcW w:w="31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D6" w14:textId="001001D7">
            <w:pPr>
              <w:spacing w:after="0" w:line="269" w:lineRule="auto"/>
            </w:pPr>
            <w:r>
              <w:rPr>
                <w:b w:val="0"/>
                <w:color w:val="000000"/>
                <w:sz w:val="20"/>
              </w:rPr>
              <w:t>监狱投送</w:t>
            </w:r>
          </w:p>
        </w:tc>
        <w:tc>
          <w:tcPr>
            <w:tcW w:w="583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D8" w14:textId="001001D9">
            <w:pPr>
              <w:spacing w:after="0" w:line="269" w:lineRule="auto"/>
            </w:pPr>
            <w:r>
              <w:rPr>
                <w:b w:val="0"/>
                <w:color w:val="000000"/>
                <w:sz w:val="20"/>
              </w:rPr>
              <w:t>监狱关联及趋近等条件</w:t>
            </w:r>
          </w:p>
        </w:tc>
      </w:tr>
      <w:tr>
        <w:trPr>
          <w:cantSplit/>
        </w:trPr>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DA" w14:textId="001001DB">
            <w:pPr>
              <w:spacing w:after="0" w:line="269" w:lineRule="auto"/>
              <w:jc w:val="center"/>
            </w:pPr>
            <w:r>
              <w:rPr>
                <w:b w:val="0"/>
                <w:color w:val="000000"/>
                <w:sz w:val="20"/>
              </w:rPr>
              <w:t>I-22</w:t>
            </w:r>
          </w:p>
        </w:tc>
        <w:tc>
          <w:tcPr>
            <w:tcW w:w="31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DC" w14:textId="001001DD">
            <w:pPr>
              <w:spacing w:after="0" w:line="269" w:lineRule="auto"/>
            </w:pPr>
            <w:r>
              <w:rPr>
                <w:b w:val="0"/>
                <w:color w:val="000000"/>
                <w:sz w:val="20"/>
              </w:rPr>
              <w:t>非法测绘</w:t>
            </w:r>
          </w:p>
        </w:tc>
        <w:tc>
          <w:tcPr>
            <w:tcW w:w="583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DE" w14:textId="001001DF">
            <w:pPr>
              <w:spacing w:after="0" w:line="269" w:lineRule="auto"/>
            </w:pPr>
            <w:r>
              <w:rPr>
                <w:b w:val="0"/>
                <w:color w:val="000000"/>
                <w:sz w:val="20"/>
              </w:rPr>
              <w:t>敏感区扫描模式</w:t>
            </w:r>
          </w:p>
        </w:tc>
      </w:tr>
      <w:tr>
        <w:trPr>
          <w:cantSplit/>
        </w:trPr>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E0" w14:textId="001001E1">
            <w:pPr>
              <w:spacing w:after="0" w:line="269" w:lineRule="auto"/>
              <w:jc w:val="center"/>
            </w:pPr>
            <w:r>
              <w:rPr>
                <w:b w:val="0"/>
                <w:color w:val="000000"/>
                <w:sz w:val="20"/>
              </w:rPr>
              <w:t>I-24</w:t>
            </w:r>
          </w:p>
        </w:tc>
        <w:tc>
          <w:tcPr>
            <w:tcW w:w="31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E2" w14:textId="001001E3">
            <w:pPr>
              <w:spacing w:after="0" w:line="269" w:lineRule="auto"/>
            </w:pPr>
            <w:r>
              <w:rPr>
                <w:b w:val="0"/>
                <w:color w:val="000000"/>
                <w:sz w:val="20"/>
              </w:rPr>
              <w:t>撞击袭击</w:t>
            </w:r>
          </w:p>
        </w:tc>
        <w:tc>
          <w:tcPr>
            <w:tcW w:w="583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E4" w14:textId="001001E5">
            <w:pPr>
              <w:spacing w:after="0" w:line="269" w:lineRule="auto"/>
            </w:pPr>
            <w:r>
              <w:rPr>
                <w:b w:val="0"/>
                <w:color w:val="000000"/>
                <w:sz w:val="20"/>
              </w:rPr>
              <w:t>多时刻抵近和最新运动门控</w:t>
            </w:r>
          </w:p>
        </w:tc>
      </w:tr>
      <w:tr>
        <w:trPr>
          <w:cantSplit/>
        </w:trPr>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E6" w14:textId="001001E7">
            <w:pPr>
              <w:spacing w:after="0" w:line="269" w:lineRule="auto"/>
              <w:jc w:val="center"/>
            </w:pPr>
            <w:r>
              <w:rPr>
                <w:b w:val="0"/>
                <w:color w:val="000000"/>
                <w:sz w:val="20"/>
              </w:rPr>
              <w:t>I-26</w:t>
            </w:r>
          </w:p>
        </w:tc>
        <w:tc>
          <w:tcPr>
            <w:tcW w:w="31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E8" w14:textId="001001E9">
            <w:pPr>
              <w:spacing w:after="0" w:line="269" w:lineRule="auto"/>
            </w:pPr>
            <w:r>
              <w:rPr>
                <w:b w:val="0"/>
                <w:color w:val="000000"/>
                <w:sz w:val="20"/>
              </w:rPr>
              <w:t>蜂群协同攻击</w:t>
            </w:r>
          </w:p>
        </w:tc>
        <w:tc>
          <w:tcPr>
            <w:tcW w:w="583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EA" w14:textId="001001EB">
            <w:pPr>
              <w:spacing w:after="0" w:line="269" w:lineRule="auto"/>
            </w:pPr>
            <w:r>
              <w:rPr>
                <w:b w:val="0"/>
                <w:color w:val="000000"/>
                <w:sz w:val="20"/>
              </w:rPr>
              <w:t>同设施、趋近及方向时间一致性</w:t>
            </w:r>
          </w:p>
        </w:tc>
      </w:tr>
      <w:tr>
        <w:trPr>
          <w:cantSplit/>
        </w:trPr>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EC" w14:textId="001001ED">
            <w:pPr>
              <w:spacing w:after="0" w:line="269" w:lineRule="auto"/>
              <w:jc w:val="center"/>
            </w:pPr>
            <w:r>
              <w:rPr>
                <w:b w:val="0"/>
                <w:color w:val="000000"/>
                <w:sz w:val="20"/>
              </w:rPr>
              <w:t>I-29</w:t>
            </w:r>
          </w:p>
        </w:tc>
        <w:tc>
          <w:tcPr>
            <w:tcW w:w="31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EE" w14:textId="001001EF">
            <w:pPr>
              <w:spacing w:after="0" w:line="269" w:lineRule="auto"/>
            </w:pPr>
            <w:r>
              <w:rPr>
                <w:b w:val="0"/>
                <w:color w:val="000000"/>
                <w:sz w:val="20"/>
              </w:rPr>
              <w:t>身份不可辨</w:t>
            </w:r>
          </w:p>
        </w:tc>
        <w:tc>
          <w:tcPr>
            <w:tcW w:w="583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1F0" w14:textId="001001F1">
            <w:pPr>
              <w:spacing w:after="0" w:line="269" w:lineRule="auto"/>
            </w:pPr>
            <w:r>
              <w:rPr>
                <w:b w:val="0"/>
                <w:color w:val="000000"/>
                <w:sz w:val="20"/>
              </w:rPr>
              <w:t>登记与身份来源不可用</w:t>
            </w:r>
          </w:p>
        </w:tc>
      </w:tr>
      <w:tr>
        <w:trPr>
          <w:cantSplit/>
        </w:trPr>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F2" w14:textId="001001F3">
            <w:pPr>
              <w:spacing w:after="0" w:line="269" w:lineRule="auto"/>
              <w:jc w:val="center"/>
            </w:pPr>
            <w:r>
              <w:rPr>
                <w:b w:val="0"/>
                <w:color w:val="000000"/>
                <w:sz w:val="20"/>
              </w:rPr>
              <w:t>I-30</w:t>
            </w:r>
          </w:p>
        </w:tc>
        <w:tc>
          <w:tcPr>
            <w:tcW w:w="31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F4" w14:textId="001001F5">
            <w:pPr>
              <w:spacing w:after="0" w:line="269" w:lineRule="auto"/>
            </w:pPr>
            <w:r>
              <w:rPr>
                <w:b w:val="0"/>
                <w:color w:val="000000"/>
                <w:sz w:val="20"/>
              </w:rPr>
              <w:t>闯入反制区</w:t>
            </w:r>
          </w:p>
        </w:tc>
        <w:tc>
          <w:tcPr>
            <w:tcW w:w="583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1F6" w14:textId="001001F7">
            <w:pPr>
              <w:spacing w:after="0" w:line="269" w:lineRule="auto"/>
            </w:pPr>
            <w:r>
              <w:rPr>
                <w:b w:val="0"/>
                <w:color w:val="000000"/>
                <w:sz w:val="20"/>
              </w:rPr>
              <w:t>当前 core 圈层</w:t>
            </w:r>
          </w:p>
        </w:tc>
      </w:tr>
    </w:tbl>
    <w:p w14:paraId="001001F8" w14:textId="001001F9">
      <w:pPr>
        <w:spacing w:after="40"/>
      </w:pPr>
    </w:p>
    <w:p w14:paraId="001001FA" w14:textId="001001FB">
      <w:pPr>
        <w:widowControl/>
        <w:spacing w:line="276" w:lineRule="auto"/>
      </w:pPr>
      <w:r>
        <w:rPr>
          <w:b w:val="0"/>
          <w:sz w:val="18"/>
        </w:rPr>
        <w:t>未纳入首版启用集合：I-04、06、07、09、16、19、20、23、25、27；I-28 禁用。I-05、I-10、I-15 的当前悬停门槛均为 10 秒，且各自仍有其他条件。原规格中的旧定义与当前行为应并列记录。</w:t>
      </w:r>
    </w:p>
    <w:p w14:paraId="001001FC" w14:textId="001001FD">
      <w:pPr>
        <w:widowControl/>
        <w:spacing w:line="276" w:lineRule="auto"/>
      </w:pPr>
      <w:r>
        <w:rPr>
          <w:b w:val="0"/>
          <w:sz w:val="18"/>
        </w:rPr>
        <w:t>实现与证据  intention_catalog.py；intent_rules.py V1_ENABLED_INTENT_CODES。project_reference 第8.2节。[S09]</w:t>
      </w:r>
    </w:p>
    <w:p w14:paraId="001001FE" w14:textId="001001FF">
      <w:r>
        <w:br w:type="page"/>
      </w:r>
    </w:p>
    <w:p w14:paraId="00100200" w14:textId="00100201">
      <w:pPr>
        <w:pStyle w:val="Heading1"/>
      </w:pPr>
      <w:r>
        <w:t>10 请求内时间一致性判据</w:t>
      </w:r>
    </w:p>
    <w:p w14:paraId="00100202" w14:textId="00100203">
      <w:pPr>
        <w:widowControl/>
      </w:pPr>
      <w:r>
        <w:rPr>
          <w:b w:val="0"/>
        </w:rPr>
        <w:t>I-24 用于说明如何从连续运动证据形成风险候选。系统在本次请求轨迹内重建五个相隔 1 秒的评估时刻，只使用各时刻之前的观测。同一观测端点不能被重复计为独立投票。</w:t>
      </w:r>
    </w:p>
    <w:p w14:paraId="00100204" w14:textId="00100205">
      <w:pPr>
        <w:keepNext/>
        <w:jc w:val="center"/>
      </w:pPr>
      <w:r>
        <w:drawing>
          <wp:inline xmlns:a="http://schemas.openxmlformats.org/drawingml/2006/main" xmlns:pic="http://schemas.openxmlformats.org/drawingml/2006/picture">
            <wp:extent cx="6080760" cy="2094484"/>
            <wp:docPr id="2" name="Picture 2" descr="图2 I-24 的时间有效性与最新状态门控"/>
            <wp:cNvGraphicFramePr>
              <a:graphicFrameLocks noChangeAspect="1"/>
            </wp:cNvGraphicFramePr>
            <a:graphic>
              <a:graphicData uri="http://schemas.openxmlformats.org/drawingml/2006/picture">
                <pic:pic>
                  <pic:nvPicPr>
                    <pic:cNvPr id="0" name="temporal.png"/>
                    <pic:cNvPicPr/>
                  </pic:nvPicPr>
                  <pic:blipFill>
                    <a:blip r:embed="rId11"/>
                    <a:stretch>
                      <a:fillRect/>
                    </a:stretch>
                  </pic:blipFill>
                  <pic:spPr>
                    <a:xfrm>
                      <a:off x="0" y="0"/>
                      <a:ext cx="6080760" cy="2094484"/>
                    </a:xfrm>
                    <a:prstGeom prst="rect"/>
                  </pic:spPr>
                </pic:pic>
              </a:graphicData>
            </a:graphic>
          </wp:inline>
        </w:drawing>
      </w:r>
    </w:p>
    <w:p w14:paraId="00100206" w14:textId="00100207">
      <w:pPr>
        <w:pStyle w:val="Caption"/>
        <w:keepNext w:val="0"/>
        <w:jc w:val="center"/>
      </w:pPr>
      <w:r>
        <w:t>图2 I-24 的时间有效性与最新状态门控</w:t>
      </w:r>
    </w:p>
    <w:p w14:paraId="00100208" w14:textId="00100209">
      <w:pPr>
        <w:widowControl/>
      </w:pPr>
      <w:r>
        <w:rPr>
          <w:b w:val="0"/>
        </w:rPr>
        <w:t>每个子窗最多 8 秒，至少 4 点、跨度至少 3 秒，相邻间隔不超过 2 秒；端点最多滞后 1.25 秒。最新方向分析使用最近 3 秒。缺失、过旧或断档是不可用状态，不通过插值补足。</w:t>
      </w:r>
    </w:p>
    <w:p w14:paraId="0010020A" w14:textId="0010020B">
      <w:pPr>
        <w:spacing w:before="100" w:after="160"/>
        <w:jc w:val="center"/>
      </w:pPr>
      <m:oMath>
        <m:sSub>
          <m:e>
            <m:r>
              <w:rPr>
                <w:rFonts w:ascii="Cambria Math" w:hAnsi="Cambria Math" w:eastAsia="Cambria Math"/>
                <w:sz w:val="22"/>
              </w:rPr>
              <m:t>v</m:t>
            </m:r>
          </m:e>
          <m:sub>
            <m:r>
              <w:rPr>
                <w:rFonts w:ascii="Cambria Math" w:hAnsi="Cambria Math" w:eastAsia="Cambria Math"/>
                <w:sz w:val="22"/>
              </w:rPr>
              <m:t>close</m:t>
            </m:r>
          </m:sub>
        </m:sSub>
        <m:r>
          <w:rPr>
            <w:rFonts w:ascii="Cambria Math" w:hAnsi="Cambria Math" w:eastAsia="Cambria Math"/>
            <w:sz w:val="22"/>
          </w:rPr>
          <m:t> = −</m:t>
        </m:r>
        <m:f>
          <m:num>
            <m:r>
              <w:rPr>
                <w:rFonts w:ascii="Cambria Math" w:hAnsi="Cambria Math" w:eastAsia="Cambria Math"/>
                <w:sz w:val="22"/>
              </w:rPr>
              <m:t>∑ (</m:t>
            </m:r>
            <m:sSub>
              <m:e>
                <m:r>
                  <w:rPr>
                    <w:rFonts w:ascii="Cambria Math" w:hAnsi="Cambria Math" w:eastAsia="Cambria Math"/>
                    <w:sz w:val="22"/>
                  </w:rPr>
                  <m:t>t</m:t>
                </m:r>
              </m:e>
              <m:sub>
                <m:r>
                  <w:rPr>
                    <w:rFonts w:ascii="Cambria Math" w:hAnsi="Cambria Math" w:eastAsia="Cambria Math"/>
                    <w:sz w:val="22"/>
                  </w:rPr>
                  <m:t>k</m:t>
                </m:r>
              </m:sub>
            </m:sSub>
            <m:r>
              <w:rPr>
                <w:rFonts w:ascii="Cambria Math" w:hAnsi="Cambria Math" w:eastAsia="Cambria Math"/>
                <w:sz w:val="22"/>
              </w:rPr>
              <m:t> − t̄)(</m:t>
            </m:r>
            <m:sSub>
              <m:e>
                <m:r>
                  <w:rPr>
                    <w:rFonts w:ascii="Cambria Math" w:hAnsi="Cambria Math" w:eastAsia="Cambria Math"/>
                    <w:sz w:val="22"/>
                  </w:rPr>
                  <m:t>d</m:t>
                </m:r>
              </m:e>
              <m:sub>
                <m:r>
                  <w:rPr>
                    <w:rFonts w:ascii="Cambria Math" w:hAnsi="Cambria Math" w:eastAsia="Cambria Math"/>
                    <w:sz w:val="22"/>
                  </w:rPr>
                  <m:t>k</m:t>
                </m:r>
              </m:sub>
            </m:sSub>
            <m:r>
              <w:rPr>
                <w:rFonts w:ascii="Cambria Math" w:hAnsi="Cambria Math" w:eastAsia="Cambria Math"/>
                <w:sz w:val="22"/>
              </w:rPr>
              <m:t> − d̄)</m:t>
            </m:r>
          </m:num>
          <m:den>
            <m:r>
              <w:rPr>
                <w:rFonts w:ascii="Cambria Math" w:hAnsi="Cambria Math" w:eastAsia="Cambria Math"/>
                <w:sz w:val="22"/>
              </w:rPr>
              <m:t>∑ </m:t>
            </m:r>
            <m:sSup>
              <m:e>
                <m:r>
                  <w:rPr>
                    <w:rFonts w:ascii="Cambria Math" w:hAnsi="Cambria Math" w:eastAsia="Cambria Math"/>
                    <w:sz w:val="22"/>
                  </w:rPr>
                  <m:t>(</m:t>
                </m:r>
                <m:sSub>
                  <m:e>
                    <m:r>
                      <w:rPr>
                        <w:rFonts w:ascii="Cambria Math" w:hAnsi="Cambria Math" w:eastAsia="Cambria Math"/>
                        <w:sz w:val="22"/>
                      </w:rPr>
                      <m:t>t</m:t>
                    </m:r>
                  </m:e>
                  <m:sub>
                    <m:r>
                      <w:rPr>
                        <w:rFonts w:ascii="Cambria Math" w:hAnsi="Cambria Math" w:eastAsia="Cambria Math"/>
                        <w:sz w:val="22"/>
                      </w:rPr>
                      <m:t>k</m:t>
                    </m:r>
                  </m:sub>
                </m:sSub>
                <m:r>
                  <w:rPr>
                    <w:rFonts w:ascii="Cambria Math" w:hAnsi="Cambria Math" w:eastAsia="Cambria Math"/>
                    <w:sz w:val="22"/>
                  </w:rPr>
                  <m:t> − t̄)</m:t>
                </m:r>
              </m:e>
              <m:sup>
                <m:r>
                  <w:rPr>
                    <w:rFonts w:ascii="Cambria Math" w:hAnsi="Cambria Math" w:eastAsia="Cambria Math"/>
                    <w:sz w:val="22"/>
                  </w:rPr>
                  <m:t>2</m:t>
                </m:r>
              </m:sup>
            </m:sSup>
          </m:den>
        </m:f>
      </m:oMath>
      <w:r>
        <w:rPr>
          <w:sz w:val="18"/>
        </w:rPr>
        <w:t xml:space="preserve">    式8</w:t>
      </w:r>
    </w:p>
    <w:p w14:paraId="0010020C" w14:textId="0010020D">
      <w:pPr>
        <w:widowControl/>
      </w:pPr>
      <w:r>
        <w:rPr>
          <w:b w:val="0"/>
        </w:rPr>
        <w:t>式8为目标到同一设施距离对时间的最小二乘斜率取负，表示闭合速度。单次判据同时考虑速度、直线度、闭合速度、朝向及距离。最终至少需要 3 次有效评估和 3 次命中，并检查最新运动仍然满足门控。</w:t>
      </w:r>
    </w:p>
    <w:p w14:paraId="0010020E" w14:textId="0010020F">
      <w:pPr>
        <w:widowControl/>
        <w:spacing w:line="276" w:lineRule="auto"/>
      </w:pPr>
      <w:r>
        <w:rPr>
          <w:b w:val="0"/>
          <w:sz w:val="18"/>
        </w:rPr>
        <w:t>当前单次门槛为速度至少16米/秒、直线度至少0.80、闭合速度至少5米/秒、夹角不超过30度、距离不超过1200米；最新门控为短窗闭合速度至少2米/秒、夹角不超过40度。它们是待结合真实数据标定的实现参数。</w:t>
      </w:r>
    </w:p>
    <w:p w14:paraId="00100210" w14:textId="00100211">
      <w:pPr>
        <w:widowControl/>
      </w:pPr>
      <w:r>
        <w:rPr>
          <w:b w:val="0"/>
        </w:rPr>
        <w:t>本次 23 项相关回归全部通过，涵盖稀疏点不重复计票、短历史不足、禁止未来点、采样抖动、最新停止和转离等场景。该机制不依赖上一请求结论，也不等于跨请求状态机。</w:t>
      </w:r>
    </w:p>
    <w:p w14:paraId="00100212" w14:textId="00100213">
      <w:pPr>
        <w:widowControl/>
        <w:spacing w:line="276" w:lineRule="auto"/>
      </w:pPr>
      <w:r>
        <w:rPr>
          <w:b w:val="0"/>
          <w:sz w:val="18"/>
        </w:rPr>
        <w:t>实现与证据  collision_intent.py；intent_rules.py _eval_i24；project_reference 第8.3节 F07；T01。[S10]</w:t>
      </w:r>
    </w:p>
    <w:p w14:paraId="00100214" w14:textId="00100215">
      <w:r>
        <w:br w:type="page"/>
      </w:r>
    </w:p>
    <w:p w14:paraId="00100216" w14:textId="00100217">
      <w:pPr>
        <w:pStyle w:val="Heading1"/>
      </w:pPr>
      <w:r>
        <w:t>11 群体一致性特征</w:t>
      </w:r>
    </w:p>
    <w:p w14:paraId="00100218" w14:textId="00100219">
      <w:pPr>
        <w:widowControl/>
      </w:pPr>
      <w:r>
        <w:rPr>
          <w:b w:val="0"/>
        </w:rPr>
        <w:t>I-26 在成员已经聚为同一组的基础上，进一步判断多个成员的运动是否朝向同一设施，并在方向与预计到达时间上具有一致性。这一层描述群体行为特征，不能仅由队形标签代替。</w:t>
      </w:r>
    </w:p>
    <w:tbl>
      <w:tblPr>
        <w:tblW w:w="0" w:type="auto"/>
        <w:jc w:val="center"/>
        <w:tblLayout w:type="fixed"/>
        <w:tblLook w:val="04A0" w:firstRow="1" w:lastRow="0" w:firstColumn="1" w:lastColumn="0" w:noHBand="0" w:noVBand="1"/>
      </w:tblPr>
      <w:tblGrid>
        <w:gridCol w:w="1872"/>
        <w:gridCol w:w="8064"/>
      </w:tblGrid>
      <w:tr>
        <w:trPr>
          <w:tblHeader/>
          <w:cantSplit/>
        </w:trPr>
        <w:tc>
          <w:tcPr>
            <w:tcW w:w="187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21A" w14:textId="0010021B">
            <w:pPr>
              <w:spacing w:after="0" w:line="269" w:lineRule="auto"/>
            </w:pPr>
            <w:r>
              <w:rPr>
                <w:b/>
                <w:color w:val="000000"/>
                <w:sz w:val="20"/>
              </w:rPr>
              <w:t>条件</w:t>
            </w:r>
          </w:p>
        </w:tc>
        <w:tc>
          <w:tcPr>
            <w:tcW w:w="806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21C" w14:textId="0010021D">
            <w:pPr>
              <w:spacing w:after="0" w:line="269" w:lineRule="auto"/>
            </w:pPr>
            <w:r>
              <w:rPr>
                <w:b/>
                <w:color w:val="000000"/>
                <w:sz w:val="20"/>
              </w:rPr>
              <w:t>当前实现含义</w:t>
            </w:r>
          </w:p>
        </w:tc>
      </w:tr>
      <w:tr>
        <w:trPr>
          <w:cantSplit/>
        </w:trPr>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1E" w14:textId="0010021F">
            <w:pPr>
              <w:spacing w:after="0" w:line="269" w:lineRule="auto"/>
            </w:pPr>
            <w:r>
              <w:rPr>
                <w:b w:val="0"/>
                <w:color w:val="000000"/>
                <w:sz w:val="20"/>
              </w:rPr>
              <w:t>规模</w:t>
            </w:r>
          </w:p>
        </w:tc>
        <w:tc>
          <w:tcPr>
            <w:tcW w:w="80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20" w14:textId="00100221">
            <w:pPr>
              <w:spacing w:after="0" w:line="269" w:lineRule="auto"/>
            </w:pPr>
            <w:r>
              <w:rPr>
                <w:b w:val="0"/>
                <w:color w:val="000000"/>
                <w:sz w:val="20"/>
              </w:rPr>
              <w:t>至少3个成员</w:t>
            </w:r>
          </w:p>
        </w:tc>
      </w:tr>
      <w:tr>
        <w:trPr>
          <w:cantSplit/>
        </w:trPr>
        <w:tc>
          <w:tcPr>
            <w:tcW w:w="18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22" w14:textId="00100223">
            <w:pPr>
              <w:spacing w:after="0" w:line="269" w:lineRule="auto"/>
            </w:pPr>
            <w:r>
              <w:rPr>
                <w:b w:val="0"/>
                <w:color w:val="000000"/>
                <w:sz w:val="20"/>
              </w:rPr>
              <w:t>共同目标</w:t>
            </w:r>
          </w:p>
        </w:tc>
        <w:tc>
          <w:tcPr>
            <w:tcW w:w="80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24" w14:textId="00100225">
            <w:pPr>
              <w:spacing w:after="0" w:line="269" w:lineRule="auto"/>
            </w:pPr>
            <w:r>
              <w:rPr>
                <w:b w:val="0"/>
                <w:color w:val="000000"/>
                <w:sz w:val="20"/>
              </w:rPr>
              <w:t>成员关联同一设施</w:t>
            </w:r>
          </w:p>
        </w:tc>
      </w:tr>
      <w:tr>
        <w:trPr>
          <w:cantSplit/>
        </w:trPr>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26" w14:textId="00100227">
            <w:pPr>
              <w:spacing w:after="0" w:line="269" w:lineRule="auto"/>
            </w:pPr>
            <w:r>
              <w:rPr>
                <w:b w:val="0"/>
                <w:color w:val="000000"/>
                <w:sz w:val="20"/>
              </w:rPr>
              <w:t>趋近比例</w:t>
            </w:r>
          </w:p>
        </w:tc>
        <w:tc>
          <w:tcPr>
            <w:tcW w:w="80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28" w14:textId="00100229">
            <w:pPr>
              <w:spacing w:after="0" w:line="269" w:lineRule="auto"/>
            </w:pPr>
            <w:r>
              <w:rPr>
                <w:b w:val="0"/>
                <w:color w:val="000000"/>
                <w:sz w:val="20"/>
              </w:rPr>
              <w:t>至少三分之二；趋近特征使用长窗设施距离减少至少30米</w:t>
            </w:r>
          </w:p>
        </w:tc>
      </w:tr>
      <w:tr>
        <w:trPr>
          <w:cantSplit/>
        </w:trPr>
        <w:tc>
          <w:tcPr>
            <w:tcW w:w="18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2A" w14:textId="0010022B">
            <w:pPr>
              <w:spacing w:after="0" w:line="269" w:lineRule="auto"/>
            </w:pPr>
            <w:r>
              <w:rPr>
                <w:b w:val="0"/>
                <w:color w:val="000000"/>
                <w:sz w:val="20"/>
              </w:rPr>
              <w:t>方向一致性</w:t>
            </w:r>
          </w:p>
        </w:tc>
        <w:tc>
          <w:tcPr>
            <w:tcW w:w="80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2C" w14:textId="0010022D">
            <w:pPr>
              <w:spacing w:after="0" w:line="269" w:lineRule="auto"/>
            </w:pPr>
            <w:r>
              <w:rPr>
                <w:b w:val="0"/>
                <w:color w:val="000000"/>
                <w:sz w:val="20"/>
              </w:rPr>
              <w:t>相对于圆均值方向的最大角差不超过25度</w:t>
            </w:r>
          </w:p>
        </w:tc>
      </w:tr>
      <w:tr>
        <w:trPr>
          <w:cantSplit/>
        </w:trPr>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2E" w14:textId="0010022F">
            <w:pPr>
              <w:spacing w:after="0" w:line="269" w:lineRule="auto"/>
            </w:pPr>
            <w:r>
              <w:rPr>
                <w:b w:val="0"/>
                <w:color w:val="000000"/>
                <w:sz w:val="20"/>
              </w:rPr>
              <w:t>时间一致性</w:t>
            </w:r>
          </w:p>
        </w:tc>
        <w:tc>
          <w:tcPr>
            <w:tcW w:w="80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30" w14:textId="00100231">
            <w:pPr>
              <w:spacing w:after="0" w:line="269" w:lineRule="auto"/>
            </w:pPr>
            <w:r>
              <w:rPr>
                <w:b w:val="0"/>
                <w:color w:val="000000"/>
                <w:sz w:val="20"/>
              </w:rPr>
              <w:t>有效 ETA 的最大与最小差不超过20秒，至少两个有效 ETA</w:t>
            </w:r>
          </w:p>
        </w:tc>
      </w:tr>
    </w:tbl>
    <w:p w14:paraId="00100232" w14:textId="00100233">
      <w:pPr>
        <w:spacing w:after="40"/>
      </w:pPr>
    </w:p>
    <w:p w14:paraId="00100234" w14:textId="00100235">
      <w:pPr>
        <w:widowControl/>
      </w:pPr>
      <w:r>
        <w:rPr>
          <w:b w:val="0"/>
        </w:rPr>
        <w:t>这里的趋近量是距离变化而不是 I-24 的回归闭合速度。ETA 特征按距离除速度估计，与公共 ETA 字段的优先选择与回退过程也不同。航向离散使用圆均值，以避免 359 度和 1 度被误判为大幅相差。</w:t>
      </w:r>
    </w:p>
    <w:p w14:paraId="00100236" w14:textId="00100237">
      <w:pPr>
        <w:spacing w:before="100" w:after="160"/>
        <w:jc w:val="center"/>
      </w:pPr>
      <m:oMath>
        <m:sSub>
          <m:e>
            <m:r>
              <w:rPr>
                <w:rFonts w:ascii="Cambria Math" w:hAnsi="Cambria Math" w:eastAsia="Cambria Math"/>
                <w:sz w:val="22"/>
              </w:rPr>
              <m:t>C</m:t>
            </m:r>
          </m:e>
          <m:sub>
            <m:r>
              <w:rPr>
                <w:rFonts w:ascii="Cambria Math" w:hAnsi="Cambria Math" w:eastAsia="Cambria Math"/>
                <w:sz w:val="22"/>
              </w:rPr>
              <m:t>coord</m:t>
            </m:r>
          </m:sub>
        </m:sSub>
        <m:r>
          <w:rPr>
            <w:rFonts w:ascii="Cambria Math" w:hAnsi="Cambria Math" w:eastAsia="Cambria Math"/>
            <w:sz w:val="22"/>
          </w:rPr>
          <m:t> = clip[0,1](0.45f + 0.30 max(0, 1 − </m:t>
        </m:r>
        <m:f>
          <m:num>
            <m:sSub>
              <m:e>
                <m:r>
                  <w:rPr>
                    <w:rFonts w:ascii="Cambria Math" w:hAnsi="Cambria Math" w:eastAsia="Cambria Math"/>
                    <w:sz w:val="22"/>
                  </w:rPr>
                  <m:t>δ</m:t>
                </m:r>
              </m:e>
              <m:sub>
                <m:r>
                  <w:rPr>
                    <w:rFonts w:ascii="Cambria Math" w:hAnsi="Cambria Math" w:eastAsia="Cambria Math"/>
                    <w:sz w:val="22"/>
                  </w:rPr>
                  <m:t>h</m:t>
                </m:r>
              </m:sub>
            </m:sSub>
          </m:num>
          <m:den>
            <m:r>
              <w:rPr>
                <w:rFonts w:ascii="Cambria Math" w:hAnsi="Cambria Math" w:eastAsia="Cambria Math"/>
                <w:sz w:val="22"/>
              </w:rPr>
              <m:t>25</m:t>
            </m:r>
          </m:den>
        </m:f>
        <m:r>
          <w:rPr>
            <w:rFonts w:ascii="Cambria Math" w:hAnsi="Cambria Math" w:eastAsia="Cambria Math"/>
            <w:sz w:val="22"/>
          </w:rPr>
          <m:t>)</m:t>
        </m:r>
      </m:oMath>
      <w:r>
        <w:rPr>
          <w:sz w:val="18"/>
        </w:rPr>
        <w:t xml:space="preserve">    式9a</w:t>
      </w:r>
    </w:p>
    <w:p w14:paraId="00100238" w14:textId="00100239">
      <w:pPr>
        <w:spacing w:before="100" w:after="160"/>
        <w:jc w:val="center"/>
      </w:pPr>
      <m:oMath>
        <m:r>
          <w:rPr>
            <w:rFonts w:ascii="Cambria Math" w:hAnsi="Cambria Math" w:eastAsia="Cambria Math"/>
            <w:sz w:val="22"/>
          </w:rPr>
          <m:t>+ 0.25 max(0, 1 − </m:t>
        </m:r>
        <m:f>
          <m:num>
            <m:sSub>
              <m:e>
                <m:r>
                  <w:rPr>
                    <w:rFonts w:ascii="Cambria Math" w:hAnsi="Cambria Math" w:eastAsia="Cambria Math"/>
                    <w:sz w:val="22"/>
                  </w:rPr>
                  <m:t>δ</m:t>
                </m:r>
              </m:e>
              <m:sub>
                <m:r>
                  <w:rPr>
                    <w:rFonts w:ascii="Cambria Math" w:hAnsi="Cambria Math" w:eastAsia="Cambria Math"/>
                    <w:sz w:val="22"/>
                  </w:rPr>
                  <m:t>τ</m:t>
                </m:r>
              </m:sub>
            </m:sSub>
          </m:num>
          <m:den>
            <m:r>
              <w:rPr>
                <w:rFonts w:ascii="Cambria Math" w:hAnsi="Cambria Math" w:eastAsia="Cambria Math"/>
                <w:sz w:val="22"/>
              </w:rPr>
              <m:t>20</m:t>
            </m:r>
          </m:den>
        </m:f>
        <m:r>
          <w:rPr>
            <w:rFonts w:ascii="Cambria Math" w:hAnsi="Cambria Math" w:eastAsia="Cambria Math"/>
            <w:sz w:val="22"/>
          </w:rPr>
          <m:t>))</m:t>
        </m:r>
      </m:oMath>
      <w:r>
        <w:rPr>
          <w:sz w:val="18"/>
        </w:rPr>
        <w:t xml:space="preserve">    式9b</w:t>
      </w:r>
    </w:p>
    <w:p w14:paraId="0010023A" w14:textId="0010023B">
      <w:pPr>
        <w:widowControl/>
      </w:pPr>
      <w:r>
        <w:rPr>
          <w:b w:val="0"/>
        </w:rPr>
        <w:t>式9a与式9b共同表示当前协同分。f 为趋近占比，δh 为航向离散度，δτ 为 ETA 离散秒数。当前候选 confidence 等于 0.64 加 0.30 倍协同分。ETA 离散不可用时不能通过候选条件。</w:t>
      </w:r>
    </w:p>
    <w:p w14:paraId="0010023C" w14:textId="0010023D">
      <w:pPr>
        <w:pStyle w:val="Heading2"/>
      </w:pPr>
      <w:r>
        <w:t>可行性和适用边界</w:t>
      </w:r>
    </w:p>
    <w:p w14:paraId="0010023E" w14:textId="0010023F">
      <w:pPr>
        <w:widowControl/>
      </w:pPr>
      <w:r>
        <w:rPr>
          <w:b w:val="0"/>
        </w:rPr>
        <w:t>该方法只需要已经可得的轨迹和设施信息，能把群体判断拆解为可复算条件，适合作为首版可解释基线。相似运动也可能由共同航路、正常任务或外部约束引起，因此标签解释仍需结合合规和场景信息。</w:t>
      </w:r>
    </w:p>
    <w:p w14:paraId="00100240" w14:textId="00100241">
      <w:pPr>
        <w:widowControl/>
      </w:pPr>
      <w:r>
        <w:rPr>
          <w:b w:val="0"/>
        </w:rPr>
        <w:t>当前没有推断真实通信关系、领航角色或成员控制关系，也未使用图神经网络或学习得到的群体策略。后续应利用独立群体场景标注，验证这种一致性规则的误报与漏报，而不是直接把所有同步抵近都当成已证实攻击。</w:t>
      </w:r>
    </w:p>
    <w:p w14:paraId="00100242" w14:textId="00100243">
      <w:pPr>
        <w:widowControl/>
        <w:spacing w:line="276" w:lineRule="auto"/>
      </w:pPr>
      <w:r>
        <w:rPr>
          <w:b w:val="0"/>
          <w:sz w:val="18"/>
        </w:rPr>
        <w:t>实现与证据  engine.py _intent_feature_frame、_circular_heading_dispersion；intent_rules.py _eval_i26。project_reference 第8.4节 F08。[S03][S09]</w:t>
      </w:r>
    </w:p>
    <w:p w14:paraId="00100244" w14:textId="00100245">
      <w:r>
        <w:br w:type="page"/>
      </w:r>
    </w:p>
    <w:p w14:paraId="00100246" w14:textId="00100247">
      <w:pPr>
        <w:pStyle w:val="Heading1"/>
      </w:pPr>
      <w:r>
        <w:t>12 十维威胁评分方法</w:t>
      </w:r>
    </w:p>
    <w:p w14:paraId="00100248" w14:textId="00100249">
      <w:pPr>
        <w:widowControl/>
      </w:pPr>
      <w:r>
        <w:rPr>
          <w:b w:val="0"/>
        </w:rPr>
        <w:t>威胁评分把意图、空间、运动和业务属性汇总为便于排序与路由的分值。当前权重由代码固定定义，分级门槛和部分置信阈值可配置。评分是风险规则，不是经过统计校准的事件发生概率。</w:t>
      </w:r>
    </w:p>
    <w:tbl>
      <w:tblPr>
        <w:tblW w:w="0" w:type="auto"/>
        <w:jc w:val="center"/>
        <w:tblLayout w:type="fixed"/>
        <w:tblLook w:val="04A0" w:firstRow="1" w:lastRow="0" w:firstColumn="1" w:lastColumn="0" w:noHBand="0" w:noVBand="1"/>
      </w:tblPr>
      <w:tblGrid>
        <w:gridCol w:w="1728"/>
        <w:gridCol w:w="936"/>
        <w:gridCol w:w="7272"/>
      </w:tblGrid>
      <w:tr>
        <w:trPr>
          <w:tblHeader/>
          <w:cantSplit/>
        </w:trPr>
        <w:tc>
          <w:tcPr>
            <w:tcW w:w="172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24A" w14:textId="0010024B">
            <w:pPr>
              <w:spacing w:after="0" w:line="269" w:lineRule="auto"/>
              <w:jc w:val="center"/>
            </w:pPr>
            <w:r>
              <w:rPr>
                <w:b/>
                <w:color w:val="000000"/>
                <w:sz w:val="20"/>
              </w:rPr>
              <w:t>维度</w:t>
            </w:r>
          </w:p>
        </w:tc>
        <w:tc>
          <w:tcPr>
            <w:tcW w:w="93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24C" w14:textId="0010024D">
            <w:pPr>
              <w:spacing w:after="0" w:line="269" w:lineRule="auto"/>
            </w:pPr>
            <w:r>
              <w:rPr>
                <w:b/>
                <w:color w:val="000000"/>
                <w:sz w:val="20"/>
              </w:rPr>
              <w:t>权重</w:t>
            </w:r>
          </w:p>
        </w:tc>
        <w:tc>
          <w:tcPr>
            <w:tcW w:w="727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24E" w14:textId="0010024F">
            <w:pPr>
              <w:spacing w:after="0" w:line="269" w:lineRule="auto"/>
            </w:pPr>
            <w:r>
              <w:rPr>
                <w:b/>
                <w:color w:val="000000"/>
                <w:sz w:val="20"/>
              </w:rPr>
              <w:t>取值依据</w:t>
            </w:r>
          </w:p>
        </w:tc>
      </w:tr>
      <w:tr>
        <w:trPr>
          <w:cantSplit/>
        </w:trPr>
        <w:tc>
          <w:tcPr>
            <w:tcW w:w="172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50" w14:textId="00100251">
            <w:pPr>
              <w:spacing w:after="0" w:line="269" w:lineRule="auto"/>
              <w:jc w:val="center"/>
            </w:pPr>
            <w:r>
              <w:rPr>
                <w:b w:val="0"/>
                <w:color w:val="000000"/>
                <w:sz w:val="20"/>
              </w:rPr>
              <w:t>意图</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52" w14:textId="00100253">
            <w:pPr>
              <w:spacing w:after="0" w:line="269" w:lineRule="auto"/>
            </w:pPr>
            <w:r>
              <w:rPr>
                <w:b w:val="0"/>
                <w:color w:val="000000"/>
                <w:sz w:val="20"/>
              </w:rPr>
              <w:t>18%</w:t>
            </w:r>
          </w:p>
        </w:tc>
        <w:tc>
          <w:tcPr>
            <w:tcW w:w="72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54" w14:textId="00100255">
            <w:pPr>
              <w:spacing w:after="0" w:line="269" w:lineRule="auto"/>
            </w:pPr>
            <w:r>
              <w:rPr>
                <w:b w:val="0"/>
                <w:color w:val="000000"/>
                <w:sz w:val="20"/>
              </w:rPr>
              <w:t>意图代码及其空间作用域</w:t>
            </w:r>
          </w:p>
        </w:tc>
      </w:tr>
      <w:tr>
        <w:trPr>
          <w:cantSplit/>
        </w:trPr>
        <w:tc>
          <w:tcPr>
            <w:tcW w:w="172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56" w14:textId="00100257">
            <w:pPr>
              <w:spacing w:after="0" w:line="269" w:lineRule="auto"/>
              <w:jc w:val="center"/>
            </w:pPr>
            <w:r>
              <w:rPr>
                <w:b w:val="0"/>
                <w:color w:val="000000"/>
                <w:sz w:val="20"/>
              </w:rPr>
              <w:t>空域</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58" w14:textId="00100259">
            <w:pPr>
              <w:spacing w:after="0" w:line="269" w:lineRule="auto"/>
            </w:pPr>
            <w:r>
              <w:rPr>
                <w:b w:val="0"/>
                <w:color w:val="000000"/>
                <w:sz w:val="20"/>
              </w:rPr>
              <w:t>16%</w:t>
            </w:r>
          </w:p>
        </w:tc>
        <w:tc>
          <w:tcPr>
            <w:tcW w:w="72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5A" w14:textId="0010025B">
            <w:pPr>
              <w:spacing w:after="0" w:line="269" w:lineRule="auto"/>
            </w:pPr>
            <w:r>
              <w:rPr>
                <w:b w:val="0"/>
                <w:color w:val="000000"/>
                <w:sz w:val="20"/>
              </w:rPr>
              <w:t>outer、warn、alert、core、hard</w:t>
            </w:r>
          </w:p>
        </w:tc>
      </w:tr>
      <w:tr>
        <w:trPr>
          <w:cantSplit/>
        </w:trPr>
        <w:tc>
          <w:tcPr>
            <w:tcW w:w="172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5C" w14:textId="0010025D">
            <w:pPr>
              <w:spacing w:after="0" w:line="269" w:lineRule="auto"/>
              <w:jc w:val="center"/>
            </w:pPr>
            <w:r>
              <w:rPr>
                <w:b w:val="0"/>
                <w:color w:val="000000"/>
                <w:sz w:val="20"/>
              </w:rPr>
              <w:t>高度</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5E" w14:textId="0010025F">
            <w:pPr>
              <w:spacing w:after="0" w:line="269" w:lineRule="auto"/>
            </w:pPr>
            <w:r>
              <w:rPr>
                <w:b w:val="0"/>
                <w:color w:val="000000"/>
                <w:sz w:val="20"/>
              </w:rPr>
              <w:t>16%</w:t>
            </w:r>
          </w:p>
        </w:tc>
        <w:tc>
          <w:tcPr>
            <w:tcW w:w="72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60" w14:textId="00100261">
            <w:pPr>
              <w:spacing w:after="0" w:line="269" w:lineRule="auto"/>
            </w:pPr>
            <w:r>
              <w:rPr>
                <w:b w:val="0"/>
                <w:color w:val="000000"/>
                <w:sz w:val="20"/>
              </w:rPr>
              <w:t>可用 AGL 高度分段</w:t>
            </w:r>
          </w:p>
        </w:tc>
      </w:tr>
      <w:tr>
        <w:trPr>
          <w:cantSplit/>
        </w:trPr>
        <w:tc>
          <w:tcPr>
            <w:tcW w:w="172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62" w14:textId="00100263">
            <w:pPr>
              <w:spacing w:after="0" w:line="269" w:lineRule="auto"/>
              <w:jc w:val="center"/>
            </w:pPr>
            <w:r>
              <w:rPr>
                <w:b w:val="0"/>
                <w:color w:val="000000"/>
                <w:sz w:val="20"/>
              </w:rPr>
              <w:t>行为</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64" w14:textId="00100265">
            <w:pPr>
              <w:spacing w:after="0" w:line="269" w:lineRule="auto"/>
            </w:pPr>
            <w:r>
              <w:rPr>
                <w:b w:val="0"/>
                <w:color w:val="000000"/>
                <w:sz w:val="20"/>
              </w:rPr>
              <w:t>16%</w:t>
            </w:r>
          </w:p>
        </w:tc>
        <w:tc>
          <w:tcPr>
            <w:tcW w:w="72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66" w14:textId="00100267">
            <w:pPr>
              <w:spacing w:after="0" w:line="269" w:lineRule="auto"/>
            </w:pPr>
            <w:r>
              <w:rPr>
                <w:b w:val="0"/>
                <w:color w:val="000000"/>
                <w:sz w:val="20"/>
              </w:rPr>
              <w:t>规避、释放、长悬停等</w:t>
            </w:r>
          </w:p>
        </w:tc>
      </w:tr>
      <w:tr>
        <w:trPr>
          <w:cantSplit/>
        </w:trPr>
        <w:tc>
          <w:tcPr>
            <w:tcW w:w="172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68" w14:textId="00100269">
            <w:pPr>
              <w:spacing w:after="0" w:line="269" w:lineRule="auto"/>
              <w:jc w:val="center"/>
            </w:pPr>
            <w:r>
              <w:rPr>
                <w:b w:val="0"/>
                <w:color w:val="000000"/>
                <w:sz w:val="20"/>
              </w:rPr>
              <w:t>趋势</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6A" w14:textId="0010026B">
            <w:pPr>
              <w:spacing w:after="0" w:line="269" w:lineRule="auto"/>
            </w:pPr>
            <w:r>
              <w:rPr>
                <w:b w:val="0"/>
                <w:color w:val="000000"/>
                <w:sz w:val="20"/>
              </w:rPr>
              <w:t>6%</w:t>
            </w:r>
          </w:p>
        </w:tc>
        <w:tc>
          <w:tcPr>
            <w:tcW w:w="72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6C" w14:textId="0010026D">
            <w:pPr>
              <w:spacing w:after="0" w:line="269" w:lineRule="auto"/>
            </w:pPr>
            <w:r>
              <w:rPr>
                <w:b w:val="0"/>
                <w:color w:val="000000"/>
                <w:sz w:val="20"/>
              </w:rPr>
              <w:t>趋近、距离与圈层趋势</w:t>
            </w:r>
          </w:p>
        </w:tc>
      </w:tr>
      <w:tr>
        <w:trPr>
          <w:cantSplit/>
        </w:trPr>
        <w:tc>
          <w:tcPr>
            <w:tcW w:w="172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6E" w14:textId="0010026F">
            <w:pPr>
              <w:spacing w:after="0" w:line="269" w:lineRule="auto"/>
              <w:jc w:val="center"/>
            </w:pPr>
            <w:r>
              <w:rPr>
                <w:b w:val="0"/>
                <w:color w:val="000000"/>
                <w:sz w:val="20"/>
              </w:rPr>
              <w:t>合规</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70" w14:textId="00100271">
            <w:pPr>
              <w:spacing w:after="0" w:line="269" w:lineRule="auto"/>
            </w:pPr>
            <w:r>
              <w:rPr>
                <w:b w:val="0"/>
                <w:color w:val="000000"/>
                <w:sz w:val="20"/>
              </w:rPr>
              <w:t>12%</w:t>
            </w:r>
          </w:p>
        </w:tc>
        <w:tc>
          <w:tcPr>
            <w:tcW w:w="72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72" w14:textId="00100273">
            <w:pPr>
              <w:spacing w:after="0" w:line="269" w:lineRule="auto"/>
            </w:pPr>
            <w:r>
              <w:rPr>
                <w:b w:val="0"/>
                <w:color w:val="000000"/>
                <w:sz w:val="20"/>
              </w:rPr>
              <w:t>登记与合作性</w:t>
            </w:r>
          </w:p>
        </w:tc>
      </w:tr>
      <w:tr>
        <w:trPr>
          <w:cantSplit/>
        </w:trPr>
        <w:tc>
          <w:tcPr>
            <w:tcW w:w="172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74" w14:textId="00100275">
            <w:pPr>
              <w:spacing w:after="0" w:line="269" w:lineRule="auto"/>
              <w:jc w:val="center"/>
            </w:pPr>
            <w:r>
              <w:rPr>
                <w:b w:val="0"/>
                <w:color w:val="000000"/>
                <w:sz w:val="20"/>
              </w:rPr>
              <w:t>集群</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76" w14:textId="00100277">
            <w:pPr>
              <w:spacing w:after="0" w:line="269" w:lineRule="auto"/>
            </w:pPr>
            <w:r>
              <w:rPr>
                <w:b w:val="0"/>
                <w:color w:val="000000"/>
                <w:sz w:val="20"/>
              </w:rPr>
              <w:t>7%</w:t>
            </w:r>
          </w:p>
        </w:tc>
        <w:tc>
          <w:tcPr>
            <w:tcW w:w="72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78" w14:textId="00100279">
            <w:pPr>
              <w:spacing w:after="0" w:line="269" w:lineRule="auto"/>
            </w:pPr>
            <w:r>
              <w:rPr>
                <w:b w:val="0"/>
                <w:color w:val="000000"/>
                <w:sz w:val="20"/>
              </w:rPr>
              <w:t>成员数量</w:t>
            </w:r>
          </w:p>
        </w:tc>
      </w:tr>
      <w:tr>
        <w:trPr>
          <w:cantSplit/>
        </w:trPr>
        <w:tc>
          <w:tcPr>
            <w:tcW w:w="172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7A" w14:textId="0010027B">
            <w:pPr>
              <w:spacing w:after="0" w:line="269" w:lineRule="auto"/>
              <w:jc w:val="center"/>
            </w:pPr>
            <w:r>
              <w:rPr>
                <w:b w:val="0"/>
                <w:color w:val="000000"/>
                <w:sz w:val="20"/>
              </w:rPr>
              <w:t>机型</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7C" w14:textId="0010027D">
            <w:pPr>
              <w:spacing w:after="0" w:line="269" w:lineRule="auto"/>
            </w:pPr>
            <w:r>
              <w:rPr>
                <w:b w:val="0"/>
                <w:color w:val="000000"/>
                <w:sz w:val="20"/>
              </w:rPr>
              <w:t>4%</w:t>
            </w:r>
          </w:p>
        </w:tc>
        <w:tc>
          <w:tcPr>
            <w:tcW w:w="72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7E" w14:textId="0010027F">
            <w:pPr>
              <w:spacing w:after="0" w:line="269" w:lineRule="auto"/>
            </w:pPr>
            <w:r>
              <w:rPr>
                <w:b w:val="0"/>
                <w:color w:val="000000"/>
                <w:sz w:val="20"/>
              </w:rPr>
              <w:t>机型类别</w:t>
            </w:r>
          </w:p>
        </w:tc>
      </w:tr>
      <w:tr>
        <w:trPr>
          <w:cantSplit/>
        </w:trPr>
        <w:tc>
          <w:tcPr>
            <w:tcW w:w="172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80" w14:textId="00100281">
            <w:pPr>
              <w:spacing w:after="0" w:line="269" w:lineRule="auto"/>
              <w:jc w:val="center"/>
            </w:pPr>
            <w:r>
              <w:rPr>
                <w:b w:val="0"/>
                <w:color w:val="000000"/>
                <w:sz w:val="20"/>
              </w:rPr>
              <w:t>载荷</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82" w14:textId="00100283">
            <w:pPr>
              <w:spacing w:after="0" w:line="269" w:lineRule="auto"/>
            </w:pPr>
            <w:r>
              <w:rPr>
                <w:b w:val="0"/>
                <w:color w:val="000000"/>
                <w:sz w:val="20"/>
              </w:rPr>
              <w:t>3%</w:t>
            </w:r>
          </w:p>
        </w:tc>
        <w:tc>
          <w:tcPr>
            <w:tcW w:w="72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84" w14:textId="00100285">
            <w:pPr>
              <w:spacing w:after="0" w:line="269" w:lineRule="auto"/>
            </w:pPr>
            <w:r>
              <w:rPr>
                <w:b w:val="0"/>
                <w:color w:val="000000"/>
                <w:sz w:val="20"/>
              </w:rPr>
              <w:t>载荷类别与类型</w:t>
            </w:r>
          </w:p>
        </w:tc>
      </w:tr>
      <w:tr>
        <w:trPr>
          <w:cantSplit/>
        </w:trPr>
        <w:tc>
          <w:tcPr>
            <w:tcW w:w="172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86" w14:textId="00100287">
            <w:pPr>
              <w:spacing w:after="0" w:line="269" w:lineRule="auto"/>
              <w:jc w:val="center"/>
            </w:pPr>
            <w:r>
              <w:rPr>
                <w:b w:val="0"/>
                <w:color w:val="000000"/>
                <w:sz w:val="20"/>
              </w:rPr>
              <w:t>飞手</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88" w14:textId="00100289">
            <w:pPr>
              <w:spacing w:after="0" w:line="269" w:lineRule="auto"/>
            </w:pPr>
            <w:r>
              <w:rPr>
                <w:b w:val="0"/>
                <w:color w:val="000000"/>
                <w:sz w:val="20"/>
              </w:rPr>
              <w:t>2%</w:t>
            </w:r>
          </w:p>
        </w:tc>
        <w:tc>
          <w:tcPr>
            <w:tcW w:w="72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8A" w14:textId="0010028B">
            <w:pPr>
              <w:spacing w:after="0" w:line="269" w:lineRule="auto"/>
            </w:pPr>
            <w:r>
              <w:rPr>
                <w:b w:val="0"/>
                <w:color w:val="000000"/>
                <w:sz w:val="20"/>
              </w:rPr>
              <w:t>飞手风险等级</w:t>
            </w:r>
          </w:p>
        </w:tc>
      </w:tr>
    </w:tbl>
    <w:p w14:paraId="0010028C" w14:textId="0010028D">
      <w:pPr>
        <w:spacing w:after="40"/>
      </w:pPr>
    </w:p>
    <w:p w14:paraId="0010028E" w14:textId="0010028F">
      <w:pPr>
        <w:spacing w:before="100" w:after="160"/>
        <w:jc w:val="center"/>
      </w:pPr>
      <m:oMath>
        <m:sSub>
          <m:e>
            <m:r>
              <w:rPr>
                <w:rFonts w:ascii="Cambria Math" w:hAnsi="Cambria Math" w:eastAsia="Cambria Math"/>
                <w:sz w:val="22"/>
              </w:rPr>
              <m:t>S</m:t>
            </m:r>
          </m:e>
          <m:sub>
            <m:r>
              <w:rPr>
                <w:rFonts w:ascii="Cambria Math" w:hAnsi="Cambria Math" w:eastAsia="Cambria Math"/>
                <w:sz w:val="22"/>
              </w:rPr>
              <m:t>raw</m:t>
            </m:r>
          </m:sub>
        </m:sSub>
        <m:r>
          <w:rPr>
            <w:rFonts w:ascii="Cambria Math" w:hAnsi="Cambria Math" w:eastAsia="Cambria Math"/>
            <w:sz w:val="22"/>
          </w:rPr>
          <m:t> = </m:t>
        </m:r>
        <m:sSub>
          <m:e>
            <m:r>
              <w:rPr>
                <w:rFonts w:ascii="Cambria Math" w:hAnsi="Cambria Math" w:eastAsia="Cambria Math"/>
                <w:sz w:val="22"/>
              </w:rPr>
              <m:t>∑</m:t>
            </m:r>
          </m:e>
          <m:sub>
            <m:r>
              <w:rPr>
                <w:rFonts w:ascii="Cambria Math" w:hAnsi="Cambria Math" w:eastAsia="Cambria Math"/>
                <w:sz w:val="22"/>
              </w:rPr>
              <m:t>k=1…10</m:t>
            </m:r>
          </m:sub>
        </m:sSub>
        <m:sSub>
          <m:e>
            <m:r>
              <w:rPr>
                <w:rFonts w:ascii="Cambria Math" w:hAnsi="Cambria Math" w:eastAsia="Cambria Math"/>
                <w:sz w:val="22"/>
              </w:rPr>
              <m:t>w</m:t>
            </m:r>
          </m:e>
          <m:sub>
            <m:r>
              <w:rPr>
                <w:rFonts w:ascii="Cambria Math" w:hAnsi="Cambria Math" w:eastAsia="Cambria Math"/>
                <w:sz w:val="22"/>
              </w:rPr>
              <m:t>k</m:t>
            </m:r>
          </m:sub>
        </m:sSub>
        <m:sSub>
          <m:e>
            <m:r>
              <w:rPr>
                <w:rFonts w:ascii="Cambria Math" w:hAnsi="Cambria Math" w:eastAsia="Cambria Math"/>
                <w:sz w:val="22"/>
              </w:rPr>
              <m:t>s</m:t>
            </m:r>
          </m:e>
          <m:sub>
            <m:r>
              <w:rPr>
                <w:rFonts w:ascii="Cambria Math" w:hAnsi="Cambria Math" w:eastAsia="Cambria Math"/>
                <w:sz w:val="22"/>
              </w:rPr>
              <m:t>k</m:t>
            </m:r>
          </m:sub>
        </m:sSub>
        <m:r>
          <w:rPr>
            <w:rFonts w:ascii="Cambria Math" w:hAnsi="Cambria Math" w:eastAsia="Cambria Math"/>
            <w:sz w:val="22"/>
          </w:rPr>
          <m:t> + </m:t>
        </m:r>
        <m:sSub>
          <m:e>
            <m:r>
              <w:rPr>
                <w:rFonts w:ascii="Cambria Math" w:hAnsi="Cambria Math" w:eastAsia="Cambria Math"/>
                <w:sz w:val="22"/>
              </w:rPr>
              <m:t>b</m:t>
            </m:r>
          </m:e>
          <m:sub>
            <m:r>
              <w:rPr>
                <w:rFonts w:ascii="Cambria Math" w:hAnsi="Cambria Math" w:eastAsia="Cambria Math"/>
                <w:sz w:val="22"/>
              </w:rPr>
              <m:t>pilot</m:t>
            </m:r>
          </m:sub>
        </m:sSub>
      </m:oMath>
      <w:r>
        <w:rPr>
          <w:sz w:val="18"/>
        </w:rPr>
        <w:t xml:space="preserve">    式10</w:t>
      </w:r>
    </w:p>
    <w:p w14:paraId="00100290" w14:textId="00100291">
      <w:pPr>
        <w:widowControl/>
      </w:pPr>
      <w:r>
        <w:rPr>
          <w:b w:val="0"/>
        </w:rPr>
        <w:t>飞手偏置在任一成员 high 时为 +5，全部成员 low 时为 −4，其他为0。各维度聚合方式并不完全相同，例如某些风险取成员最大值，合规与飞手还包含群体条件；完整行为以 _threat() 为准。</w:t>
      </w:r>
    </w:p>
    <w:p w14:paraId="00100292" w14:textId="00100293">
      <w:pPr>
        <w:spacing w:before="100" w:after="160"/>
        <w:jc w:val="center"/>
      </w:pPr>
      <m:oMath>
        <m:r>
          <w:rPr>
            <w:rFonts w:ascii="Cambria Math" w:hAnsi="Cambria Math" w:eastAsia="Cambria Math"/>
            <w:sz w:val="22"/>
          </w:rPr>
          <m:t>C = clip[0,1](0.70 q̄ + 0.20 </m:t>
        </m:r>
        <m:sSub>
          <m:e>
            <m:r>
              <w:rPr>
                <w:rFonts w:ascii="Cambria Math" w:hAnsi="Cambria Math" w:eastAsia="Cambria Math"/>
                <w:sz w:val="22"/>
              </w:rPr>
              <m:t>c</m:t>
            </m:r>
          </m:e>
          <m:sub>
            <m:r>
              <w:rPr>
                <w:rFonts w:ascii="Cambria Math" w:hAnsi="Cambria Math" w:eastAsia="Cambria Math"/>
                <w:sz w:val="22"/>
              </w:rPr>
              <m:t>I</m:t>
            </m:r>
          </m:sub>
        </m:sSub>
        <m:r>
          <w:rPr>
            <w:rFonts w:ascii="Cambria Math" w:hAnsi="Cambria Math" w:eastAsia="Cambria Math"/>
            <w:sz w:val="22"/>
          </w:rPr>
          <m:t> + 0.10u)</m:t>
        </m:r>
      </m:oMath>
      <w:r>
        <w:rPr>
          <w:sz w:val="18"/>
        </w:rPr>
        <w:t xml:space="preserve">    式11</w:t>
      </w:r>
    </w:p>
    <w:p w14:paraId="00100294" w14:textId="00100295">
      <w:pPr>
        <w:widowControl/>
      </w:pPr>
      <w:r>
        <w:rPr>
          <w:b w:val="0"/>
        </w:rPr>
        <w:t>q̄ 为平均轨迹质量，cI 为意图 confidence；没有来源冲突时 u=1，否则为0。默认 C 小于0.70扣6分，0.70至0.85之间扣3分，其余不扣。先扣分、限幅和取整，再应用硬规则下限，最后施加空间不相关的限制。</w:t>
      </w:r>
    </w:p>
    <w:p w14:paraId="00100296" w14:textId="00100297">
      <w:pPr>
        <w:widowControl/>
        <w:spacing w:line="276" w:lineRule="auto"/>
      </w:pPr>
      <w:r>
        <w:rPr>
          <w:b w:val="0"/>
          <w:sz w:val="18"/>
        </w:rPr>
        <w:t>实现与证据  engine.py _threat；project_reference 第9章 F09至F11。[S03][S11]</w:t>
      </w:r>
    </w:p>
    <w:p w14:paraId="00100298" w14:textId="00100299">
      <w:r>
        <w:br w:type="page"/>
      </w:r>
    </w:p>
    <w:p w14:paraId="0010029A" w14:textId="0010029B">
      <w:pPr>
        <w:pStyle w:val="Heading1"/>
      </w:pPr>
      <w:r>
        <w:t>13 威胁约束与结果解释</w:t>
      </w:r>
    </w:p>
    <w:p w14:paraId="0010029C" w14:textId="0010029D">
      <w:pPr>
        <w:spacing w:before="100" w:after="160"/>
        <w:jc w:val="center"/>
      </w:pPr>
      <m:oMath>
        <m:sSub>
          <m:e>
            <m:r>
              <w:rPr>
                <w:rFonts w:ascii="Cambria Math" w:hAnsi="Cambria Math" w:eastAsia="Cambria Math"/>
                <w:sz w:val="22"/>
              </w:rPr>
              <m:t>S</m:t>
            </m:r>
          </m:e>
          <m:sub>
            <m:r>
              <w:rPr>
                <w:rFonts w:ascii="Cambria Math" w:hAnsi="Cambria Math" w:eastAsia="Cambria Math"/>
                <w:sz w:val="22"/>
              </w:rPr>
              <m:t>0</m:t>
            </m:r>
          </m:sub>
        </m:sSub>
        <m:r>
          <w:rPr>
            <w:rFonts w:ascii="Cambria Math" w:hAnsi="Cambria Math" w:eastAsia="Cambria Math"/>
            <w:sz w:val="22"/>
          </w:rPr>
          <m:t> = round(clip[0,100](</m:t>
        </m:r>
        <m:sSub>
          <m:e>
            <m:r>
              <w:rPr>
                <w:rFonts w:ascii="Cambria Math" w:hAnsi="Cambria Math" w:eastAsia="Cambria Math"/>
                <w:sz w:val="22"/>
              </w:rPr>
              <m:t>S</m:t>
            </m:r>
          </m:e>
          <m:sub>
            <m:r>
              <w:rPr>
                <w:rFonts w:ascii="Cambria Math" w:hAnsi="Cambria Math" w:eastAsia="Cambria Math"/>
                <w:sz w:val="22"/>
              </w:rPr>
              <m:t>raw</m:t>
            </m:r>
          </m:sub>
        </m:sSub>
        <m:r>
          <w:rPr>
            <w:rFonts w:ascii="Cambria Math" w:hAnsi="Cambria Math" w:eastAsia="Cambria Math"/>
            <w:sz w:val="22"/>
          </w:rPr>
          <m:t> + </m:t>
        </m:r>
        <m:sSub>
          <m:e>
            <m:r>
              <w:rPr>
                <w:rFonts w:ascii="Cambria Math" w:hAnsi="Cambria Math" w:eastAsia="Cambria Math"/>
                <w:sz w:val="22"/>
              </w:rPr>
              <m:t>Δ</m:t>
            </m:r>
          </m:e>
          <m:sub>
            <m:r>
              <w:rPr>
                <w:rFonts w:ascii="Cambria Math" w:hAnsi="Cambria Math" w:eastAsia="Cambria Math"/>
                <w:sz w:val="22"/>
              </w:rPr>
              <m:t>C</m:t>
            </m:r>
          </m:sub>
        </m:sSub>
        <m:r>
          <w:rPr>
            <w:rFonts w:ascii="Cambria Math" w:hAnsi="Cambria Math" w:eastAsia="Cambria Math"/>
            <w:sz w:val="22"/>
          </w:rPr>
          <m:t>))</m:t>
        </m:r>
      </m:oMath>
      <w:r>
        <w:rPr>
          <w:sz w:val="18"/>
        </w:rPr>
        <w:t xml:space="preserve">    式12</w:t>
      </w:r>
    </w:p>
    <w:p w14:paraId="0010029E" w14:textId="0010029F">
      <w:pPr>
        <w:spacing w:before="100" w:after="160"/>
        <w:jc w:val="center"/>
      </w:pPr>
      <m:oMath>
        <m:sSub>
          <m:e>
            <m:r>
              <w:rPr>
                <w:rFonts w:ascii="Cambria Math" w:hAnsi="Cambria Math" w:eastAsia="Cambria Math"/>
                <w:sz w:val="22"/>
              </w:rPr>
              <m:t>S</m:t>
            </m:r>
          </m:e>
          <m:sub>
            <m:r>
              <w:rPr>
                <w:rFonts w:ascii="Cambria Math" w:hAnsi="Cambria Math" w:eastAsia="Cambria Math"/>
                <w:sz w:val="22"/>
              </w:rPr>
              <m:t>1</m:t>
            </m:r>
          </m:sub>
        </m:sSub>
        <m:r>
          <w:rPr>
            <w:rFonts w:ascii="Cambria Math" w:hAnsi="Cambria Math" w:eastAsia="Cambria Math"/>
            <w:sz w:val="22"/>
          </w:rPr>
          <m:t> = max(</m:t>
        </m:r>
        <m:sSub>
          <m:e>
            <m:r>
              <w:rPr>
                <w:rFonts w:ascii="Cambria Math" w:hAnsi="Cambria Math" w:eastAsia="Cambria Math"/>
                <w:sz w:val="22"/>
              </w:rPr>
              <m:t>S</m:t>
            </m:r>
          </m:e>
          <m:sub>
            <m:r>
              <w:rPr>
                <w:rFonts w:ascii="Cambria Math" w:hAnsi="Cambria Math" w:eastAsia="Cambria Math"/>
                <w:sz w:val="22"/>
              </w:rPr>
              <m:t>0</m:t>
            </m:r>
          </m:sub>
        </m:sSub>
        <m:r>
          <w:rPr>
            <w:rFonts w:ascii="Cambria Math" w:hAnsi="Cambria Math" w:eastAsia="Cambria Math"/>
            <w:sz w:val="22"/>
          </w:rPr>
          <m:t>, F)</m:t>
        </m:r>
      </m:oMath>
      <w:r>
        <w:rPr>
          <w:sz w:val="18"/>
        </w:rPr>
        <w:t xml:space="preserve">    式13</w:t>
      </w:r>
    </w:p>
    <w:p w14:paraId="001002A0" w14:textId="001002A1">
      <w:pPr>
        <w:widowControl/>
      </w:pPr>
      <w:r>
        <w:rPr>
          <w:b w:val="0"/>
        </w:rPr>
        <w:t>F 为适用硬规则的最高下限。空间确定不相关时，最终分值再限制为中档门槛减1；当前默认中档36、高档66，所以该上限为35。空间未知不按确定不相关封顶。代码取整采用 Python round。</w:t>
      </w:r>
    </w:p>
    <w:tbl>
      <w:tblPr>
        <w:tblW w:w="0" w:type="auto"/>
        <w:jc w:val="center"/>
        <w:tblLayout w:type="fixed"/>
        <w:tblLook w:val="04A0" w:firstRow="1" w:lastRow="0" w:firstColumn="1" w:lastColumn="0" w:noHBand="0" w:noVBand="1"/>
      </w:tblPr>
      <w:tblGrid>
        <w:gridCol w:w="1800"/>
        <w:gridCol w:w="3816"/>
        <w:gridCol w:w="4320"/>
      </w:tblGrid>
      <w:tr>
        <w:trPr>
          <w:tblHeader/>
          <w:cantSplit/>
        </w:trPr>
        <w:tc>
          <w:tcPr>
            <w:tcW w:w="180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2A2" w14:textId="001002A3">
            <w:pPr>
              <w:spacing w:after="0" w:line="269" w:lineRule="auto"/>
            </w:pPr>
            <w:r>
              <w:rPr>
                <w:b/>
                <w:color w:val="000000"/>
                <w:sz w:val="20"/>
              </w:rPr>
              <w:t>约束或分支</w:t>
            </w:r>
          </w:p>
        </w:tc>
        <w:tc>
          <w:tcPr>
            <w:tcW w:w="381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2A4" w14:textId="001002A5">
            <w:pPr>
              <w:spacing w:after="0" w:line="269" w:lineRule="auto"/>
            </w:pPr>
            <w:r>
              <w:rPr>
                <w:b/>
                <w:color w:val="000000"/>
                <w:sz w:val="20"/>
              </w:rPr>
              <w:t>当前行为</w:t>
            </w:r>
          </w:p>
        </w:tc>
        <w:tc>
          <w:tcPr>
            <w:tcW w:w="432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2A6" w14:textId="001002A7">
            <w:pPr>
              <w:spacing w:after="0" w:line="269" w:lineRule="auto"/>
            </w:pPr>
            <w:r>
              <w:rPr>
                <w:b/>
                <w:color w:val="000000"/>
                <w:sz w:val="20"/>
              </w:rPr>
              <w:t>解释意义</w:t>
            </w:r>
          </w:p>
        </w:tc>
      </w:tr>
      <w:tr>
        <w:trPr>
          <w:cantSplit/>
        </w:trPr>
        <w:tc>
          <w:tcPr>
            <w:tcW w:w="180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A8" w14:textId="001002A9">
            <w:pPr>
              <w:spacing w:after="0" w:line="269" w:lineRule="auto"/>
            </w:pPr>
            <w:r>
              <w:rPr>
                <w:b w:val="0"/>
                <w:color w:val="000000"/>
                <w:sz w:val="20"/>
              </w:rPr>
              <w:t>硬规则</w:t>
            </w:r>
          </w:p>
        </w:tc>
        <w:tc>
          <w:tcPr>
            <w:tcW w:w="381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AA" w14:textId="001002AB">
            <w:pPr>
              <w:spacing w:after="0" w:line="269" w:lineRule="auto"/>
            </w:pPr>
            <w:r>
              <w:rPr>
                <w:b w:val="0"/>
                <w:color w:val="000000"/>
                <w:sz w:val="20"/>
              </w:rPr>
              <w:t>命中后规定最低分值，如36或66</w:t>
            </w:r>
          </w:p>
        </w:tc>
        <w:tc>
          <w:tcPr>
            <w:tcW w:w="43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AC" w14:textId="001002AD">
            <w:pPr>
              <w:spacing w:after="0" w:line="269" w:lineRule="auto"/>
            </w:pPr>
            <w:r>
              <w:rPr>
                <w:b w:val="0"/>
                <w:color w:val="000000"/>
                <w:sz w:val="20"/>
              </w:rPr>
              <w:t>66在这些规则中是下限</w:t>
            </w:r>
          </w:p>
        </w:tc>
      </w:tr>
      <w:tr>
        <w:trPr>
          <w:cantSplit/>
        </w:trPr>
        <w:tc>
          <w:tcPr>
            <w:tcW w:w="180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AE" w14:textId="001002AF">
            <w:pPr>
              <w:spacing w:after="0" w:line="269" w:lineRule="auto"/>
            </w:pPr>
            <w:r>
              <w:rPr>
                <w:b w:val="0"/>
                <w:color w:val="000000"/>
                <w:sz w:val="20"/>
              </w:rPr>
              <w:t>R3</w:t>
            </w:r>
          </w:p>
        </w:tc>
        <w:tc>
          <w:tcPr>
            <w:tcW w:w="381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B0" w14:textId="001002B1">
            <w:pPr>
              <w:spacing w:after="0" w:line="269" w:lineRule="auto"/>
            </w:pPr>
            <w:r>
              <w:rPr>
                <w:b w:val="0"/>
                <w:color w:val="000000"/>
                <w:sz w:val="20"/>
              </w:rPr>
              <w:t>AGL 130至180米，含端点</w:t>
            </w:r>
          </w:p>
        </w:tc>
        <w:tc>
          <w:tcPr>
            <w:tcW w:w="43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B2" w14:textId="001002B3">
            <w:pPr>
              <w:spacing w:after="0" w:line="269" w:lineRule="auto"/>
            </w:pPr>
            <w:r>
              <w:rPr>
                <w:b w:val="0"/>
                <w:color w:val="000000"/>
                <w:sz w:val="20"/>
              </w:rPr>
              <w:t>不是所有高于130米均由 R3 触发</w:t>
            </w:r>
          </w:p>
        </w:tc>
      </w:tr>
      <w:tr>
        <w:trPr>
          <w:cantSplit/>
        </w:trPr>
        <w:tc>
          <w:tcPr>
            <w:tcW w:w="180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B4" w14:textId="001002B5">
            <w:pPr>
              <w:spacing w:after="0" w:line="269" w:lineRule="auto"/>
            </w:pPr>
            <w:r>
              <w:rPr>
                <w:b w:val="0"/>
                <w:color w:val="000000"/>
                <w:sz w:val="20"/>
              </w:rPr>
              <w:t>空间作用域</w:t>
            </w:r>
          </w:p>
        </w:tc>
        <w:tc>
          <w:tcPr>
            <w:tcW w:w="381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B6" w14:textId="001002B7">
            <w:pPr>
              <w:spacing w:after="0" w:line="269" w:lineRule="auto"/>
            </w:pPr>
            <w:r>
              <w:rPr>
                <w:b w:val="0"/>
                <w:color w:val="000000"/>
                <w:sz w:val="20"/>
              </w:rPr>
              <w:t>相应规则只取当前关联成员和设施证据</w:t>
            </w:r>
          </w:p>
        </w:tc>
        <w:tc>
          <w:tcPr>
            <w:tcW w:w="43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B8" w14:textId="001002B9">
            <w:pPr>
              <w:spacing w:after="0" w:line="269" w:lineRule="auto"/>
            </w:pPr>
            <w:r>
              <w:rPr>
                <w:b w:val="0"/>
                <w:color w:val="000000"/>
                <w:sz w:val="20"/>
              </w:rPr>
              <w:t>避免跨设施抬高本地风险</w:t>
            </w:r>
          </w:p>
        </w:tc>
      </w:tr>
      <w:tr>
        <w:trPr>
          <w:cantSplit/>
        </w:trPr>
        <w:tc>
          <w:tcPr>
            <w:tcW w:w="180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BA" w14:textId="001002BB">
            <w:pPr>
              <w:spacing w:after="0" w:line="269" w:lineRule="auto"/>
            </w:pPr>
            <w:r>
              <w:rPr>
                <w:b w:val="0"/>
                <w:color w:val="000000"/>
                <w:sz w:val="20"/>
              </w:rPr>
              <w:t>成员评分</w:t>
            </w:r>
          </w:p>
        </w:tc>
        <w:tc>
          <w:tcPr>
            <w:tcW w:w="381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BC" w14:textId="001002BD">
            <w:pPr>
              <w:spacing w:after="0" w:line="269" w:lineRule="auto"/>
            </w:pPr>
            <w:r>
              <w:rPr>
                <w:b w:val="0"/>
                <w:color w:val="000000"/>
                <w:sz w:val="20"/>
              </w:rPr>
              <w:t>多成员集群对每个成员独立计算</w:t>
            </w:r>
          </w:p>
        </w:tc>
        <w:tc>
          <w:tcPr>
            <w:tcW w:w="43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BE" w14:textId="001002BF">
            <w:pPr>
              <w:spacing w:after="0" w:line="269" w:lineRule="auto"/>
            </w:pPr>
            <w:r>
              <w:rPr>
                <w:b w:val="0"/>
                <w:color w:val="000000"/>
                <w:sz w:val="20"/>
              </w:rPr>
              <w:t>群体高分不自动复制给单机</w:t>
            </w:r>
          </w:p>
        </w:tc>
      </w:tr>
      <w:tr>
        <w:trPr>
          <w:cantSplit/>
        </w:trPr>
        <w:tc>
          <w:tcPr>
            <w:tcW w:w="180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C0" w14:textId="001002C1">
            <w:pPr>
              <w:spacing w:after="0" w:line="269" w:lineRule="auto"/>
            </w:pPr>
            <w:r>
              <w:rPr>
                <w:b w:val="0"/>
                <w:color w:val="000000"/>
                <w:sz w:val="20"/>
              </w:rPr>
              <w:t>复核</w:t>
            </w:r>
          </w:p>
        </w:tc>
        <w:tc>
          <w:tcPr>
            <w:tcW w:w="381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C2" w14:textId="001002C3">
            <w:pPr>
              <w:spacing w:after="0" w:line="269" w:lineRule="auto"/>
            </w:pPr>
            <w:r>
              <w:rPr>
                <w:b w:val="0"/>
                <w:color w:val="000000"/>
                <w:sz w:val="20"/>
              </w:rPr>
              <w:t>冲突、低置信、无候选、空间不足等</w:t>
            </w:r>
          </w:p>
        </w:tc>
        <w:tc>
          <w:tcPr>
            <w:tcW w:w="43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C4" w14:textId="001002C5">
            <w:pPr>
              <w:spacing w:after="0" w:line="269" w:lineRule="auto"/>
            </w:pPr>
            <w:r>
              <w:rPr>
                <w:b w:val="0"/>
                <w:color w:val="000000"/>
                <w:sz w:val="20"/>
              </w:rPr>
              <w:t>显示结论可靠性和信息缺口</w:t>
            </w:r>
          </w:p>
        </w:tc>
      </w:tr>
      <w:tr>
        <w:trPr>
          <w:cantSplit/>
        </w:trPr>
        <w:tc>
          <w:tcPr>
            <w:tcW w:w="180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C6" w14:textId="001002C7">
            <w:pPr>
              <w:spacing w:after="0" w:line="269" w:lineRule="auto"/>
            </w:pPr>
            <w:r>
              <w:rPr>
                <w:b w:val="0"/>
                <w:color w:val="000000"/>
                <w:sz w:val="20"/>
              </w:rPr>
              <w:t>业务路由</w:t>
            </w:r>
          </w:p>
        </w:tc>
        <w:tc>
          <w:tcPr>
            <w:tcW w:w="381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C8" w14:textId="001002C9">
            <w:pPr>
              <w:spacing w:after="0" w:line="269" w:lineRule="auto"/>
            </w:pPr>
            <w:r>
              <w:rPr>
                <w:b w:val="0"/>
                <w:color w:val="000000"/>
                <w:sz w:val="20"/>
              </w:rPr>
              <w:t>结合分级、圈层、行为及意图输出建议</w:t>
            </w:r>
          </w:p>
        </w:tc>
        <w:tc>
          <w:tcPr>
            <w:tcW w:w="43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2CA" w14:textId="001002CB">
            <w:pPr>
              <w:spacing w:after="0" w:line="269" w:lineRule="auto"/>
            </w:pPr>
            <w:r>
              <w:rPr>
                <w:b w:val="0"/>
                <w:color w:val="000000"/>
                <w:sz w:val="20"/>
              </w:rPr>
              <w:t>算法建议不等于事件已经创建或处置已经执行</w:t>
            </w:r>
          </w:p>
        </w:tc>
      </w:tr>
    </w:tbl>
    <w:p w14:paraId="001002CC" w14:textId="001002CD">
      <w:pPr>
        <w:spacing w:after="40"/>
      </w:pPr>
    </w:p>
    <w:p w14:paraId="001002CE" w14:textId="001002CF">
      <w:pPr>
        <w:pStyle w:val="Heading2"/>
      </w:pPr>
      <w:r>
        <w:t>可解释性和局限</w:t>
      </w:r>
    </w:p>
    <w:p w14:paraId="001002D0" w14:textId="001002D1">
      <w:pPr>
        <w:widowControl/>
      </w:pPr>
      <w:r>
        <w:rPr>
          <w:b w:val="0"/>
        </w:rPr>
        <w:t>评分过程可以从维度值、偏置、置信扣分、硬规则和空间限制逐步复算。本次实际请求的一个五成员集群在十维加权后得到45.65分，没有飞手偏置、置信扣分或硬规则抬底，取整为46分。完整案例见第19章。</w:t>
      </w:r>
    </w:p>
    <w:p w14:paraId="001002D2" w14:textId="001002D3">
      <w:pPr>
        <w:widowControl/>
      </w:pPr>
      <w:r>
        <w:rPr>
          <w:b w:val="0"/>
        </w:rPr>
        <w:t>可解释不意味着权重已最优。当前评分对缺失字段有默认值，真实数据字段缺失比例会改变得分分布。正式验收需要专家标注的一致性评价和参数敏感性分析，而不是只检查代码计算是否正确。</w:t>
      </w:r>
    </w:p>
    <w:p w14:paraId="001002D4" w14:textId="001002D5">
      <w:pPr>
        <w:widowControl/>
        <w:spacing w:line="276" w:lineRule="auto"/>
      </w:pPr>
      <w:r>
        <w:rPr>
          <w:b w:val="0"/>
          <w:sz w:val="18"/>
        </w:rPr>
        <w:t>实现与证据  engine.py _threat、_grade；本次 case_response.json；project_reference 第9.2至9.4节。[S03][E03]</w:t>
      </w:r>
    </w:p>
    <w:p w14:paraId="001002D6" w14:textId="001002D7">
      <w:r>
        <w:br w:type="page"/>
      </w:r>
    </w:p>
    <w:p w14:paraId="001002D8" w14:textId="001002D9">
      <w:pPr>
        <w:pStyle w:val="Heading1"/>
      </w:pPr>
      <w:r>
        <w:t>14 ETA 与基础防御评估</w:t>
      </w:r>
    </w:p>
    <w:p w14:paraId="001002DA" w14:textId="001002DB">
      <w:pPr>
        <w:pStyle w:val="Heading2"/>
      </w:pPr>
      <w:r>
        <w:t>抵达时间估计</w:t>
      </w:r>
    </w:p>
    <w:p w14:paraId="001002DC" w14:textId="001002DD">
      <w:pPr>
        <w:widowControl/>
      </w:pPr>
      <w:r>
        <w:rPr>
          <w:b w:val="0"/>
        </w:rPr>
        <w:t>适配器提供已有设施趋近和到达估计；引擎只使用当前相关设施与对应成员的有效值，多值时取最小。没有可用值但具备设施、空间相关性、趋近与有效速度时，采用直线匀速回退。</w:t>
      </w:r>
    </w:p>
    <w:p w14:paraId="001002DE" w14:textId="001002DF">
      <w:pPr>
        <w:spacing w:before="100" w:after="160"/>
        <w:jc w:val="center"/>
      </w:pPr>
      <m:oMath>
        <m:sSub>
          <m:e>
            <m:r>
              <w:rPr>
                <w:rFonts w:ascii="Cambria Math" w:hAnsi="Cambria Math" w:eastAsia="Cambria Math"/>
                <w:sz w:val="22"/>
              </w:rPr>
              <m:t>τ</m:t>
            </m:r>
          </m:e>
          <m:sub>
            <m:r>
              <w:rPr>
                <w:rFonts w:ascii="Cambria Math" w:hAnsi="Cambria Math" w:eastAsia="Cambria Math"/>
                <w:sz w:val="22"/>
              </w:rPr>
              <m:t>fallback</m:t>
            </m:r>
          </m:sub>
        </m:sSub>
        <m:r>
          <w:rPr>
            <w:rFonts w:ascii="Cambria Math" w:hAnsi="Cambria Math" w:eastAsia="Cambria Math"/>
            <w:sz w:val="22"/>
          </w:rPr>
          <m:t> = ⌊</m:t>
        </m:r>
        <m:f>
          <m:num>
            <m:sSub>
              <m:e>
                <m:r>
                  <w:rPr>
                    <w:rFonts w:ascii="Cambria Math" w:hAnsi="Cambria Math" w:eastAsia="Cambria Math"/>
                    <w:sz w:val="22"/>
                  </w:rPr>
                  <m:t>d</m:t>
                </m:r>
              </m:e>
              <m:sub>
                <m:r>
                  <w:rPr>
                    <w:rFonts w:ascii="Cambria Math" w:hAnsi="Cambria Math" w:eastAsia="Cambria Math"/>
                    <w:sz w:val="22"/>
                  </w:rPr>
                  <m:t>facility</m:t>
                </m:r>
              </m:sub>
            </m:sSub>
          </m:num>
          <m:den>
            <m:sSub>
              <m:e>
                <m:r>
                  <w:rPr>
                    <w:rFonts w:ascii="Cambria Math" w:hAnsi="Cambria Math" w:eastAsia="Cambria Math"/>
                    <w:sz w:val="22"/>
                  </w:rPr>
                  <m:t>v</m:t>
                </m:r>
              </m:e>
              <m:sub>
                <m:r>
                  <w:rPr>
                    <w:rFonts w:ascii="Cambria Math" w:hAnsi="Cambria Math" w:eastAsia="Cambria Math"/>
                    <w:sz w:val="22"/>
                  </w:rPr>
                  <m:t>fallback</m:t>
                </m:r>
              </m:sub>
            </m:sSub>
          </m:den>
        </m:f>
        <m:r>
          <w:rPr>
            <w:rFonts w:ascii="Cambria Math" w:hAnsi="Cambria Math" w:eastAsia="Cambria Math"/>
            <w:sz w:val="22"/>
          </w:rPr>
          <m:t>⌋</m:t>
        </m:r>
      </m:oMath>
      <w:r>
        <w:rPr>
          <w:sz w:val="18"/>
        </w:rPr>
        <w:t xml:space="preserve">    式14</w:t>
      </w:r>
    </w:p>
    <w:p w14:paraId="001002E0" w14:textId="001002E1">
      <w:pPr>
        <w:widowControl/>
      </w:pPr>
      <w:r>
        <w:rPr>
          <w:b w:val="0"/>
        </w:rPr>
        <w:t>回退速度需大于0.5米/秒。距离来自主上下文，速度取对应作用域有效成员最大速度，二者未必来自同一成员，因此是群体汇总近似。它不模拟未来转弯、绕障或多分支轨迹。</w:t>
      </w:r>
    </w:p>
    <w:p w14:paraId="001002E2" w14:textId="001002E3">
      <w:pPr>
        <w:pStyle w:val="Heading2"/>
      </w:pPr>
      <w:r>
        <w:t>点位覆盖和资源约束</w:t>
      </w:r>
    </w:p>
    <w:p w14:paraId="001002E4" w14:textId="001002E5">
      <w:pPr>
        <w:widowControl/>
      </w:pPr>
      <w:r>
        <w:rPr>
          <w:b w:val="0"/>
        </w:rPr>
        <w:t>当前以集群成员经纬度均值作为代表点，判断是否进入设备有效半径。设备必须启用且状态可用；缺设备输入时输出不可用。覆盖概率组合使用输入概率的失败乘积补集，具有独立事件假设形式，未证明设备独立或完成概率校准。</w:t>
      </w:r>
    </w:p>
    <w:p w14:paraId="001002E6" w14:textId="001002E7">
      <w:pPr>
        <w:spacing w:before="100" w:after="160"/>
        <w:jc w:val="center"/>
      </w:pPr>
      <m:oMath>
        <m:sSub>
          <m:e>
            <m:r>
              <w:rPr>
                <w:rFonts w:ascii="Cambria Math" w:hAnsi="Cambria Math" w:eastAsia="Cambria Math"/>
                <w:sz w:val="22"/>
              </w:rPr>
              <m:t>P</m:t>
            </m:r>
          </m:e>
          <m:sub>
            <m:r>
              <w:rPr>
                <w:rFonts w:ascii="Cambria Math" w:hAnsi="Cambria Math" w:eastAsia="Cambria Math"/>
                <w:sz w:val="22"/>
              </w:rPr>
              <m:t>detect</m:t>
            </m:r>
          </m:sub>
        </m:sSub>
        <m:r>
          <w:rPr>
            <w:rFonts w:ascii="Cambria Math" w:hAnsi="Cambria Math" w:eastAsia="Cambria Math"/>
            <w:sz w:val="22"/>
          </w:rPr>
          <m:t> = 1 − </m:t>
        </m:r>
        <m:sSub>
          <m:e>
            <m:r>
              <w:rPr>
                <w:rFonts w:ascii="Cambria Math" w:hAnsi="Cambria Math" w:eastAsia="Cambria Math"/>
                <w:sz w:val="22"/>
              </w:rPr>
              <m:t>∏</m:t>
            </m:r>
          </m:e>
          <m:sub>
            <m:r>
              <w:rPr>
                <w:rFonts w:ascii="Cambria Math" w:hAnsi="Cambria Math" w:eastAsia="Cambria Math"/>
                <w:sz w:val="22"/>
              </w:rPr>
              <m:t>i∈C</m:t>
            </m:r>
          </m:sub>
        </m:sSub>
        <m:r>
          <w:rPr>
            <w:rFonts w:ascii="Cambria Math" w:hAnsi="Cambria Math" w:eastAsia="Cambria Math"/>
            <w:sz w:val="22"/>
          </w:rPr>
          <m:t>(1 − </m:t>
        </m:r>
        <m:sSub>
          <m:e>
            <m:r>
              <w:rPr>
                <w:rFonts w:ascii="Cambria Math" w:hAnsi="Cambria Math" w:eastAsia="Cambria Math"/>
                <w:sz w:val="22"/>
              </w:rPr>
              <m:t>p</m:t>
            </m:r>
          </m:e>
          <m:sub>
            <m:r>
              <w:rPr>
                <w:rFonts w:ascii="Cambria Math" w:hAnsi="Cambria Math" w:eastAsia="Cambria Math"/>
                <w:sz w:val="22"/>
              </w:rPr>
              <m:t>i</m:t>
            </m:r>
          </m:sub>
        </m:sSub>
        <m:r>
          <w:rPr>
            <w:rFonts w:ascii="Cambria Math" w:hAnsi="Cambria Math" w:eastAsia="Cambria Math"/>
            <w:sz w:val="22"/>
          </w:rPr>
          <m:t>)</m:t>
        </m:r>
      </m:oMath>
      <w:r>
        <w:rPr>
          <w:sz w:val="18"/>
        </w:rPr>
        <w:t xml:space="preserve">    式15</w:t>
      </w:r>
    </w:p>
    <w:p w14:paraId="001002E8" w14:textId="001002E9">
      <w:pPr>
        <w:widowControl/>
      </w:pPr>
      <w:r>
        <w:rPr>
          <w:b w:val="0"/>
        </w:rPr>
        <w:t>资源分配先按威胁等级和分数处理集群，再过滤范围、启用状态与响应时间；可用 ETA 存在时要求响应时间不超过 ETA。候选按响应时间和距离排序，按成员数量贪心分配，并在当前请求内减少可用数量。</w:t>
      </w:r>
    </w:p>
    <w:p w14:paraId="001002EA" w14:textId="001002EB">
      <w:pPr>
        <w:pStyle w:val="Heading2"/>
      </w:pPr>
      <w:r>
        <w:t>当前可行性边界</w:t>
      </w:r>
    </w:p>
    <w:p w14:paraId="001002EC" w14:textId="001002ED">
      <w:pPr>
        <w:widowControl/>
      </w:pPr>
      <w:r>
        <w:rPr>
          <w:b w:val="0"/>
        </w:rPr>
        <w:t>上述方法可在输入设备清单完整时快速给出基础提示，并明确缺失输入。代表点覆盖不等于整个群体轮廓被覆盖；ETA缺失时响应时间约束不生效；资源余量不跨请求管理。成功率字段是旧评估逻辑的适配值，不能当成已实测装备效能。</w:t>
      </w:r>
    </w:p>
    <w:p w14:paraId="001002EE" w14:textId="001002EF">
      <w:pPr>
        <w:widowControl/>
      </w:pPr>
      <w:r>
        <w:rPr>
          <w:b w:val="0"/>
        </w:rPr>
        <w:t>当前不求解全局最优调度，不控制真实装备。后续需校准设备参数、验证场景适用性，再决定是否引入更完整的覆盖和调度模型。</w:t>
      </w:r>
    </w:p>
    <w:p w14:paraId="001002F0" w14:textId="001002F1">
      <w:pPr>
        <w:widowControl/>
        <w:spacing w:line="276" w:lineRule="auto"/>
      </w:pPr>
      <w:r>
        <w:rPr>
          <w:b w:val="0"/>
          <w:sz w:val="18"/>
        </w:rPr>
        <w:t>实现与证据  legacy_adapter.py _estimate_eta；engine.py _threat；defense_analysis.py；project_reference 第10章 F12、F13。[S04][S12]</w:t>
      </w:r>
    </w:p>
    <w:p w14:paraId="001002F2" w14:textId="001002F3">
      <w:r>
        <w:br w:type="page"/>
      </w:r>
    </w:p>
    <w:p w14:paraId="001002F4" w14:textId="001002F5">
      <w:pPr>
        <w:pStyle w:val="Heading1"/>
      </w:pPr>
      <w:r>
        <w:t>15 方法选择与可行性分析</w:t>
      </w:r>
    </w:p>
    <w:p w14:paraId="001002F6" w14:textId="001002F7">
      <w:pPr>
        <w:widowControl/>
      </w:pPr>
      <w:r>
        <w:rPr>
          <w:b w:val="0"/>
        </w:rPr>
        <w:t>可行性需要分别检查输入是否具备、方法是否适配问题、计算是否可承担，以及输出能否被业务复核。当前实现具备运行基础，但效果可行性仍取决于标注数据与真实部署条件。</w:t>
      </w:r>
    </w:p>
    <w:tbl>
      <w:tblPr>
        <w:tblW w:w="0" w:type="auto"/>
        <w:jc w:val="center"/>
        <w:tblLayout w:type="fixed"/>
        <w:tblLook w:val="04A0" w:firstRow="1" w:lastRow="0" w:firstColumn="1" w:lastColumn="0" w:noHBand="0" w:noVBand="1"/>
      </w:tblPr>
      <w:tblGrid>
        <w:gridCol w:w="1656"/>
        <w:gridCol w:w="4176"/>
        <w:gridCol w:w="4104"/>
      </w:tblGrid>
      <w:tr>
        <w:trPr>
          <w:tblHeader/>
          <w:cantSplit/>
        </w:trPr>
        <w:tc>
          <w:tcPr>
            <w:tcW w:w="165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2F8" w14:textId="001002F9">
            <w:pPr>
              <w:spacing w:after="0" w:line="269" w:lineRule="auto"/>
              <w:jc w:val="center"/>
            </w:pPr>
            <w:r>
              <w:rPr>
                <w:b/>
                <w:color w:val="000000"/>
                <w:sz w:val="20"/>
              </w:rPr>
              <w:t>层面</w:t>
            </w:r>
          </w:p>
        </w:tc>
        <w:tc>
          <w:tcPr>
            <w:tcW w:w="417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2FA" w14:textId="001002FB">
            <w:pPr>
              <w:spacing w:after="0" w:line="269" w:lineRule="auto"/>
            </w:pPr>
            <w:r>
              <w:rPr>
                <w:b/>
                <w:color w:val="000000"/>
                <w:sz w:val="20"/>
              </w:rPr>
              <w:t>已有依据</w:t>
            </w:r>
          </w:p>
        </w:tc>
        <w:tc>
          <w:tcPr>
            <w:tcW w:w="410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2FC" w14:textId="001002FD">
            <w:pPr>
              <w:spacing w:after="0" w:line="269" w:lineRule="auto"/>
            </w:pPr>
            <w:r>
              <w:rPr>
                <w:b/>
                <w:color w:val="000000"/>
                <w:sz w:val="20"/>
              </w:rPr>
              <w:t>主要限制</w:t>
            </w:r>
          </w:p>
        </w:tc>
      </w:tr>
      <w:tr>
        <w:trPr>
          <w:cantSplit/>
        </w:trPr>
        <w:tc>
          <w:tcPr>
            <w:tcW w:w="165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2FE" w14:textId="001002FF">
            <w:pPr>
              <w:spacing w:after="0" w:line="269" w:lineRule="auto"/>
              <w:jc w:val="center"/>
            </w:pPr>
            <w:r>
              <w:rPr>
                <w:b w:val="0"/>
                <w:color w:val="000000"/>
                <w:sz w:val="20"/>
              </w:rPr>
              <w:t>数据可行性</w:t>
            </w:r>
          </w:p>
        </w:tc>
        <w:tc>
          <w:tcPr>
            <w:tcW w:w="417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00" w14:textId="00100301">
            <w:pPr>
              <w:spacing w:after="0" w:line="269" w:lineRule="auto"/>
            </w:pPr>
            <w:r>
              <w:rPr>
                <w:b w:val="0"/>
                <w:color w:val="000000"/>
                <w:sz w:val="20"/>
              </w:rPr>
              <w:t>轨迹、业务源、地图与资源均有明确接口和归一化路径</w:t>
            </w:r>
          </w:p>
        </w:tc>
        <w:tc>
          <w:tcPr>
            <w:tcW w:w="410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02" w14:textId="00100303">
            <w:pPr>
              <w:spacing w:after="0" w:line="269" w:lineRule="auto"/>
            </w:pPr>
            <w:r>
              <w:rPr>
                <w:b w:val="0"/>
                <w:color w:val="000000"/>
                <w:sz w:val="20"/>
              </w:rPr>
              <w:t>高度、身份、设备等缺失会降低结论可用性</w:t>
            </w:r>
          </w:p>
        </w:tc>
      </w:tr>
      <w:tr>
        <w:trPr>
          <w:cantSplit/>
        </w:trPr>
        <w:tc>
          <w:tcPr>
            <w:tcW w:w="165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04" w14:textId="00100305">
            <w:pPr>
              <w:spacing w:after="0" w:line="269" w:lineRule="auto"/>
              <w:jc w:val="center"/>
            </w:pPr>
            <w:r>
              <w:rPr>
                <w:b w:val="0"/>
                <w:color w:val="000000"/>
                <w:sz w:val="20"/>
              </w:rPr>
              <w:t>方法可行性</w:t>
            </w:r>
          </w:p>
        </w:tc>
        <w:tc>
          <w:tcPr>
            <w:tcW w:w="417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06" w14:textId="00100307">
            <w:pPr>
              <w:spacing w:after="0" w:line="269" w:lineRule="auto"/>
            </w:pPr>
            <w:r>
              <w:rPr>
                <w:b w:val="0"/>
                <w:color w:val="000000"/>
                <w:sz w:val="20"/>
              </w:rPr>
              <w:t>聚类、点集分类与规则分别对应成员关系、几何形态和业务条件</w:t>
            </w:r>
          </w:p>
        </w:tc>
        <w:tc>
          <w:tcPr>
            <w:tcW w:w="410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08" w14:textId="00100309">
            <w:pPr>
              <w:spacing w:after="0" w:line="269" w:lineRule="auto"/>
            </w:pPr>
            <w:r>
              <w:rPr>
                <w:b w:val="0"/>
                <w:color w:val="000000"/>
                <w:sz w:val="20"/>
              </w:rPr>
              <w:t>经验尺度与阈值需要场景标定</w:t>
            </w:r>
          </w:p>
        </w:tc>
      </w:tr>
      <w:tr>
        <w:trPr>
          <w:cantSplit/>
        </w:trPr>
        <w:tc>
          <w:tcPr>
            <w:tcW w:w="165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0A" w14:textId="0010030B">
            <w:pPr>
              <w:spacing w:after="0" w:line="269" w:lineRule="auto"/>
              <w:jc w:val="center"/>
            </w:pPr>
            <w:r>
              <w:rPr>
                <w:b w:val="0"/>
                <w:color w:val="000000"/>
                <w:sz w:val="20"/>
              </w:rPr>
              <w:t>计算可行性</w:t>
            </w:r>
          </w:p>
        </w:tc>
        <w:tc>
          <w:tcPr>
            <w:tcW w:w="417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0C" w14:textId="0010030D">
            <w:pPr>
              <w:spacing w:after="0" w:line="269" w:lineRule="auto"/>
            </w:pPr>
            <w:r>
              <w:rPr>
                <w:b w:val="0"/>
                <w:color w:val="000000"/>
                <w:sz w:val="20"/>
              </w:rPr>
              <w:t>13目标基线P95为48.43 ms；新增10至200目标仿真规模测量</w:t>
            </w:r>
          </w:p>
        </w:tc>
        <w:tc>
          <w:tcPr>
            <w:tcW w:w="410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0E" w14:textId="0010030F">
            <w:pPr>
              <w:spacing w:after="0" w:line="269" w:lineRule="auto"/>
            </w:pPr>
            <w:r>
              <w:rPr>
                <w:b w:val="0"/>
                <w:color w:val="000000"/>
                <w:sz w:val="20"/>
              </w:rPr>
              <w:t>仿真、单进程串行；未验证生产并发和网络部署时延</w:t>
            </w:r>
          </w:p>
        </w:tc>
      </w:tr>
      <w:tr>
        <w:trPr>
          <w:cantSplit/>
        </w:trPr>
        <w:tc>
          <w:tcPr>
            <w:tcW w:w="165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10" w14:textId="00100311">
            <w:pPr>
              <w:spacing w:after="0" w:line="269" w:lineRule="auto"/>
              <w:jc w:val="center"/>
            </w:pPr>
            <w:r>
              <w:rPr>
                <w:b w:val="0"/>
                <w:color w:val="000000"/>
                <w:sz w:val="20"/>
              </w:rPr>
              <w:t>工程可行性</w:t>
            </w:r>
          </w:p>
        </w:tc>
        <w:tc>
          <w:tcPr>
            <w:tcW w:w="417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12" w14:textId="00100313">
            <w:pPr>
              <w:spacing w:after="0" w:line="269" w:lineRule="auto"/>
            </w:pPr>
            <w:r>
              <w:rPr>
                <w:b w:val="0"/>
                <w:color w:val="000000"/>
                <w:sz w:val="20"/>
              </w:rPr>
              <w:t>正式路由、配置、模型缓存、地图刷新和日志回放</w:t>
            </w:r>
          </w:p>
        </w:tc>
        <w:tc>
          <w:tcPr>
            <w:tcW w:w="410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14" w14:textId="00100315">
            <w:pPr>
              <w:spacing w:after="0" w:line="269" w:lineRule="auto"/>
            </w:pPr>
            <w:r>
              <w:rPr>
                <w:b w:val="0"/>
                <w:color w:val="000000"/>
                <w:sz w:val="20"/>
              </w:rPr>
              <w:t>在线镜像、数据服务与现场环境需独立验证</w:t>
            </w:r>
          </w:p>
        </w:tc>
      </w:tr>
      <w:tr>
        <w:trPr>
          <w:cantSplit/>
        </w:trPr>
        <w:tc>
          <w:tcPr>
            <w:tcW w:w="165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16" w14:textId="00100317">
            <w:pPr>
              <w:spacing w:after="0" w:line="269" w:lineRule="auto"/>
              <w:jc w:val="center"/>
            </w:pPr>
            <w:r>
              <w:rPr>
                <w:b w:val="0"/>
                <w:color w:val="000000"/>
                <w:sz w:val="20"/>
              </w:rPr>
              <w:t>验证可行性</w:t>
            </w:r>
          </w:p>
        </w:tc>
        <w:tc>
          <w:tcPr>
            <w:tcW w:w="417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18" w14:textId="00100319">
            <w:pPr>
              <w:spacing w:after="0" w:line="269" w:lineRule="auto"/>
            </w:pPr>
            <w:r>
              <w:rPr>
                <w:b w:val="0"/>
                <w:color w:val="000000"/>
                <w:sz w:val="20"/>
              </w:rPr>
              <w:t>本次103项定向回归通过，案例响应可追溯</w:t>
            </w:r>
          </w:p>
        </w:tc>
        <w:tc>
          <w:tcPr>
            <w:tcW w:w="410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1A" w14:textId="0010031B">
            <w:pPr>
              <w:spacing w:after="0" w:line="269" w:lineRule="auto"/>
            </w:pPr>
            <w:r>
              <w:rPr>
                <w:b w:val="0"/>
                <w:color w:val="000000"/>
                <w:sz w:val="20"/>
              </w:rPr>
              <w:t>尚缺独立真实标签和完整精度报告</w:t>
            </w:r>
          </w:p>
        </w:tc>
      </w:tr>
    </w:tbl>
    <w:p w14:paraId="0010031C" w14:textId="0010031D">
      <w:pPr>
        <w:spacing w:after="40"/>
      </w:pPr>
    </w:p>
    <w:p w14:paraId="0010031E" w14:textId="0010031F">
      <w:pPr>
        <w:pStyle w:val="Heading2"/>
      </w:pPr>
      <w:r>
        <w:t>采用当前组合的理由</w:t>
      </w:r>
    </w:p>
    <w:p w14:paraId="00100320" w14:textId="00100321">
      <w:pPr>
        <w:widowControl/>
      </w:pPr>
      <w:r>
        <w:rPr>
          <w:b w:val="0"/>
        </w:rPr>
        <w:t>DBSCAN适合不预先指定群数的分组；项目通过可靠度处理减轻不可信运动特征的影响。PointNet面向点集输入，适合成员排列无固定顺序的队形分类。确定性规则使产品条件、参数和观测证据能直接对应，便于首版实现与边界测试。统一空间上下文则控制模块之间的语义一致性。</w:t>
      </w:r>
    </w:p>
    <w:p w14:paraId="00100322" w14:textId="00100323">
      <w:pPr>
        <w:widowControl/>
      </w:pPr>
      <w:r>
        <w:rPr>
          <w:b w:val="0"/>
        </w:rPr>
        <w:t>这些基础方法属于既有算法。项目工作的贡献在于输入与特征适配、可靠度度量、业务规则、空间作用域、单机与群体结果组织，以及工程复现，不将 DBSCAN 或 PointNet 本身作为原创算法。</w:t>
      </w:r>
    </w:p>
    <w:p w14:paraId="00100324" w14:textId="00100325">
      <w:pPr>
        <w:pStyle w:val="Heading2"/>
      </w:pPr>
      <w:r>
        <w:t>可能失效的条件</w:t>
      </w:r>
    </w:p>
    <w:p w14:paraId="00100326" w14:textId="00100327">
      <w:pPr>
        <w:widowControl/>
      </w:pPr>
      <w:r>
        <w:rPr>
          <w:b w:val="0"/>
        </w:rPr>
        <w:t>定位噪声和采样断档可能扰动行为特征；跨区域尺度或群规模变化可能影响聚类与队形；正常活动可能满足风险规则的部分运动条件；地图或高度参考错误可能改变空间判定。当前采取缺失标记、降级和复核降低误用，但不能替代数据质量和效果验证。</w:t>
      </w:r>
    </w:p>
    <w:p w14:paraId="00100328" w14:textId="00100329">
      <w:pPr>
        <w:widowControl/>
        <w:spacing w:line="276" w:lineRule="auto"/>
      </w:pPr>
      <w:r>
        <w:rPr>
          <w:b w:val="0"/>
          <w:sz w:val="18"/>
        </w:rPr>
        <w:t>实现与证据  project_reference 第5至10章及第13章；本次性能与回归记录。[E01][E02]</w:t>
      </w:r>
    </w:p>
    <w:p w14:paraId="0010032A" w14:textId="0010032B">
      <w:r>
        <w:br w:type="page"/>
      </w:r>
    </w:p>
    <w:p w14:paraId="0010032C" w14:textId="0010032D">
      <w:pPr>
        <w:pStyle w:val="Heading1"/>
      </w:pPr>
      <w:r>
        <w:t>16 量化指标与评价设计</w:t>
      </w:r>
    </w:p>
    <w:p w14:paraId="0010032E" w14:textId="0010032F">
      <w:pPr>
        <w:widowControl/>
      </w:pPr>
      <w:r>
        <w:rPr>
          <w:b w:val="0"/>
        </w:rPr>
        <w:t>量化内容分为实现参数、功能正确性、任务效果和运行性能四层。规则数量或窗口长度描述实现范围；测试通过率验证具体断言；识别效果需要独立真值；耗时需要明确硬件、负载和计时边界。</w:t>
      </w:r>
    </w:p>
    <w:tbl>
      <w:tblPr>
        <w:tblW w:w="0" w:type="auto"/>
        <w:jc w:val="center"/>
        <w:tblLayout w:type="fixed"/>
        <w:tblLook w:val="04A0" w:firstRow="1" w:lastRow="0" w:firstColumn="1" w:lastColumn="0" w:noHBand="0" w:noVBand="1"/>
      </w:tblPr>
      <w:tblGrid>
        <w:gridCol w:w="1440"/>
        <w:gridCol w:w="4104"/>
        <w:gridCol w:w="4392"/>
      </w:tblGrid>
      <w:tr>
        <w:trPr>
          <w:tblHeader/>
          <w:cantSplit/>
        </w:trPr>
        <w:tc>
          <w:tcPr>
            <w:tcW w:w="144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330" w14:textId="00100331">
            <w:pPr>
              <w:spacing w:after="0" w:line="269" w:lineRule="auto"/>
              <w:jc w:val="center"/>
            </w:pPr>
            <w:r>
              <w:rPr>
                <w:b/>
                <w:color w:val="000000"/>
                <w:sz w:val="20"/>
              </w:rPr>
              <w:t>模块</w:t>
            </w:r>
          </w:p>
        </w:tc>
        <w:tc>
          <w:tcPr>
            <w:tcW w:w="410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332" w14:textId="00100333">
            <w:pPr>
              <w:spacing w:after="0" w:line="269" w:lineRule="auto"/>
            </w:pPr>
            <w:r>
              <w:rPr>
                <w:b/>
                <w:color w:val="000000"/>
                <w:sz w:val="20"/>
              </w:rPr>
              <w:t>建议指标</w:t>
            </w:r>
          </w:p>
        </w:tc>
        <w:tc>
          <w:tcPr>
            <w:tcW w:w="439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334" w14:textId="00100335">
            <w:pPr>
              <w:spacing w:after="0" w:line="269" w:lineRule="auto"/>
            </w:pPr>
            <w:r>
              <w:rPr>
                <w:b/>
                <w:color w:val="000000"/>
                <w:sz w:val="20"/>
              </w:rPr>
              <w:t>数据要求</w:t>
            </w:r>
          </w:p>
        </w:tc>
      </w:tr>
      <w:tr>
        <w:trPr>
          <w:cantSplit/>
        </w:trPr>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36" w14:textId="00100337">
            <w:pPr>
              <w:spacing w:after="0" w:line="269" w:lineRule="auto"/>
              <w:jc w:val="center"/>
            </w:pPr>
            <w:r>
              <w:rPr>
                <w:b w:val="0"/>
                <w:color w:val="000000"/>
                <w:sz w:val="20"/>
              </w:rPr>
              <w:t>聚类</w:t>
            </w:r>
          </w:p>
        </w:tc>
        <w:tc>
          <w:tcPr>
            <w:tcW w:w="410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38" w14:textId="00100339">
            <w:pPr>
              <w:spacing w:after="0" w:line="269" w:lineRule="auto"/>
            </w:pPr>
            <w:r>
              <w:rPr>
                <w:b w:val="0"/>
                <w:color w:val="000000"/>
                <w:sz w:val="20"/>
              </w:rPr>
              <w:t>成对精确率召回率、错误合并拆分、分组稳定性</w:t>
            </w:r>
          </w:p>
        </w:tc>
        <w:tc>
          <w:tcPr>
            <w:tcW w:w="43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3A" w14:textId="0010033B">
            <w:pPr>
              <w:spacing w:after="0" w:line="269" w:lineRule="auto"/>
            </w:pPr>
            <w:r>
              <w:rPr>
                <w:b w:val="0"/>
                <w:color w:val="000000"/>
                <w:sz w:val="20"/>
              </w:rPr>
              <w:t>真实或独立人工标注的成员归属</w:t>
            </w:r>
          </w:p>
        </w:tc>
      </w:tr>
      <w:tr>
        <w:trPr>
          <w:cantSplit/>
        </w:trPr>
        <w:tc>
          <w:tcPr>
            <w:tcW w:w="144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3C" w14:textId="0010033D">
            <w:pPr>
              <w:spacing w:after="0" w:line="269" w:lineRule="auto"/>
              <w:jc w:val="center"/>
            </w:pPr>
            <w:r>
              <w:rPr>
                <w:b w:val="0"/>
                <w:color w:val="000000"/>
                <w:sz w:val="20"/>
              </w:rPr>
              <w:t>队形</w:t>
            </w:r>
          </w:p>
        </w:tc>
        <w:tc>
          <w:tcPr>
            <w:tcW w:w="410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3E" w14:textId="0010033F">
            <w:pPr>
              <w:spacing w:after="0" w:line="269" w:lineRule="auto"/>
            </w:pPr>
            <w:r>
              <w:rPr>
                <w:b w:val="0"/>
                <w:color w:val="000000"/>
                <w:sz w:val="20"/>
              </w:rPr>
              <w:t>各类召回率、混淆矩阵、macro F1</w:t>
            </w:r>
          </w:p>
        </w:tc>
        <w:tc>
          <w:tcPr>
            <w:tcW w:w="43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40" w14:textId="00100341">
            <w:pPr>
              <w:spacing w:after="0" w:line="269" w:lineRule="auto"/>
            </w:pPr>
            <w:r>
              <w:rPr>
                <w:b w:val="0"/>
                <w:color w:val="000000"/>
                <w:sz w:val="20"/>
              </w:rPr>
              <w:t>独立测试轨迹，按群规模与场景分层</w:t>
            </w:r>
          </w:p>
        </w:tc>
      </w:tr>
      <w:tr>
        <w:trPr>
          <w:cantSplit/>
        </w:trPr>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42" w14:textId="00100343">
            <w:pPr>
              <w:spacing w:after="0" w:line="269" w:lineRule="auto"/>
              <w:jc w:val="center"/>
            </w:pPr>
            <w:r>
              <w:rPr>
                <w:b w:val="0"/>
                <w:color w:val="000000"/>
                <w:sz w:val="20"/>
              </w:rPr>
              <w:t>意图</w:t>
            </w:r>
          </w:p>
        </w:tc>
        <w:tc>
          <w:tcPr>
            <w:tcW w:w="410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44" w14:textId="00100345">
            <w:pPr>
              <w:spacing w:after="0" w:line="269" w:lineRule="auto"/>
            </w:pPr>
            <w:r>
              <w:rPr>
                <w:b w:val="0"/>
                <w:color w:val="000000"/>
                <w:sz w:val="20"/>
              </w:rPr>
              <w:t>每类精确率召回率、误报漏报、首次触发延迟</w:t>
            </w:r>
          </w:p>
        </w:tc>
        <w:tc>
          <w:tcPr>
            <w:tcW w:w="43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46" w14:textId="00100347">
            <w:pPr>
              <w:spacing w:after="0" w:line="269" w:lineRule="auto"/>
            </w:pPr>
            <w:r>
              <w:rPr>
                <w:b w:val="0"/>
                <w:color w:val="000000"/>
                <w:sz w:val="20"/>
              </w:rPr>
              <w:t>专家标注、正常和风险场景同时覆盖</w:t>
            </w:r>
          </w:p>
        </w:tc>
      </w:tr>
      <w:tr>
        <w:trPr>
          <w:cantSplit/>
        </w:trPr>
        <w:tc>
          <w:tcPr>
            <w:tcW w:w="144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48" w14:textId="00100349">
            <w:pPr>
              <w:spacing w:after="0" w:line="269" w:lineRule="auto"/>
              <w:jc w:val="center"/>
            </w:pPr>
            <w:r>
              <w:rPr>
                <w:b w:val="0"/>
                <w:color w:val="000000"/>
                <w:sz w:val="20"/>
              </w:rPr>
              <w:t>威胁</w:t>
            </w:r>
          </w:p>
        </w:tc>
        <w:tc>
          <w:tcPr>
            <w:tcW w:w="410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4A" w14:textId="0010034B">
            <w:pPr>
              <w:spacing w:after="0" w:line="269" w:lineRule="auto"/>
            </w:pPr>
            <w:r>
              <w:rPr>
                <w:b w:val="0"/>
                <w:color w:val="000000"/>
                <w:sz w:val="20"/>
              </w:rPr>
              <w:t>专家等级一致性、排序合理性、参数敏感性</w:t>
            </w:r>
          </w:p>
        </w:tc>
        <w:tc>
          <w:tcPr>
            <w:tcW w:w="43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4C" w14:textId="0010034D">
            <w:pPr>
              <w:spacing w:after="0" w:line="269" w:lineRule="auto"/>
            </w:pPr>
            <w:r>
              <w:rPr>
                <w:b w:val="0"/>
                <w:color w:val="000000"/>
                <w:sz w:val="20"/>
              </w:rPr>
              <w:t>专家等级及依据，不以规则输出作为真值</w:t>
            </w:r>
          </w:p>
        </w:tc>
      </w:tr>
      <w:tr>
        <w:trPr>
          <w:cantSplit/>
        </w:trPr>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4E" w14:textId="0010034F">
            <w:pPr>
              <w:spacing w:after="0" w:line="269" w:lineRule="auto"/>
              <w:jc w:val="center"/>
            </w:pPr>
            <w:r>
              <w:rPr>
                <w:b w:val="0"/>
                <w:color w:val="000000"/>
                <w:sz w:val="20"/>
              </w:rPr>
              <w:t>ETA</w:t>
            </w:r>
          </w:p>
        </w:tc>
        <w:tc>
          <w:tcPr>
            <w:tcW w:w="410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50" w14:textId="00100351">
            <w:pPr>
              <w:spacing w:after="0" w:line="269" w:lineRule="auto"/>
            </w:pPr>
            <w:r>
              <w:rPr>
                <w:b w:val="0"/>
                <w:color w:val="000000"/>
                <w:sz w:val="20"/>
              </w:rPr>
              <w:t>绝对误差、偏差、有效输出比例</w:t>
            </w:r>
          </w:p>
        </w:tc>
        <w:tc>
          <w:tcPr>
            <w:tcW w:w="43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52" w14:textId="00100353">
            <w:pPr>
              <w:spacing w:after="0" w:line="269" w:lineRule="auto"/>
            </w:pPr>
            <w:r>
              <w:rPr>
                <w:b w:val="0"/>
                <w:color w:val="000000"/>
                <w:sz w:val="20"/>
              </w:rPr>
              <w:t>明确实际抵达事件，区分改航与未抵达</w:t>
            </w:r>
          </w:p>
        </w:tc>
      </w:tr>
      <w:tr>
        <w:trPr>
          <w:cantSplit/>
        </w:trPr>
        <w:tc>
          <w:tcPr>
            <w:tcW w:w="144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54" w14:textId="00100355">
            <w:pPr>
              <w:spacing w:after="0" w:line="269" w:lineRule="auto"/>
              <w:jc w:val="center"/>
            </w:pPr>
            <w:r>
              <w:rPr>
                <w:b w:val="0"/>
                <w:color w:val="000000"/>
                <w:sz w:val="20"/>
              </w:rPr>
              <w:t>性能</w:t>
            </w:r>
          </w:p>
        </w:tc>
        <w:tc>
          <w:tcPr>
            <w:tcW w:w="410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56" w14:textId="00100357">
            <w:pPr>
              <w:spacing w:after="0" w:line="269" w:lineRule="auto"/>
            </w:pPr>
            <w:r>
              <w:rPr>
                <w:b w:val="0"/>
                <w:color w:val="000000"/>
                <w:sz w:val="20"/>
              </w:rPr>
              <w:t>P50 P95、吞吐、内存、冷启动</w:t>
            </w:r>
          </w:p>
        </w:tc>
        <w:tc>
          <w:tcPr>
            <w:tcW w:w="43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58" w14:textId="00100359">
            <w:pPr>
              <w:spacing w:after="0" w:line="269" w:lineRule="auto"/>
            </w:pPr>
            <w:r>
              <w:rPr>
                <w:b w:val="0"/>
                <w:color w:val="000000"/>
                <w:sz w:val="20"/>
              </w:rPr>
              <w:t>固定设备、并发、目标数和窗口</w:t>
            </w:r>
          </w:p>
        </w:tc>
      </w:tr>
      <w:tr>
        <w:trPr>
          <w:cantSplit/>
        </w:trPr>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5A" w14:textId="0010035B">
            <w:pPr>
              <w:spacing w:after="0" w:line="269" w:lineRule="auto"/>
              <w:jc w:val="center"/>
            </w:pPr>
            <w:r>
              <w:rPr>
                <w:b w:val="0"/>
                <w:color w:val="000000"/>
                <w:sz w:val="20"/>
              </w:rPr>
              <w:t>降级</w:t>
            </w:r>
          </w:p>
        </w:tc>
        <w:tc>
          <w:tcPr>
            <w:tcW w:w="410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5C" w14:textId="0010035D">
            <w:pPr>
              <w:spacing w:after="0" w:line="269" w:lineRule="auto"/>
            </w:pPr>
            <w:r>
              <w:rPr>
                <w:b w:val="0"/>
                <w:color w:val="000000"/>
                <w:sz w:val="20"/>
              </w:rPr>
              <w:t>错误隔离、状态和诊断完整性</w:t>
            </w:r>
          </w:p>
        </w:tc>
        <w:tc>
          <w:tcPr>
            <w:tcW w:w="43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5E" w14:textId="0010035F">
            <w:pPr>
              <w:spacing w:after="0" w:line="269" w:lineRule="auto"/>
            </w:pPr>
            <w:r>
              <w:rPr>
                <w:b w:val="0"/>
                <w:color w:val="000000"/>
                <w:sz w:val="20"/>
              </w:rPr>
              <w:t>缺权重、时间不重叠、断档、来源冲突</w:t>
            </w:r>
          </w:p>
        </w:tc>
      </w:tr>
    </w:tbl>
    <w:p w14:paraId="00100360" w14:textId="00100361">
      <w:pPr>
        <w:spacing w:after="40"/>
      </w:pPr>
    </w:p>
    <w:p w14:paraId="00100362" w14:textId="00100363">
      <w:pPr>
        <w:spacing w:before="100" w:after="160"/>
        <w:jc w:val="center"/>
      </w:pPr>
      <m:oMath>
        <m:r>
          <w:rPr>
            <w:rFonts w:ascii="Cambria Math" w:hAnsi="Cambria Math" w:eastAsia="Cambria Math"/>
            <w:sz w:val="22"/>
          </w:rPr>
          <m:t>Precision = </m:t>
        </m:r>
        <m:f>
          <m:num>
            <m:r>
              <w:rPr>
                <w:rFonts w:ascii="Cambria Math" w:hAnsi="Cambria Math" w:eastAsia="Cambria Math"/>
                <w:sz w:val="22"/>
              </w:rPr>
              <m:t>TP</m:t>
            </m:r>
          </m:num>
          <m:den>
            <m:r>
              <w:rPr>
                <w:rFonts w:ascii="Cambria Math" w:hAnsi="Cambria Math" w:eastAsia="Cambria Math"/>
                <w:sz w:val="22"/>
              </w:rPr>
              <m:t>TP + FP</m:t>
            </m:r>
          </m:den>
        </m:f>
        <m:r>
          <w:rPr>
            <w:rFonts w:ascii="Cambria Math" w:hAnsi="Cambria Math" w:eastAsia="Cambria Math"/>
            <w:sz w:val="22"/>
          </w:rPr>
          <m:t>,     Recall = </m:t>
        </m:r>
        <m:f>
          <m:num>
            <m:r>
              <w:rPr>
                <w:rFonts w:ascii="Cambria Math" w:hAnsi="Cambria Math" w:eastAsia="Cambria Math"/>
                <w:sz w:val="22"/>
              </w:rPr>
              <m:t>TP</m:t>
            </m:r>
          </m:num>
          <m:den>
            <m:r>
              <w:rPr>
                <w:rFonts w:ascii="Cambria Math" w:hAnsi="Cambria Math" w:eastAsia="Cambria Math"/>
                <w:sz w:val="22"/>
              </w:rPr>
              <m:t>TP + FN</m:t>
            </m:r>
          </m:den>
        </m:f>
      </m:oMath>
      <w:r>
        <w:rPr>
          <w:sz w:val="18"/>
        </w:rPr>
        <w:t xml:space="preserve">    式16</w:t>
      </w:r>
    </w:p>
    <w:p w14:paraId="00100364" w14:textId="00100365">
      <w:pPr>
        <w:widowControl/>
      </w:pPr>
      <w:r>
        <w:rPr>
          <w:b w:val="0"/>
        </w:rPr>
        <w:t>式16用于后续分类效果评价。TP为正确识别的正例，FP为误报，FN为漏报；多类别需逐类统计。当前没有满足独立标注要求的真实效果数据，本报告不填写这些指标的实测值。</w:t>
      </w:r>
    </w:p>
    <w:p w14:paraId="00100366" w14:textId="00100367">
      <w:pPr>
        <w:pStyle w:val="Heading2"/>
      </w:pPr>
      <w:r>
        <w:t>建议对照实验</w:t>
      </w:r>
    </w:p>
    <w:p w14:paraId="00100368" w14:textId="00100369">
      <w:pPr>
        <w:widowControl/>
      </w:pPr>
      <w:r>
        <w:rPr>
          <w:b w:val="0"/>
        </w:rPr>
        <w:t>聚类对比位置距离、加入运动特征、加入可靠度三个版本；时间判据对比单时刻与现有一致性门控；空间模块使用多设施反例检查上下文一致性。各对照应使用同一输入、独立标签与固定参数，再报告差异和失败样例。</w:t>
      </w:r>
    </w:p>
    <w:p w14:paraId="0010036A" w14:textId="0010036B">
      <w:pPr>
        <w:widowControl/>
      </w:pPr>
      <w:r>
        <w:rPr>
          <w:b w:val="0"/>
        </w:rPr>
        <w:t>训练和测试应按场景或轨迹来源隔离，避免同一仿真模板的近似副本同时进入两侧。按规则自身生成预期标签再验证相同规则，只能证明实现一致性，不能证明真实识别准确率。</w:t>
      </w:r>
    </w:p>
    <w:p w14:paraId="0010036C" w14:textId="0010036D">
      <w:pPr>
        <w:widowControl/>
        <w:spacing w:line="276" w:lineRule="auto"/>
      </w:pPr>
      <w:r>
        <w:rPr>
          <w:b w:val="0"/>
          <w:sz w:val="18"/>
        </w:rPr>
        <w:t>实现与证据  project_reference 第12.3和12.4节；本报告第17至19章给出本次实际完成范围。</w:t>
      </w:r>
    </w:p>
    <w:p w14:paraId="0010036E" w14:textId="0010036F">
      <w:r>
        <w:br w:type="page"/>
      </w:r>
    </w:p>
    <w:p w14:paraId="00100370" w14:textId="00100371">
      <w:pPr>
        <w:pStyle w:val="Heading1"/>
      </w:pPr>
      <w:r>
        <w:t>17 本次定向测试结果</w:t>
      </w:r>
    </w:p>
    <w:p w14:paraId="00100372" w14:textId="00100373">
      <w:pPr>
        <w:widowControl/>
      </w:pPr>
      <w:r>
        <w:rPr>
          <w:b w:val="0"/>
        </w:rPr>
        <w:t>2026年10月22日晚在指定 study_flask 环境执行已有 unittest 测试。通过独立模块加载组织十组回归，保留逐项日志和结构化结果，不修改算法实现。共执行103项，无失败、无错误、无跳过。</w:t>
      </w:r>
    </w:p>
    <w:tbl>
      <w:tblPr>
        <w:tblW w:w="0" w:type="auto"/>
        <w:jc w:val="center"/>
        <w:tblLayout w:type="fixed"/>
        <w:tblLook w:val="04A0" w:firstRow="1" w:lastRow="0" w:firstColumn="1" w:lastColumn="0" w:noHBand="0" w:noVBand="1"/>
      </w:tblPr>
      <w:tblGrid>
        <w:gridCol w:w="864"/>
        <w:gridCol w:w="5328"/>
        <w:gridCol w:w="936"/>
        <w:gridCol w:w="1584"/>
        <w:gridCol w:w="1224"/>
      </w:tblGrid>
      <w:tr>
        <w:trPr>
          <w:tblHeader/>
          <w:cantSplit/>
        </w:trPr>
        <w:tc>
          <w:tcPr>
            <w:tcW w:w="86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374" w14:textId="00100375">
            <w:pPr>
              <w:spacing w:after="0" w:line="269" w:lineRule="auto"/>
              <w:jc w:val="center"/>
            </w:pPr>
            <w:r>
              <w:rPr>
                <w:b/>
                <w:color w:val="000000"/>
                <w:sz w:val="20"/>
              </w:rPr>
              <w:t>编号</w:t>
            </w:r>
          </w:p>
        </w:tc>
        <w:tc>
          <w:tcPr>
            <w:tcW w:w="532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376" w14:textId="00100377">
            <w:pPr>
              <w:spacing w:after="0" w:line="269" w:lineRule="auto"/>
            </w:pPr>
            <w:r>
              <w:rPr>
                <w:b/>
                <w:color w:val="000000"/>
                <w:sz w:val="20"/>
              </w:rPr>
              <w:t>测试组</w:t>
            </w:r>
          </w:p>
        </w:tc>
        <w:tc>
          <w:tcPr>
            <w:tcW w:w="93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378" w14:textId="00100379">
            <w:pPr>
              <w:spacing w:after="0" w:line="269" w:lineRule="auto"/>
            </w:pPr>
            <w:r>
              <w:rPr>
                <w:b/>
                <w:color w:val="000000"/>
                <w:sz w:val="20"/>
              </w:rPr>
              <w:t>数量</w:t>
            </w:r>
          </w:p>
        </w:tc>
        <w:tc>
          <w:tcPr>
            <w:tcW w:w="158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37A" w14:textId="0010037B">
            <w:pPr>
              <w:spacing w:after="0" w:line="269" w:lineRule="auto"/>
            </w:pPr>
            <w:r>
              <w:rPr>
                <w:b/>
                <w:color w:val="000000"/>
                <w:sz w:val="20"/>
              </w:rPr>
              <w:t>失败错误</w:t>
            </w:r>
          </w:p>
        </w:tc>
        <w:tc>
          <w:tcPr>
            <w:tcW w:w="122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37C" w14:textId="0010037D">
            <w:pPr>
              <w:spacing w:after="0" w:line="269" w:lineRule="auto"/>
            </w:pPr>
            <w:r>
              <w:rPr>
                <w:b/>
                <w:color w:val="000000"/>
                <w:sz w:val="20"/>
              </w:rPr>
              <w:t>结论</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7E" w14:textId="0010037F">
            <w:pPr>
              <w:spacing w:after="0" w:line="269" w:lineRule="auto"/>
              <w:jc w:val="center"/>
            </w:pPr>
            <w:r>
              <w:rPr>
                <w:b w:val="0"/>
                <w:color w:val="000000"/>
                <w:sz w:val="20"/>
              </w:rPr>
              <w:t>T01</w:t>
            </w:r>
          </w:p>
        </w:tc>
        <w:tc>
          <w:tcPr>
            <w:tcW w:w="532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80" w14:textId="00100381">
            <w:pPr>
              <w:spacing w:after="0" w:line="269" w:lineRule="auto"/>
            </w:pPr>
            <w:r>
              <w:rPr>
                <w:b w:val="0"/>
                <w:color w:val="000000"/>
                <w:sz w:val="20"/>
              </w:rPr>
              <w:t>I-24 时间一致性</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82" w14:textId="00100383">
            <w:pPr>
              <w:spacing w:after="0" w:line="269" w:lineRule="auto"/>
            </w:pPr>
            <w:r>
              <w:rPr>
                <w:b w:val="0"/>
                <w:color w:val="000000"/>
                <w:sz w:val="20"/>
              </w:rPr>
              <w:t>23</w:t>
            </w:r>
          </w:p>
        </w:tc>
        <w:tc>
          <w:tcPr>
            <w:tcW w:w="158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84" w14:textId="00100385">
            <w:pPr>
              <w:spacing w:after="0" w:line="269" w:lineRule="auto"/>
            </w:pPr>
            <w:r>
              <w:rPr>
                <w:b w:val="0"/>
                <w:color w:val="000000"/>
                <w:sz w:val="20"/>
              </w:rPr>
              <w:t>0</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86" w14:textId="00100387">
            <w:pPr>
              <w:spacing w:after="0" w:line="269" w:lineRule="auto"/>
            </w:pPr>
            <w:r>
              <w:rPr>
                <w:b w:val="0"/>
                <w:color w:val="000000"/>
                <w:sz w:val="20"/>
              </w:rPr>
              <w:t>通过</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88" w14:textId="00100389">
            <w:pPr>
              <w:spacing w:after="0" w:line="269" w:lineRule="auto"/>
              <w:jc w:val="center"/>
            </w:pPr>
            <w:r>
              <w:rPr>
                <w:b w:val="0"/>
                <w:color w:val="000000"/>
                <w:sz w:val="20"/>
              </w:rPr>
              <w:t>T02</w:t>
            </w:r>
          </w:p>
        </w:tc>
        <w:tc>
          <w:tcPr>
            <w:tcW w:w="532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8A" w14:textId="0010038B">
            <w:pPr>
              <w:spacing w:after="0" w:line="269" w:lineRule="auto"/>
            </w:pPr>
            <w:r>
              <w:rPr>
                <w:b w:val="0"/>
                <w:color w:val="000000"/>
                <w:sz w:val="20"/>
              </w:rPr>
              <w:t>轨迹点数配置</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8C" w14:textId="0010038D">
            <w:pPr>
              <w:spacing w:after="0" w:line="269" w:lineRule="auto"/>
            </w:pPr>
            <w:r>
              <w:rPr>
                <w:b w:val="0"/>
                <w:color w:val="000000"/>
                <w:sz w:val="20"/>
              </w:rPr>
              <w:t>3</w:t>
            </w:r>
          </w:p>
        </w:tc>
        <w:tc>
          <w:tcPr>
            <w:tcW w:w="158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8E" w14:textId="0010038F">
            <w:pPr>
              <w:spacing w:after="0" w:line="269" w:lineRule="auto"/>
            </w:pPr>
            <w:r>
              <w:rPr>
                <w:b w:val="0"/>
                <w:color w:val="000000"/>
                <w:sz w:val="20"/>
              </w:rPr>
              <w:t>0</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90" w14:textId="00100391">
            <w:pPr>
              <w:spacing w:after="0" w:line="269" w:lineRule="auto"/>
            </w:pPr>
            <w:r>
              <w:rPr>
                <w:b w:val="0"/>
                <w:color w:val="000000"/>
                <w:sz w:val="20"/>
              </w:rPr>
              <w:t>通过</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92" w14:textId="00100393">
            <w:pPr>
              <w:spacing w:after="0" w:line="269" w:lineRule="auto"/>
              <w:jc w:val="center"/>
            </w:pPr>
            <w:r>
              <w:rPr>
                <w:b w:val="0"/>
                <w:color w:val="000000"/>
                <w:sz w:val="20"/>
              </w:rPr>
              <w:t>T03</w:t>
            </w:r>
          </w:p>
        </w:tc>
        <w:tc>
          <w:tcPr>
            <w:tcW w:w="532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94" w14:textId="00100395">
            <w:pPr>
              <w:spacing w:after="0" w:line="269" w:lineRule="auto"/>
            </w:pPr>
            <w:r>
              <w:rPr>
                <w:b w:val="0"/>
                <w:color w:val="000000"/>
                <w:sz w:val="20"/>
              </w:rPr>
              <w:t>时间戳去重</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96" w14:textId="00100397">
            <w:pPr>
              <w:spacing w:after="0" w:line="269" w:lineRule="auto"/>
            </w:pPr>
            <w:r>
              <w:rPr>
                <w:b w:val="0"/>
                <w:color w:val="000000"/>
                <w:sz w:val="20"/>
              </w:rPr>
              <w:t>7</w:t>
            </w:r>
          </w:p>
        </w:tc>
        <w:tc>
          <w:tcPr>
            <w:tcW w:w="158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98" w14:textId="00100399">
            <w:pPr>
              <w:spacing w:after="0" w:line="269" w:lineRule="auto"/>
            </w:pPr>
            <w:r>
              <w:rPr>
                <w:b w:val="0"/>
                <w:color w:val="000000"/>
                <w:sz w:val="20"/>
              </w:rPr>
              <w:t>0</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9A" w14:textId="0010039B">
            <w:pPr>
              <w:spacing w:after="0" w:line="269" w:lineRule="auto"/>
            </w:pPr>
            <w:r>
              <w:rPr>
                <w:b w:val="0"/>
                <w:color w:val="000000"/>
                <w:sz w:val="20"/>
              </w:rPr>
              <w:t>通过</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9C" w14:textId="0010039D">
            <w:pPr>
              <w:spacing w:after="0" w:line="269" w:lineRule="auto"/>
              <w:jc w:val="center"/>
            </w:pPr>
            <w:r>
              <w:rPr>
                <w:b w:val="0"/>
                <w:color w:val="000000"/>
                <w:sz w:val="20"/>
              </w:rPr>
              <w:t>T04</w:t>
            </w:r>
          </w:p>
        </w:tc>
        <w:tc>
          <w:tcPr>
            <w:tcW w:w="532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9E" w14:textId="0010039F">
            <w:pPr>
              <w:spacing w:after="0" w:line="269" w:lineRule="auto"/>
            </w:pPr>
            <w:r>
              <w:rPr>
                <w:b w:val="0"/>
                <w:color w:val="000000"/>
                <w:sz w:val="20"/>
              </w:rPr>
              <w:t>首版意图规则</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A0" w14:textId="001003A1">
            <w:pPr>
              <w:spacing w:after="0" w:line="269" w:lineRule="auto"/>
            </w:pPr>
            <w:r>
              <w:rPr>
                <w:b w:val="0"/>
                <w:color w:val="000000"/>
                <w:sz w:val="20"/>
              </w:rPr>
              <w:t>16</w:t>
            </w:r>
          </w:p>
        </w:tc>
        <w:tc>
          <w:tcPr>
            <w:tcW w:w="158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A2" w14:textId="001003A3">
            <w:pPr>
              <w:spacing w:after="0" w:line="269" w:lineRule="auto"/>
            </w:pPr>
            <w:r>
              <w:rPr>
                <w:b w:val="0"/>
                <w:color w:val="000000"/>
                <w:sz w:val="20"/>
              </w:rPr>
              <w:t>0</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A4" w14:textId="001003A5">
            <w:pPr>
              <w:spacing w:after="0" w:line="269" w:lineRule="auto"/>
            </w:pPr>
            <w:r>
              <w:rPr>
                <w:b w:val="0"/>
                <w:color w:val="000000"/>
                <w:sz w:val="20"/>
              </w:rPr>
              <w:t>通过</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A6" w14:textId="001003A7">
            <w:pPr>
              <w:spacing w:after="0" w:line="269" w:lineRule="auto"/>
              <w:jc w:val="center"/>
            </w:pPr>
            <w:r>
              <w:rPr>
                <w:b w:val="0"/>
                <w:color w:val="000000"/>
                <w:sz w:val="20"/>
              </w:rPr>
              <w:t>T05</w:t>
            </w:r>
          </w:p>
        </w:tc>
        <w:tc>
          <w:tcPr>
            <w:tcW w:w="532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A8" w14:textId="001003A9">
            <w:pPr>
              <w:spacing w:after="0" w:line="269" w:lineRule="auto"/>
            </w:pPr>
            <w:r>
              <w:rPr>
                <w:b w:val="0"/>
                <w:color w:val="000000"/>
                <w:sz w:val="20"/>
              </w:rPr>
              <w:t>地图刷新服务</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AA" w14:textId="001003AB">
            <w:pPr>
              <w:spacing w:after="0" w:line="269" w:lineRule="auto"/>
            </w:pPr>
            <w:r>
              <w:rPr>
                <w:b w:val="0"/>
                <w:color w:val="000000"/>
                <w:sz w:val="20"/>
              </w:rPr>
              <w:t>7</w:t>
            </w:r>
          </w:p>
        </w:tc>
        <w:tc>
          <w:tcPr>
            <w:tcW w:w="158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AC" w14:textId="001003AD">
            <w:pPr>
              <w:spacing w:after="0" w:line="269" w:lineRule="auto"/>
            </w:pPr>
            <w:r>
              <w:rPr>
                <w:b w:val="0"/>
                <w:color w:val="000000"/>
                <w:sz w:val="20"/>
              </w:rPr>
              <w:t>0</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AE" w14:textId="001003AF">
            <w:pPr>
              <w:spacing w:after="0" w:line="269" w:lineRule="auto"/>
            </w:pPr>
            <w:r>
              <w:rPr>
                <w:b w:val="0"/>
                <w:color w:val="000000"/>
                <w:sz w:val="20"/>
              </w:rPr>
              <w:t>通过</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B0" w14:textId="001003B1">
            <w:pPr>
              <w:spacing w:after="0" w:line="269" w:lineRule="auto"/>
              <w:jc w:val="center"/>
            </w:pPr>
            <w:r>
              <w:rPr>
                <w:b w:val="0"/>
                <w:color w:val="000000"/>
                <w:sz w:val="20"/>
              </w:rPr>
              <w:t>T06</w:t>
            </w:r>
          </w:p>
        </w:tc>
        <w:tc>
          <w:tcPr>
            <w:tcW w:w="532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B2" w14:textId="001003B3">
            <w:pPr>
              <w:spacing w:after="0" w:line="269" w:lineRule="auto"/>
            </w:pPr>
            <w:r>
              <w:rPr>
                <w:b w:val="0"/>
                <w:color w:val="000000"/>
                <w:sz w:val="20"/>
              </w:rPr>
              <w:t>聚类运动特征</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B4" w14:textId="001003B5">
            <w:pPr>
              <w:spacing w:after="0" w:line="269" w:lineRule="auto"/>
            </w:pPr>
            <w:r>
              <w:rPr>
                <w:b w:val="0"/>
                <w:color w:val="000000"/>
                <w:sz w:val="20"/>
              </w:rPr>
              <w:t>3</w:t>
            </w:r>
          </w:p>
        </w:tc>
        <w:tc>
          <w:tcPr>
            <w:tcW w:w="158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B6" w14:textId="001003B7">
            <w:pPr>
              <w:spacing w:after="0" w:line="269" w:lineRule="auto"/>
            </w:pPr>
            <w:r>
              <w:rPr>
                <w:b w:val="0"/>
                <w:color w:val="000000"/>
                <w:sz w:val="20"/>
              </w:rPr>
              <w:t>0</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B8" w14:textId="001003B9">
            <w:pPr>
              <w:spacing w:after="0" w:line="269" w:lineRule="auto"/>
            </w:pPr>
            <w:r>
              <w:rPr>
                <w:b w:val="0"/>
                <w:color w:val="000000"/>
                <w:sz w:val="20"/>
              </w:rPr>
              <w:t>通过</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BA" w14:textId="001003BB">
            <w:pPr>
              <w:spacing w:after="0" w:line="269" w:lineRule="auto"/>
              <w:jc w:val="center"/>
            </w:pPr>
            <w:r>
              <w:rPr>
                <w:b w:val="0"/>
                <w:color w:val="000000"/>
                <w:sz w:val="20"/>
              </w:rPr>
              <w:t>T07</w:t>
            </w:r>
          </w:p>
        </w:tc>
        <w:tc>
          <w:tcPr>
            <w:tcW w:w="532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BC" w14:textId="001003BD">
            <w:pPr>
              <w:spacing w:after="0" w:line="269" w:lineRule="auto"/>
            </w:pPr>
            <w:r>
              <w:rPr>
                <w:b w:val="0"/>
                <w:color w:val="000000"/>
                <w:sz w:val="20"/>
              </w:rPr>
              <w:t>聚类预处理</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BE" w14:textId="001003BF">
            <w:pPr>
              <w:spacing w:after="0" w:line="269" w:lineRule="auto"/>
            </w:pPr>
            <w:r>
              <w:rPr>
                <w:b w:val="0"/>
                <w:color w:val="000000"/>
                <w:sz w:val="20"/>
              </w:rPr>
              <w:t>8</w:t>
            </w:r>
          </w:p>
        </w:tc>
        <w:tc>
          <w:tcPr>
            <w:tcW w:w="158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C0" w14:textId="001003C1">
            <w:pPr>
              <w:spacing w:after="0" w:line="269" w:lineRule="auto"/>
            </w:pPr>
            <w:r>
              <w:rPr>
                <w:b w:val="0"/>
                <w:color w:val="000000"/>
                <w:sz w:val="20"/>
              </w:rPr>
              <w:t>0</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C2" w14:textId="001003C3">
            <w:pPr>
              <w:spacing w:after="0" w:line="269" w:lineRule="auto"/>
            </w:pPr>
            <w:r>
              <w:rPr>
                <w:b w:val="0"/>
                <w:color w:val="000000"/>
                <w:sz w:val="20"/>
              </w:rPr>
              <w:t>通过</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C4" w14:textId="001003C5">
            <w:pPr>
              <w:spacing w:after="0" w:line="269" w:lineRule="auto"/>
              <w:jc w:val="center"/>
            </w:pPr>
            <w:r>
              <w:rPr>
                <w:b w:val="0"/>
                <w:color w:val="000000"/>
                <w:sz w:val="20"/>
              </w:rPr>
              <w:t>T08</w:t>
            </w:r>
          </w:p>
        </w:tc>
        <w:tc>
          <w:tcPr>
            <w:tcW w:w="532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C6" w14:textId="001003C7">
            <w:pPr>
              <w:spacing w:after="0" w:line="269" w:lineRule="auto"/>
            </w:pPr>
            <w:r>
              <w:rPr>
                <w:b w:val="0"/>
                <w:color w:val="000000"/>
                <w:sz w:val="20"/>
              </w:rPr>
              <w:t>聚类距离回归</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C8" w14:textId="001003C9">
            <w:pPr>
              <w:spacing w:after="0" w:line="269" w:lineRule="auto"/>
            </w:pPr>
            <w:r>
              <w:rPr>
                <w:b w:val="0"/>
                <w:color w:val="000000"/>
                <w:sz w:val="20"/>
              </w:rPr>
              <w:t>3</w:t>
            </w:r>
          </w:p>
        </w:tc>
        <w:tc>
          <w:tcPr>
            <w:tcW w:w="158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CA" w14:textId="001003CB">
            <w:pPr>
              <w:spacing w:after="0" w:line="269" w:lineRule="auto"/>
            </w:pPr>
            <w:r>
              <w:rPr>
                <w:b w:val="0"/>
                <w:color w:val="000000"/>
                <w:sz w:val="20"/>
              </w:rPr>
              <w:t>0</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CC" w14:textId="001003CD">
            <w:pPr>
              <w:spacing w:after="0" w:line="269" w:lineRule="auto"/>
            </w:pPr>
            <w:r>
              <w:rPr>
                <w:b w:val="0"/>
                <w:color w:val="000000"/>
                <w:sz w:val="20"/>
              </w:rPr>
              <w:t>通过</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CE" w14:textId="001003CF">
            <w:pPr>
              <w:spacing w:after="0" w:line="269" w:lineRule="auto"/>
              <w:jc w:val="center"/>
            </w:pPr>
            <w:r>
              <w:rPr>
                <w:b w:val="0"/>
                <w:color w:val="000000"/>
                <w:sz w:val="20"/>
              </w:rPr>
              <w:t>T09</w:t>
            </w:r>
          </w:p>
        </w:tc>
        <w:tc>
          <w:tcPr>
            <w:tcW w:w="532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D0" w14:textId="001003D1">
            <w:pPr>
              <w:spacing w:after="0" w:line="269" w:lineRule="auto"/>
            </w:pPr>
            <w:r>
              <w:rPr>
                <w:b w:val="0"/>
                <w:color w:val="000000"/>
                <w:sz w:val="20"/>
              </w:rPr>
              <w:t>空间分析与校验</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D2" w14:textId="001003D3">
            <w:pPr>
              <w:spacing w:after="0" w:line="269" w:lineRule="auto"/>
            </w:pPr>
            <w:r>
              <w:rPr>
                <w:b w:val="0"/>
                <w:color w:val="000000"/>
                <w:sz w:val="20"/>
              </w:rPr>
              <w:t>20</w:t>
            </w:r>
          </w:p>
        </w:tc>
        <w:tc>
          <w:tcPr>
            <w:tcW w:w="158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D4" w14:textId="001003D5">
            <w:pPr>
              <w:spacing w:after="0" w:line="269" w:lineRule="auto"/>
            </w:pPr>
            <w:r>
              <w:rPr>
                <w:b w:val="0"/>
                <w:color w:val="000000"/>
                <w:sz w:val="20"/>
              </w:rPr>
              <w:t>0</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D6" w14:textId="001003D7">
            <w:pPr>
              <w:spacing w:after="0" w:line="269" w:lineRule="auto"/>
            </w:pPr>
            <w:r>
              <w:rPr>
                <w:b w:val="0"/>
                <w:color w:val="000000"/>
                <w:sz w:val="20"/>
              </w:rPr>
              <w:t>通过</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D8" w14:textId="001003D9">
            <w:pPr>
              <w:spacing w:after="0" w:line="269" w:lineRule="auto"/>
              <w:jc w:val="center"/>
            </w:pPr>
            <w:r>
              <w:rPr>
                <w:b w:val="0"/>
                <w:color w:val="000000"/>
                <w:sz w:val="20"/>
              </w:rPr>
              <w:t>T10</w:t>
            </w:r>
          </w:p>
        </w:tc>
        <w:tc>
          <w:tcPr>
            <w:tcW w:w="532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DA" w14:textId="001003DB">
            <w:pPr>
              <w:spacing w:after="0" w:line="269" w:lineRule="auto"/>
            </w:pPr>
            <w:r>
              <w:rPr>
                <w:b w:val="0"/>
                <w:color w:val="000000"/>
                <w:sz w:val="20"/>
              </w:rPr>
              <w:t>意图特征提取</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DC" w14:textId="001003DD">
            <w:pPr>
              <w:spacing w:after="0" w:line="269" w:lineRule="auto"/>
            </w:pPr>
            <w:r>
              <w:rPr>
                <w:b w:val="0"/>
                <w:color w:val="000000"/>
                <w:sz w:val="20"/>
              </w:rPr>
              <w:t>13</w:t>
            </w:r>
          </w:p>
        </w:tc>
        <w:tc>
          <w:tcPr>
            <w:tcW w:w="158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DE" w14:textId="001003DF">
            <w:pPr>
              <w:spacing w:after="0" w:line="269" w:lineRule="auto"/>
            </w:pPr>
            <w:r>
              <w:rPr>
                <w:b w:val="0"/>
                <w:color w:val="000000"/>
                <w:sz w:val="20"/>
              </w:rPr>
              <w:t>0</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3E0" w14:textId="001003E1">
            <w:pPr>
              <w:spacing w:after="0" w:line="269" w:lineRule="auto"/>
            </w:pPr>
            <w:r>
              <w:rPr>
                <w:b w:val="0"/>
                <w:color w:val="000000"/>
                <w:sz w:val="20"/>
              </w:rPr>
              <w:t>通过</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E2" w14:textId="001003E3">
            <w:pPr>
              <w:spacing w:after="0" w:line="269" w:lineRule="auto"/>
              <w:jc w:val="center"/>
            </w:pPr>
            <w:r>
              <w:rPr>
                <w:b w:val="0"/>
                <w:color w:val="000000"/>
                <w:sz w:val="20"/>
              </w:rPr>
              <w:t>合计</w:t>
            </w:r>
          </w:p>
        </w:tc>
        <w:tc>
          <w:tcPr>
            <w:tcW w:w="532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E4" w14:textId="001003E5">
            <w:pPr>
              <w:spacing w:after="0" w:line="269" w:lineRule="auto"/>
            </w:pPr>
            <w:r>
              <w:rPr>
                <w:b w:val="0"/>
                <w:color w:val="000000"/>
                <w:sz w:val="20"/>
              </w:rPr>
              <w:t>10组</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E6" w14:textId="001003E7">
            <w:pPr>
              <w:spacing w:after="0" w:line="269" w:lineRule="auto"/>
            </w:pPr>
            <w:r>
              <w:rPr>
                <w:b w:val="0"/>
                <w:color w:val="000000"/>
                <w:sz w:val="20"/>
              </w:rPr>
              <w:t>103</w:t>
            </w:r>
          </w:p>
        </w:tc>
        <w:tc>
          <w:tcPr>
            <w:tcW w:w="158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E8" w14:textId="001003E9">
            <w:pPr>
              <w:spacing w:after="0" w:line="269" w:lineRule="auto"/>
            </w:pPr>
            <w:r>
              <w:rPr>
                <w:b w:val="0"/>
                <w:color w:val="000000"/>
                <w:sz w:val="20"/>
              </w:rPr>
              <w:t>0</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3EA" w14:textId="001003EB">
            <w:pPr>
              <w:spacing w:after="0" w:line="269" w:lineRule="auto"/>
            </w:pPr>
            <w:r>
              <w:rPr>
                <w:b w:val="0"/>
                <w:color w:val="000000"/>
                <w:sz w:val="20"/>
              </w:rPr>
              <w:t>通过</w:t>
            </w:r>
          </w:p>
        </w:tc>
      </w:tr>
    </w:tbl>
    <w:p w14:paraId="001003EC" w14:textId="001003ED">
      <w:pPr>
        <w:spacing w:after="40"/>
      </w:pPr>
    </w:p>
    <w:p w14:paraId="001003EE" w14:textId="001003EF">
      <w:pPr>
        <w:pStyle w:val="Heading2"/>
      </w:pPr>
      <w:r>
        <w:t>测试覆盖的代表性边界</w:t>
      </w:r>
    </w:p>
    <w:p w14:paraId="001003F0" w14:textId="001003F1">
      <w:pPr>
        <w:widowControl/>
      </w:pPr>
      <w:r>
        <w:rPr>
          <w:b w:val="0"/>
        </w:rPr>
        <w:t>I-24覆盖短历史、高频但时间不足、稀疏点不重复计票、采样抖动、禁止未来观测，以及最新停止或转离不能由历史票数覆盖。轨迹测试覆盖重复时间戳保留最后观测、去重后点数不足及配置一致性。聚类测试覆盖低速和转向特征、时间预处理以及距离度量回归。</w:t>
      </w:r>
    </w:p>
    <w:p w14:paraId="001003F2" w14:textId="001003F3">
      <w:pPr>
        <w:pStyle w:val="Heading2"/>
      </w:pPr>
      <w:r>
        <w:t>结果能够支持的结论</w:t>
      </w:r>
    </w:p>
    <w:p w14:paraId="001003F4" w14:textId="001003F5">
      <w:pPr>
        <w:widowControl/>
      </w:pPr>
      <w:r>
        <w:rPr>
          <w:b w:val="0"/>
        </w:rPr>
        <w:t>这些测试支持所选条件下的实现行为与预期一致，尤其是时间、输入边界、空间关系和群体分组的回归。测试项数量按 unittest 方法计数，方法内部可能含多个 subTest，未另作场景数累加。</w:t>
      </w:r>
    </w:p>
    <w:p w14:paraId="001003F6" w14:textId="001003F7">
      <w:pPr>
        <w:widowControl/>
      </w:pPr>
      <w:r>
        <w:rPr>
          <w:b w:val="0"/>
        </w:rPr>
        <w:t>本次并未重跑全仓库测试。HANDOVER记录的历史全量检查问题不因本次定向通过而自动消除；也不能将103/103表述为真实场景准确率100%。前序56项已经包含在本次103项内，二者不相加。</w:t>
      </w:r>
    </w:p>
    <w:p w14:paraId="001003F8" w14:textId="001003F9">
      <w:pPr>
        <w:widowControl/>
        <w:spacing w:line="276" w:lineRule="auto"/>
      </w:pPr>
      <w:r>
        <w:rPr>
          <w:b w:val="0"/>
          <w:sz w:val="18"/>
        </w:rPr>
        <w:t>实现与证据  E01 test_results.json、unittest_run.log；每个测试文件及 SHA256 见原始记录。</w:t>
      </w:r>
    </w:p>
    <w:p w14:paraId="001003FA" w14:textId="001003FB">
      <w:r>
        <w:br w:type="page"/>
      </w:r>
    </w:p>
    <w:p w14:paraId="001003FC" w14:textId="001003FD">
      <w:pPr>
        <w:pStyle w:val="Heading1"/>
      </w:pPr>
      <w:r>
        <w:t>18 本次性能测量结果</w:t>
      </w:r>
    </w:p>
    <w:p w14:paraId="001003FE" w14:textId="001003FF">
      <w:pPr>
        <w:widowControl/>
      </w:pPr>
      <w:r>
        <w:rPr>
          <w:b w:val="0"/>
        </w:rPr>
        <w:t>使用仓库已有 benchmark_formation_device.py，在CPU上测量PointNet和进程内Flask正式路由。模型输入为固定随机种子的13点二维点集；服务输入为 agents02_http_request_sample.json 中的13目标请求。每次更换 requestId，避免幂等缓存直接返回。</w:t>
      </w:r>
    </w:p>
    <w:tbl>
      <w:tblPr>
        <w:tblW w:w="0" w:type="auto"/>
        <w:jc w:val="center"/>
        <w:tblLayout w:type="fixed"/>
        <w:tblLook w:val="04A0" w:firstRow="1" w:lastRow="0" w:firstColumn="1" w:lastColumn="0" w:noHBand="0" w:noVBand="1"/>
      </w:tblPr>
      <w:tblGrid>
        <w:gridCol w:w="1872"/>
        <w:gridCol w:w="8064"/>
      </w:tblGrid>
      <w:tr>
        <w:trPr>
          <w:tblHeader/>
          <w:cantSplit/>
        </w:trPr>
        <w:tc>
          <w:tcPr>
            <w:tcW w:w="187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00" w14:textId="00100401">
            <w:pPr>
              <w:spacing w:after="0" w:line="269" w:lineRule="auto"/>
            </w:pPr>
            <w:r>
              <w:rPr>
                <w:b/>
                <w:color w:val="000000"/>
                <w:sz w:val="20"/>
              </w:rPr>
              <w:t>条件</w:t>
            </w:r>
          </w:p>
        </w:tc>
        <w:tc>
          <w:tcPr>
            <w:tcW w:w="806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02" w14:textId="00100403">
            <w:pPr>
              <w:spacing w:after="0" w:line="269" w:lineRule="auto"/>
            </w:pPr>
            <w:r>
              <w:rPr>
                <w:b/>
                <w:color w:val="000000"/>
                <w:sz w:val="20"/>
              </w:rPr>
              <w:t>实际设置</w:t>
            </w:r>
          </w:p>
        </w:tc>
      </w:tr>
      <w:tr>
        <w:trPr>
          <w:cantSplit/>
        </w:trPr>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04" w14:textId="00100405">
            <w:pPr>
              <w:spacing w:after="0" w:line="269" w:lineRule="auto"/>
            </w:pPr>
            <w:r>
              <w:rPr>
                <w:b w:val="0"/>
                <w:color w:val="000000"/>
                <w:sz w:val="20"/>
              </w:rPr>
              <w:t>运行环境</w:t>
            </w:r>
          </w:p>
        </w:tc>
        <w:tc>
          <w:tcPr>
            <w:tcW w:w="80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06" w14:textId="00100407">
            <w:pPr>
              <w:spacing w:after="0" w:line="269" w:lineRule="auto"/>
            </w:pPr>
            <w:r>
              <w:rPr>
                <w:b w:val="0"/>
                <w:color w:val="000000"/>
                <w:sz w:val="20"/>
              </w:rPr>
              <w:t>Windows 11；Python 3.12.3；PyTorch 2.5.0；NumPy 1.26.4</w:t>
            </w:r>
          </w:p>
        </w:tc>
      </w:tr>
      <w:tr>
        <w:trPr>
          <w:cantSplit/>
        </w:trPr>
        <w:tc>
          <w:tcPr>
            <w:tcW w:w="18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08" w14:textId="00100409">
            <w:pPr>
              <w:spacing w:after="0" w:line="269" w:lineRule="auto"/>
            </w:pPr>
            <w:r>
              <w:rPr>
                <w:b w:val="0"/>
                <w:color w:val="000000"/>
                <w:sz w:val="20"/>
              </w:rPr>
              <w:t>计算资源</w:t>
            </w:r>
          </w:p>
        </w:tc>
        <w:tc>
          <w:tcPr>
            <w:tcW w:w="80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0A" w14:textId="0010040B">
            <w:pPr>
              <w:spacing w:after="0" w:line="269" w:lineRule="auto"/>
            </w:pPr>
            <w:r>
              <w:rPr>
                <w:b w:val="0"/>
                <w:color w:val="000000"/>
                <w:sz w:val="20"/>
              </w:rPr>
              <w:t>CPU；32个逻辑处理器；PyTorch线程数16</w:t>
            </w:r>
          </w:p>
        </w:tc>
      </w:tr>
      <w:tr>
        <w:trPr>
          <w:cantSplit/>
        </w:trPr>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0C" w14:textId="0010040D">
            <w:pPr>
              <w:spacing w:after="0" w:line="269" w:lineRule="auto"/>
            </w:pPr>
            <w:r>
              <w:rPr>
                <w:b w:val="0"/>
                <w:color w:val="000000"/>
                <w:sz w:val="20"/>
              </w:rPr>
              <w:t>算法开关</w:t>
            </w:r>
          </w:p>
        </w:tc>
        <w:tc>
          <w:tcPr>
            <w:tcW w:w="80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0E" w14:textId="0010040F">
            <w:pPr>
              <w:spacing w:after="0" w:line="269" w:lineRule="auto"/>
            </w:pPr>
            <w:r>
              <w:rPr>
                <w:b w:val="0"/>
                <w:color w:val="000000"/>
                <w:sz w:val="20"/>
              </w:rPr>
              <w:t>FORMATION_RECOG_DEVICE=cpu；VECTORIZED_FEATURES=1</w:t>
            </w:r>
          </w:p>
        </w:tc>
      </w:tr>
      <w:tr>
        <w:trPr>
          <w:cantSplit/>
        </w:trPr>
        <w:tc>
          <w:tcPr>
            <w:tcW w:w="18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10" w14:textId="00100411">
            <w:pPr>
              <w:spacing w:after="0" w:line="269" w:lineRule="auto"/>
            </w:pPr>
            <w:r>
              <w:rPr>
                <w:b w:val="0"/>
                <w:color w:val="000000"/>
                <w:sz w:val="20"/>
              </w:rPr>
              <w:t>模型测量</w:t>
            </w:r>
          </w:p>
        </w:tc>
        <w:tc>
          <w:tcPr>
            <w:tcW w:w="80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12" w14:textId="00100413">
            <w:pPr>
              <w:spacing w:after="0" w:line="269" w:lineRule="auto"/>
            </w:pPr>
            <w:r>
              <w:rPr>
                <w:b w:val="0"/>
                <w:color w:val="000000"/>
                <w:sz w:val="20"/>
              </w:rPr>
              <w:t>预热50次，测量500次；13点输入</w:t>
            </w:r>
          </w:p>
        </w:tc>
      </w:tr>
      <w:tr>
        <w:trPr>
          <w:cantSplit/>
        </w:trPr>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14" w14:textId="00100415">
            <w:pPr>
              <w:spacing w:after="0" w:line="269" w:lineRule="auto"/>
            </w:pPr>
            <w:r>
              <w:rPr>
                <w:b w:val="0"/>
                <w:color w:val="000000"/>
                <w:sz w:val="20"/>
              </w:rPr>
              <w:t>服务测量</w:t>
            </w:r>
          </w:p>
        </w:tc>
        <w:tc>
          <w:tcPr>
            <w:tcW w:w="80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16" w14:textId="00100417">
            <w:pPr>
              <w:spacing w:after="0" w:line="269" w:lineRule="auto"/>
            </w:pPr>
            <w:r>
              <w:rPr>
                <w:b w:val="0"/>
                <w:color w:val="000000"/>
                <w:sz w:val="20"/>
              </w:rPr>
              <w:t>预热5次，测量100次；每次13目标，串行</w:t>
            </w:r>
          </w:p>
        </w:tc>
      </w:tr>
      <w:tr>
        <w:trPr>
          <w:cantSplit/>
        </w:trPr>
        <w:tc>
          <w:tcPr>
            <w:tcW w:w="18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18" w14:textId="00100419">
            <w:pPr>
              <w:spacing w:after="0" w:line="269" w:lineRule="auto"/>
            </w:pPr>
            <w:r>
              <w:rPr>
                <w:b w:val="0"/>
                <w:color w:val="000000"/>
                <w:sz w:val="20"/>
              </w:rPr>
              <w:t>轨迹规模</w:t>
            </w:r>
          </w:p>
        </w:tc>
        <w:tc>
          <w:tcPr>
            <w:tcW w:w="80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1A" w14:textId="0010041B">
            <w:pPr>
              <w:spacing w:after="0" w:line="269" w:lineRule="auto"/>
            </w:pPr>
            <w:r>
              <w:rPr>
                <w:b w:val="0"/>
                <w:color w:val="000000"/>
                <w:sz w:val="20"/>
              </w:rPr>
              <w:t>4条90点、5条10点、4条88点；总计762个输入点</w:t>
            </w:r>
          </w:p>
        </w:tc>
      </w:tr>
    </w:tbl>
    <w:p w14:paraId="0010041C" w14:textId="0010041D">
      <w:pPr>
        <w:spacing w:after="40"/>
      </w:pPr>
    </w:p>
    <w:tbl>
      <w:tblPr>
        <w:tblW w:w="0" w:type="auto"/>
        <w:jc w:val="center"/>
        <w:tblLayout w:type="fixed"/>
        <w:tblLook w:val="04A0" w:firstRow="1" w:lastRow="0" w:firstColumn="1" w:lastColumn="0" w:noHBand="0" w:noVBand="1"/>
      </w:tblPr>
      <w:tblGrid>
        <w:gridCol w:w="4464"/>
        <w:gridCol w:w="1656"/>
        <w:gridCol w:w="1800"/>
        <w:gridCol w:w="2016"/>
      </w:tblGrid>
      <w:tr>
        <w:trPr>
          <w:tblHeader/>
          <w:cantSplit/>
        </w:trPr>
        <w:tc>
          <w:tcPr>
            <w:tcW w:w="446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1E" w14:textId="0010041F">
            <w:pPr>
              <w:spacing w:after="0" w:line="269" w:lineRule="auto"/>
            </w:pPr>
            <w:r>
              <w:rPr>
                <w:b/>
                <w:color w:val="000000"/>
                <w:sz w:val="20"/>
              </w:rPr>
              <w:t>计时对象</w:t>
            </w:r>
          </w:p>
        </w:tc>
        <w:tc>
          <w:tcPr>
            <w:tcW w:w="165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20" w14:textId="00100421">
            <w:pPr>
              <w:spacing w:after="0" w:line="269" w:lineRule="auto"/>
            </w:pPr>
            <w:r>
              <w:rPr>
                <w:b/>
                <w:color w:val="000000"/>
                <w:sz w:val="20"/>
              </w:rPr>
              <w:t>均值 ms</w:t>
            </w:r>
          </w:p>
        </w:tc>
        <w:tc>
          <w:tcPr>
            <w:tcW w:w="180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22" w14:textId="00100423">
            <w:pPr>
              <w:spacing w:after="0" w:line="269" w:lineRule="auto"/>
            </w:pPr>
            <w:r>
              <w:rPr>
                <w:b/>
                <w:color w:val="000000"/>
                <w:sz w:val="20"/>
              </w:rPr>
              <w:t>中位数 ms</w:t>
            </w:r>
          </w:p>
        </w:tc>
        <w:tc>
          <w:tcPr>
            <w:tcW w:w="201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24" w14:textId="00100425">
            <w:pPr>
              <w:spacing w:after="0" w:line="269" w:lineRule="auto"/>
            </w:pPr>
            <w:r>
              <w:rPr>
                <w:b/>
                <w:color w:val="000000"/>
                <w:sz w:val="20"/>
              </w:rPr>
              <w:t>P95 ms</w:t>
            </w:r>
          </w:p>
        </w:tc>
      </w:tr>
      <w:tr>
        <w:trPr>
          <w:cantSplit/>
        </w:trPr>
        <w:tc>
          <w:tcPr>
            <w:tcW w:w="44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26" w14:textId="00100427">
            <w:pPr>
              <w:spacing w:after="0" w:line="269" w:lineRule="auto"/>
            </w:pPr>
            <w:r>
              <w:rPr>
                <w:b w:val="0"/>
                <w:color w:val="000000"/>
                <w:sz w:val="20"/>
              </w:rPr>
              <w:t>模型常驻前向</w:t>
            </w:r>
          </w:p>
        </w:tc>
        <w:tc>
          <w:tcPr>
            <w:tcW w:w="165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28" w14:textId="00100429">
            <w:pPr>
              <w:spacing w:after="0" w:line="269" w:lineRule="auto"/>
            </w:pPr>
            <w:r>
              <w:rPr>
                <w:b w:val="0"/>
                <w:color w:val="000000"/>
                <w:sz w:val="20"/>
              </w:rPr>
              <w:t>0.1307</w:t>
            </w:r>
          </w:p>
        </w:tc>
        <w:tc>
          <w:tcPr>
            <w:tcW w:w="180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2A" w14:textId="0010042B">
            <w:pPr>
              <w:spacing w:after="0" w:line="269" w:lineRule="auto"/>
            </w:pPr>
            <w:r>
              <w:rPr>
                <w:b w:val="0"/>
                <w:color w:val="000000"/>
                <w:sz w:val="20"/>
              </w:rPr>
              <w:t>未单独统计</w:t>
            </w:r>
          </w:p>
        </w:tc>
        <w:tc>
          <w:tcPr>
            <w:tcW w:w="201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2C" w14:textId="0010042D">
            <w:pPr>
              <w:spacing w:after="0" w:line="269" w:lineRule="auto"/>
            </w:pPr>
            <w:r>
              <w:rPr>
                <w:b w:val="0"/>
                <w:color w:val="000000"/>
                <w:sz w:val="20"/>
              </w:rPr>
              <w:t>未单独统计</w:t>
            </w:r>
          </w:p>
        </w:tc>
      </w:tr>
      <w:tr>
        <w:trPr>
          <w:cantSplit/>
        </w:trPr>
        <w:tc>
          <w:tcPr>
            <w:tcW w:w="44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2E" w14:textId="0010042F">
            <w:pPr>
              <w:spacing w:after="0" w:line="269" w:lineRule="auto"/>
            </w:pPr>
            <w:r>
              <w:rPr>
                <w:b w:val="0"/>
                <w:color w:val="000000"/>
                <w:sz w:val="20"/>
              </w:rPr>
              <w:t>模型构造输入并取类别</w:t>
            </w:r>
          </w:p>
        </w:tc>
        <w:tc>
          <w:tcPr>
            <w:tcW w:w="165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30" w14:textId="00100431">
            <w:pPr>
              <w:spacing w:after="0" w:line="269" w:lineRule="auto"/>
            </w:pPr>
            <w:r>
              <w:rPr>
                <w:b w:val="0"/>
                <w:color w:val="000000"/>
                <w:sz w:val="20"/>
              </w:rPr>
              <w:t>0.1652</w:t>
            </w:r>
          </w:p>
        </w:tc>
        <w:tc>
          <w:tcPr>
            <w:tcW w:w="180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32" w14:textId="00100433">
            <w:pPr>
              <w:spacing w:after="0" w:line="269" w:lineRule="auto"/>
            </w:pPr>
            <w:r>
              <w:rPr>
                <w:b w:val="0"/>
                <w:color w:val="000000"/>
                <w:sz w:val="20"/>
              </w:rPr>
              <w:t>0.1683</w:t>
            </w:r>
          </w:p>
        </w:tc>
        <w:tc>
          <w:tcPr>
            <w:tcW w:w="201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34" w14:textId="00100435">
            <w:pPr>
              <w:spacing w:after="0" w:line="269" w:lineRule="auto"/>
            </w:pPr>
            <w:r>
              <w:rPr>
                <w:b w:val="0"/>
                <w:color w:val="000000"/>
                <w:sz w:val="20"/>
              </w:rPr>
              <w:t>0.2349</w:t>
            </w:r>
          </w:p>
        </w:tc>
      </w:tr>
      <w:tr>
        <w:trPr>
          <w:cantSplit/>
        </w:trPr>
        <w:tc>
          <w:tcPr>
            <w:tcW w:w="44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36" w14:textId="00100437">
            <w:pPr>
              <w:spacing w:after="0" w:line="269" w:lineRule="auto"/>
            </w:pPr>
            <w:r>
              <w:rPr>
                <w:b w:val="0"/>
                <w:color w:val="000000"/>
                <w:sz w:val="20"/>
              </w:rPr>
              <w:t>进程内正式路由</w:t>
            </w:r>
          </w:p>
        </w:tc>
        <w:tc>
          <w:tcPr>
            <w:tcW w:w="165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38" w14:textId="00100439">
            <w:pPr>
              <w:spacing w:after="0" w:line="269" w:lineRule="auto"/>
            </w:pPr>
            <w:r>
              <w:rPr>
                <w:b w:val="0"/>
                <w:color w:val="000000"/>
                <w:sz w:val="20"/>
              </w:rPr>
              <w:t>45.2198</w:t>
            </w:r>
          </w:p>
        </w:tc>
        <w:tc>
          <w:tcPr>
            <w:tcW w:w="180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3A" w14:textId="0010043B">
            <w:pPr>
              <w:spacing w:after="0" w:line="269" w:lineRule="auto"/>
            </w:pPr>
            <w:r>
              <w:rPr>
                <w:b w:val="0"/>
                <w:color w:val="000000"/>
                <w:sz w:val="20"/>
              </w:rPr>
              <w:t>45.3349</w:t>
            </w:r>
          </w:p>
        </w:tc>
        <w:tc>
          <w:tcPr>
            <w:tcW w:w="201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3C" w14:textId="0010043D">
            <w:pPr>
              <w:spacing w:after="0" w:line="269" w:lineRule="auto"/>
            </w:pPr>
            <w:r>
              <w:rPr>
                <w:b w:val="0"/>
                <w:color w:val="000000"/>
                <w:sz w:val="20"/>
              </w:rPr>
              <w:t>48.4349</w:t>
            </w:r>
          </w:p>
        </w:tc>
      </w:tr>
      <w:tr>
        <w:trPr>
          <w:cantSplit/>
        </w:trPr>
        <w:tc>
          <w:tcPr>
            <w:tcW w:w="44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3E" w14:textId="0010043F">
            <w:pPr>
              <w:spacing w:after="0" w:line="269" w:lineRule="auto"/>
            </w:pPr>
            <w:r>
              <w:rPr>
                <w:b w:val="0"/>
                <w:color w:val="000000"/>
                <w:sz w:val="20"/>
              </w:rPr>
              <w:t>响应报告的引擎内部总时长</w:t>
            </w:r>
          </w:p>
        </w:tc>
        <w:tc>
          <w:tcPr>
            <w:tcW w:w="165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40" w14:textId="00100441">
            <w:pPr>
              <w:spacing w:after="0" w:line="269" w:lineRule="auto"/>
            </w:pPr>
            <w:r>
              <w:rPr>
                <w:b w:val="0"/>
                <w:color w:val="000000"/>
                <w:sz w:val="20"/>
              </w:rPr>
              <w:t>38.5200</w:t>
            </w:r>
          </w:p>
        </w:tc>
        <w:tc>
          <w:tcPr>
            <w:tcW w:w="180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42" w14:textId="00100443">
            <w:pPr>
              <w:spacing w:after="0" w:line="269" w:lineRule="auto"/>
            </w:pPr>
            <w:r>
              <w:rPr>
                <w:b w:val="0"/>
                <w:color w:val="000000"/>
                <w:sz w:val="20"/>
              </w:rPr>
              <w:t>39.0000</w:t>
            </w:r>
          </w:p>
        </w:tc>
        <w:tc>
          <w:tcPr>
            <w:tcW w:w="201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44" w14:textId="00100445">
            <w:pPr>
              <w:spacing w:after="0" w:line="269" w:lineRule="auto"/>
            </w:pPr>
            <w:r>
              <w:rPr>
                <w:b w:val="0"/>
                <w:color w:val="000000"/>
                <w:sz w:val="20"/>
              </w:rPr>
              <w:t>41.0000</w:t>
            </w:r>
          </w:p>
        </w:tc>
      </w:tr>
    </w:tbl>
    <w:p w14:paraId="00100446" w14:textId="00100447">
      <w:pPr>
        <w:spacing w:after="40"/>
      </w:pPr>
    </w:p>
    <w:p w14:paraId="00100448" w14:textId="00100449">
      <w:pPr>
        <w:widowControl/>
      </w:pPr>
      <w:r>
        <w:rPr>
          <w:b w:val="0"/>
        </w:rPr>
        <w:t>100次服务响应的HTTP状态均为200，业务code均为0。路由耗时最小34.93 ms、最大114.89 ms。保留最大值是为了反映单次波动；不能只展示均值而隐去尾部。内部诊断以秒保留三位，精度低于外部 perf_counter 计时。</w:t>
      </w:r>
    </w:p>
    <w:p w14:paraId="0010044A" w14:textId="0010044B">
      <w:pPr>
        <w:pStyle w:val="Heading2"/>
      </w:pPr>
      <w:r>
        <w:t>计时边界与解释</w:t>
      </w:r>
    </w:p>
    <w:p w14:paraId="0010044C" w14:textId="0010044D">
      <w:pPr>
        <w:widowControl/>
      </w:pPr>
      <w:r>
        <w:rPr>
          <w:b w:val="0"/>
        </w:rPr>
        <w:t>路由测量包含网关、引擎和响应序列化，但使用Flask测试客户端，不包含真实网络、生产Web服务器排队、并发或启动地图刷新。输入拷贝在计时外。P95沿用仓库脚本的有序样本索引实现；100个样本取第96个，500个样本取第476个，与最近秩定义略有差别。</w:t>
      </w:r>
    </w:p>
    <w:p w14:paraId="0010044E" w14:textId="0010044F">
      <w:pPr>
        <w:widowControl/>
      </w:pPr>
      <w:r>
        <w:rPr>
          <w:b w:val="0"/>
        </w:rPr>
        <w:t>结果支持该机器和固定负载下的热态计算可行性。不能外推为系统吞吐、所有场景的实时保证，或与历史其他硬件数字直接形成加速比。</w:t>
      </w:r>
    </w:p>
    <w:p w14:paraId="00100450" w14:textId="00100451">
      <w:pPr>
        <w:widowControl/>
        <w:spacing w:line="276" w:lineRule="auto"/>
      </w:pPr>
      <w:r>
        <w:rPr>
          <w:b w:val="0"/>
          <w:sz w:val="18"/>
        </w:rPr>
        <w:t>实现与证据  E02 benchmark_results.json、benchmark_run.log；tools/benchmark_formation_device.py。</w:t>
      </w:r>
    </w:p>
    <w:p w14:paraId="00100452" w14:textId="00100453">
      <w:r>
        <w:br w:type="page"/>
      </w:r>
    </w:p>
    <w:p w14:paraId="00100454" w14:textId="00100455">
      <w:pPr>
        <w:pStyle w:val="Heading1"/>
      </w:pPr>
      <w:r>
        <w:t>18.1 面向多无人机的性能优化工作</w:t>
      </w:r>
    </w:p>
    <w:p w14:paraId="00100456" w14:textId="00100457">
      <w:pPr>
        <w:widowControl/>
      </w:pPr>
      <w:r>
        <w:rPr>
          <w:b w:val="0"/>
        </w:rPr>
        <w:t>多目标场景的计算压力来自目标数量、轨迹长度、目标间关系和重复特征分析。现有实现已经采用批量数值计算、邻域索引、请求内缓存和模型复用。本次在现有代码上构造仿真输入，分别测量正式路由及局部计算，以区分可运行能力、性能收益和输出一致性。</w:t>
      </w:r>
    </w:p>
    <w:p w14:paraId="00100458" w14:textId="00100459">
      <w:pPr>
        <w:pStyle w:val="Heading2"/>
      </w:pPr>
      <w:r>
        <w:t>行为特征的批量计算</w:t>
      </w:r>
    </w:p>
    <w:p w14:paraId="0010045A" w14:textId="0010045B">
      <w:pPr>
        <w:widowControl/>
      </w:pPr>
      <w:r>
        <w:rPr>
          <w:b w:val="0"/>
        </w:rPr>
        <w:t>将多架无人机轨迹组织为统一数组，用NumPy差分和范数计算位移、速度及转向相关量。保留旧路径与环境变量开关，便于同输入对照；两条路径仍存在特征语义差异，详见第18.2至18.4节。</w:t>
      </w:r>
    </w:p>
    <w:p w14:paraId="0010045C" w14:textId="0010045D">
      <w:pPr>
        <w:pStyle w:val="Heading2"/>
      </w:pPr>
      <w:r>
        <w:t>长窗口跨度的矩阵计算</w:t>
      </w:r>
    </w:p>
    <w:p w14:paraId="0010045E" w14:textId="0010045F">
      <w:pPr>
        <w:widowControl/>
      </w:pPr>
      <w:r>
        <w:rPr>
          <w:b w:val="0"/>
        </w:rPr>
        <w:t>轨迹跨度由最大点对球面距离定义。用广播矩阵运算替换逐点对的Python函数调用，主要降低解释器开销，不改变最大跨度的定义，详见第18.5节。</w:t>
      </w:r>
    </w:p>
    <w:p w14:paraId="00100460" w14:textId="00100461">
      <w:pPr>
        <w:pStyle w:val="Heading2"/>
      </w:pPr>
      <w:r>
        <w:t>回退分组的邻域索引</w:t>
      </w:r>
    </w:p>
    <w:p w14:paraId="00100462" w14:textId="00100463">
      <w:pPr>
        <w:widowControl/>
      </w:pPr>
      <w:r>
        <w:rPr>
          <w:b w:val="0"/>
        </w:rPr>
        <w:t>适配器无可用分组时，超过10个目标采用地心弦坐标KD-tree筛选候选，再核验球面距离与航向。目标ID映射为字典，减少内部线性查找。该优化只属于回退分组，详见第18.6节。</w:t>
      </w:r>
    </w:p>
    <w:p w14:paraId="00100464" w14:textId="00100465">
      <w:pPr>
        <w:pStyle w:val="Heading2"/>
      </w:pPr>
      <w:r>
        <w:t>减少重复计算与重复加载</w:t>
      </w:r>
    </w:p>
    <w:p w14:paraId="00100466" w14:textId="00100467">
      <w:pPr>
        <w:widowControl/>
      </w:pPr>
      <w:r>
        <w:rPr>
          <w:b w:val="0"/>
        </w:rPr>
        <w:t>成员特征缓存限定在一次请求内，集群与成员分析复用同一计算结果。统一SpatialContext在空间分析后复用，以保持设施依据一致；模型采用缓存与显式预热，避免每次请求重新加载。已测量成员缓存的路由收益；空间复用和完整冷启动尚未形成独立A/B指标，详见第18.7节。</w:t>
      </w:r>
    </w:p>
    <w:p w14:paraId="00100468" w14:textId="00100469">
      <w:pPr>
        <w:pStyle w:val="Heading2"/>
      </w:pPr>
      <w:r>
        <w:t>当前证据范围</w:t>
      </w:r>
    </w:p>
    <w:p w14:paraId="0010046A" w14:textId="0010046B">
      <w:pPr>
        <w:widowControl/>
      </w:pPr>
      <w:r>
        <w:rPr>
          <w:b w:val="0"/>
        </w:rPr>
        <w:t>仿真覆盖24种规模组合、3个随机种子、576次正式计时请求，以及行为、跨度、回退分组、DBSCAN和缓存对照。结果证明指定输入与机器上的计算情况，不替代真实场景识别效果、生产并发或现场验收。</w:t>
      </w:r>
    </w:p>
    <w:p w14:paraId="0010046C" w14:textId="0010046D">
      <w:pPr>
        <w:widowControl/>
        <w:spacing w:line="276" w:lineRule="auto"/>
      </w:pPr>
      <w:r>
        <w:rPr>
          <w:b w:val="0"/>
          <w:sz w:val="18"/>
        </w:rPr>
        <w:t>实现与证据  实现：engine.py、legacy_adapter.py、vectorized_features.py及PointNet识别器。 仿真原始记录见E05至E08。</w:t>
      </w:r>
    </w:p>
    <w:p w14:paraId="0010046E" w14:textId="0010046F">
      <w:r>
        <w:br w:type="page"/>
      </w:r>
    </w:p>
    <w:p w14:paraId="00100470" w14:textId="00100471">
      <w:pPr>
        <w:pStyle w:val="Heading1"/>
      </w:pPr>
      <w:r>
        <w:t>18.2 行为特征向量化的方法</w:t>
      </w:r>
    </w:p>
    <w:p w14:paraId="00100472" w14:textId="00100473">
      <w:pPr>
        <w:widowControl/>
      </w:pPr>
      <w:r>
        <w:rPr>
          <w:b w:val="0"/>
        </w:rPr>
        <w:t>旧路径逐目标创建SingleUavBehavior，并分别调用速度等级、加速、减速和方向变化计算。向量化路径将轨迹填充到统一三维数组，对坐标和时间沿轨迹维度作差，再执行批量数值运算。不同长度轨迹使用NaN填充，并记录有效长度。</w:t>
      </w:r>
    </w:p>
    <w:p w14:paraId="00100474" w14:textId="00100475">
      <w:pPr>
        <w:spacing w:before="100" w:after="160"/>
        <w:jc w:val="center"/>
      </w:pPr>
      <m:oMath>
        <m:sSub>
          <m:e>
            <m:r>
              <w:rPr>
                <w:rFonts w:ascii="Cambria Math" w:hAnsi="Cambria Math" w:eastAsia="Cambria Math"/>
                <w:sz w:val="22"/>
              </w:rPr>
              <m:t>P</m:t>
            </m:r>
          </m:e>
          <m:sub>
            <m:r>
              <w:rPr>
                <w:rFonts w:ascii="Cambria Math" w:hAnsi="Cambria Math" w:eastAsia="Cambria Math"/>
                <w:sz w:val="22"/>
              </w:rPr>
              <m:t>i,k</m:t>
            </m:r>
          </m:sub>
        </m:sSub>
        <m:r>
          <w:rPr>
            <w:rFonts w:ascii="Cambria Math" w:hAnsi="Cambria Math" w:eastAsia="Cambria Math"/>
            <w:sz w:val="22"/>
          </w:rPr>
          <m:t> = (</m:t>
        </m:r>
        <m:sSub>
          <m:e>
            <m:r>
              <w:rPr>
                <w:rFonts w:ascii="Cambria Math" w:hAnsi="Cambria Math" w:eastAsia="Cambria Math"/>
                <w:sz w:val="22"/>
              </w:rPr>
              <m:t>x</m:t>
            </m:r>
          </m:e>
          <m:sub>
            <m:r>
              <w:rPr>
                <w:rFonts w:ascii="Cambria Math" w:hAnsi="Cambria Math" w:eastAsia="Cambria Math"/>
                <w:sz w:val="22"/>
              </w:rPr>
              <m:t>i,k</m:t>
            </m:r>
          </m:sub>
        </m:sSub>
        <m:r>
          <w:rPr>
            <w:rFonts w:ascii="Cambria Math" w:hAnsi="Cambria Math" w:eastAsia="Cambria Math"/>
            <w:sz w:val="22"/>
          </w:rPr>
          <m:t>, </m:t>
        </m:r>
        <m:sSub>
          <m:e>
            <m:r>
              <w:rPr>
                <w:rFonts w:ascii="Cambria Math" w:hAnsi="Cambria Math" w:eastAsia="Cambria Math"/>
                <w:sz w:val="22"/>
              </w:rPr>
              <m:t>y</m:t>
            </m:r>
          </m:e>
          <m:sub>
            <m:r>
              <w:rPr>
                <w:rFonts w:ascii="Cambria Math" w:hAnsi="Cambria Math" w:eastAsia="Cambria Math"/>
                <w:sz w:val="22"/>
              </w:rPr>
              <m:t>i,k</m:t>
            </m:r>
          </m:sub>
        </m:sSub>
        <m:r>
          <w:rPr>
            <w:rFonts w:ascii="Cambria Math" w:hAnsi="Cambria Math" w:eastAsia="Cambria Math"/>
            <w:sz w:val="22"/>
          </w:rPr>
          <m:t>),     </m:t>
        </m:r>
        <m:sSub>
          <m:e>
            <m:r>
              <w:rPr>
                <w:rFonts w:ascii="Cambria Math" w:hAnsi="Cambria Math" w:eastAsia="Cambria Math"/>
                <w:sz w:val="22"/>
              </w:rPr>
              <m:t>v</m:t>
            </m:r>
          </m:e>
          <m:sub>
            <m:r>
              <w:rPr>
                <w:rFonts w:ascii="Cambria Math" w:hAnsi="Cambria Math" w:eastAsia="Cambria Math"/>
                <w:sz w:val="22"/>
              </w:rPr>
              <m:t>i,k</m:t>
            </m:r>
          </m:sub>
        </m:sSub>
        <m:r>
          <w:rPr>
            <w:rFonts w:ascii="Cambria Math" w:hAnsi="Cambria Math" w:eastAsia="Cambria Math"/>
            <w:sz w:val="22"/>
          </w:rPr>
          <m:t> = </m:t>
        </m:r>
        <m:f>
          <m:num>
            <m:r>
              <w:rPr>
                <w:rFonts w:ascii="Cambria Math" w:hAnsi="Cambria Math" w:eastAsia="Cambria Math"/>
                <w:sz w:val="22"/>
              </w:rPr>
              <m:t>‖</m:t>
            </m:r>
            <m:sSub>
              <m:e>
                <m:r>
                  <w:rPr>
                    <w:rFonts w:ascii="Cambria Math" w:hAnsi="Cambria Math" w:eastAsia="Cambria Math"/>
                    <w:sz w:val="22"/>
                  </w:rPr>
                  <m:t>P</m:t>
                </m:r>
              </m:e>
              <m:sub>
                <m:r>
                  <w:rPr>
                    <w:rFonts w:ascii="Cambria Math" w:hAnsi="Cambria Math" w:eastAsia="Cambria Math"/>
                    <w:sz w:val="22"/>
                  </w:rPr>
                  <m:t>i,k+1</m:t>
                </m:r>
              </m:sub>
            </m:sSub>
            <m:r>
              <w:rPr>
                <w:rFonts w:ascii="Cambria Math" w:hAnsi="Cambria Math" w:eastAsia="Cambria Math"/>
                <w:sz w:val="22"/>
              </w:rPr>
              <m:t> − </m:t>
            </m:r>
            <m:sSub>
              <m:e>
                <m:r>
                  <w:rPr>
                    <w:rFonts w:ascii="Cambria Math" w:hAnsi="Cambria Math" w:eastAsia="Cambria Math"/>
                    <w:sz w:val="22"/>
                  </w:rPr>
                  <m:t>P</m:t>
                </m:r>
              </m:e>
              <m:sub>
                <m:r>
                  <w:rPr>
                    <w:rFonts w:ascii="Cambria Math" w:hAnsi="Cambria Math" w:eastAsia="Cambria Math"/>
                    <w:sz w:val="22"/>
                  </w:rPr>
                  <m:t>i,k</m:t>
                </m:r>
              </m:sub>
            </m:sSub>
            <m:r>
              <w:rPr>
                <w:rFonts w:ascii="Cambria Math" w:hAnsi="Cambria Math" w:eastAsia="Cambria Math"/>
                <w:sz w:val="22"/>
              </w:rPr>
              <m:t>‖</m:t>
            </m:r>
          </m:num>
          <m:den>
            <m:sSub>
              <m:e>
                <m:r>
                  <w:rPr>
                    <w:rFonts w:ascii="Cambria Math" w:hAnsi="Cambria Math" w:eastAsia="Cambria Math"/>
                    <w:sz w:val="22"/>
                  </w:rPr>
                  <m:t>t</m:t>
                </m:r>
              </m:e>
              <m:sub>
                <m:r>
                  <w:rPr>
                    <w:rFonts w:ascii="Cambria Math" w:hAnsi="Cambria Math" w:eastAsia="Cambria Math"/>
                    <w:sz w:val="22"/>
                  </w:rPr>
                  <m:t>i,k+1</m:t>
                </m:r>
              </m:sub>
            </m:sSub>
            <m:r>
              <w:rPr>
                <w:rFonts w:ascii="Cambria Math" w:hAnsi="Cambria Math" w:eastAsia="Cambria Math"/>
                <w:sz w:val="22"/>
              </w:rPr>
              <m:t> − </m:t>
            </m:r>
            <m:sSub>
              <m:e>
                <m:r>
                  <w:rPr>
                    <w:rFonts w:ascii="Cambria Math" w:hAnsi="Cambria Math" w:eastAsia="Cambria Math"/>
                    <w:sz w:val="22"/>
                  </w:rPr>
                  <m:t>t</m:t>
                </m:r>
              </m:e>
              <m:sub>
                <m:r>
                  <w:rPr>
                    <w:rFonts w:ascii="Cambria Math" w:hAnsi="Cambria Math" w:eastAsia="Cambria Math"/>
                    <w:sz w:val="22"/>
                  </w:rPr>
                  <m:t>i,k</m:t>
                </m:r>
              </m:sub>
            </m:sSub>
          </m:den>
        </m:f>
      </m:oMath>
      <w:r>
        <w:rPr>
          <w:sz w:val="18"/>
        </w:rPr>
        <w:t xml:space="preserve">    式17</w:t>
      </w:r>
    </w:p>
    <w:p w14:paraId="00100476" w14:textId="00100477">
      <w:pPr>
        <w:widowControl/>
      </w:pPr>
      <w:r>
        <w:rPr>
          <w:b w:val="0"/>
        </w:rPr>
        <w:t>这里坐标为适配器转换后的平面米制坐标，时间为秒。速度按末尾最多3段求均值，速度等级阈值为5和10 m/s。向量化加减速使用有效速度序列的前后半段均值；当初段均速大于0.1 m/s时计算相对变化量。</w:t>
      </w:r>
    </w:p>
    <w:p w14:paraId="00100478" w14:textId="00100479">
      <w:pPr>
        <w:spacing w:before="100" w:after="160"/>
        <w:jc w:val="center"/>
      </w:pPr>
      <m:oMath>
        <m:r>
          <w:rPr>
            <w:rFonts w:ascii="Cambria Math" w:hAnsi="Cambria Math" w:eastAsia="Cambria Math"/>
            <w:sz w:val="22"/>
          </w:rPr>
          <m:t>a = </m:t>
        </m:r>
        <m:f>
          <m:num>
            <m:sSub>
              <m:e>
                <m:r>
                  <w:rPr>
                    <w:rFonts w:ascii="Cambria Math" w:hAnsi="Cambria Math" w:eastAsia="Cambria Math"/>
                    <w:sz w:val="22"/>
                  </w:rPr>
                  <m:t>v̄</m:t>
                </m:r>
              </m:e>
              <m:sub>
                <m:r>
                  <w:rPr>
                    <w:rFonts w:ascii="Cambria Math" w:hAnsi="Cambria Math" w:eastAsia="Cambria Math"/>
                    <w:sz w:val="22"/>
                  </w:rPr>
                  <m:t>second</m:t>
                </m:r>
              </m:sub>
            </m:sSub>
            <m:r>
              <w:rPr>
                <w:rFonts w:ascii="Cambria Math" w:hAnsi="Cambria Math" w:eastAsia="Cambria Math"/>
                <w:sz w:val="22"/>
              </w:rPr>
              <m:t> − </m:t>
            </m:r>
            <m:sSub>
              <m:e>
                <m:r>
                  <w:rPr>
                    <w:rFonts w:ascii="Cambria Math" w:hAnsi="Cambria Math" w:eastAsia="Cambria Math"/>
                    <w:sz w:val="22"/>
                  </w:rPr>
                  <m:t>v̄</m:t>
                </m:r>
              </m:e>
              <m:sub>
                <m:r>
                  <w:rPr>
                    <w:rFonts w:ascii="Cambria Math" w:hAnsi="Cambria Math" w:eastAsia="Cambria Math"/>
                    <w:sz w:val="22"/>
                  </w:rPr>
                  <m:t>first</m:t>
                </m:r>
              </m:sub>
            </m:sSub>
          </m:num>
          <m:den>
            <m:sSub>
              <m:e>
                <m:r>
                  <w:rPr>
                    <w:rFonts w:ascii="Cambria Math" w:hAnsi="Cambria Math" w:eastAsia="Cambria Math"/>
                    <w:sz w:val="22"/>
                  </w:rPr>
                  <m:t>v̄</m:t>
                </m:r>
              </m:e>
              <m:sub>
                <m:r>
                  <w:rPr>
                    <w:rFonts w:ascii="Cambria Math" w:hAnsi="Cambria Math" w:eastAsia="Cambria Math"/>
                    <w:sz w:val="22"/>
                  </w:rPr>
                  <m:t>first</m:t>
                </m:r>
              </m:sub>
            </m:sSub>
          </m:den>
        </m:f>
      </m:oMath>
      <w:r>
        <w:rPr>
          <w:sz w:val="18"/>
        </w:rPr>
        <w:t xml:space="preserve">    式18</w:t>
      </w:r>
    </w:p>
    <w:p w14:paraId="0010047A" w14:textId="0010047B">
      <w:pPr>
        <w:widowControl/>
      </w:pPr>
      <w:r>
        <w:rPr>
          <w:b w:val="0"/>
        </w:rPr>
        <w:t>当前向量化实现以相对变化量大于0.5识别加速，小于−0.5识别减速；转向角取最后两段位移向量夹角，超过30度输出转向。旧路径则在分析窗口内计算速度极值比和航向变化范围，阈值与置信度规则也不完全相同。</w:t>
      </w:r>
    </w:p>
    <w:p w14:paraId="0010047C" w14:textId="0010047D">
      <w:pPr>
        <w:pStyle w:val="Heading2"/>
      </w:pPr>
      <w:r>
        <w:t>工程实现与生效条件</w:t>
      </w:r>
    </w:p>
    <w:p w14:paraId="0010047E" w14:textId="0010047F">
      <w:pPr>
        <w:widowControl/>
      </w:pPr>
      <w:r>
        <w:rPr>
          <w:b w:val="0"/>
        </w:rPr>
        <w:t>VECTORIZED_FEATURES=1启用向量化，未设置时适配器默认使用旧路径。Docker及常用回放配置显式启用。群体收缩、扩散仍调用原MultiUavsBehavior，不属于本次单机特征批量改写范围。</w:t>
      </w:r>
    </w:p>
    <w:p w14:paraId="00100480" w14:textId="00100481">
      <w:pPr>
        <w:widowControl/>
      </w:pPr>
      <w:r>
        <w:rPr>
          <w:b w:val="0"/>
        </w:rPr>
        <w:t>当前代码仍有轨迹打包、按目标规约和输出字典的循环；速度与加速度函数也各自计算段速度。因此应描述为批量数值计算减少Python层开销，不能说全部循环消失、速度序列只算一次，或复杂度变为常数。</w:t>
      </w:r>
    </w:p>
    <w:p w14:paraId="00100482" w14:textId="00100483">
      <w:pPr>
        <w:widowControl/>
      </w:pPr>
      <w:r>
        <w:rPr>
          <w:b w:val="0"/>
        </w:rPr>
        <w:t xml:space="preserve">设目标数量为N、最长轨迹为W，数组规模为 </w:t>
      </w:r>
      <m:oMath>
        <m:r>
          <w:rPr>
            <w:rFonts w:ascii="Cambria Math" w:hAnsi="Cambria Math" w:eastAsia="Cambria Math"/>
            <w:sz w:val="22"/>
          </w:rPr>
          <m:t>N × W × 2</m:t>
        </m:r>
      </m:oMath>
      <w:r>
        <w:t>；打包及主体数值计算仍随目标和轨迹规模增长。旧报告中的近常数时间及估算倍数不作为本次结论。</w:t>
      </w:r>
    </w:p>
    <w:p w14:paraId="00100484" w14:textId="00100485">
      <w:pPr>
        <w:widowControl/>
        <w:spacing w:line="276" w:lineRule="auto"/>
      </w:pPr>
      <w:r>
        <w:rPr>
          <w:b w:val="0"/>
          <w:sz w:val="18"/>
        </w:rPr>
        <w:t>实现与证据  vectorized_features.py；legacy_adapter.py的两条行为提取路径。 仿真原始记录见E05至E08。</w:t>
      </w:r>
    </w:p>
    <w:p w14:paraId="00100486" w14:textId="00100487">
      <w:r>
        <w:br w:type="page"/>
      </w:r>
    </w:p>
    <w:p w14:paraId="00100488" w14:textId="00100489">
      <w:pPr>
        <w:pStyle w:val="Heading1"/>
      </w:pPr>
      <w:r>
        <w:t>18.3 行为特征向量化的实测耗时</w:t>
      </w:r>
    </w:p>
    <w:p w14:paraId="0010048A" w14:textId="0010048B">
      <w:pPr>
        <w:widowControl/>
      </w:pPr>
      <w:r>
        <w:rPr>
          <w:b w:val="0"/>
        </w:rPr>
        <w:t>输入由真实ObjTracks构成，两条现有提取路径接收完全相同的对象，groups置空以隔离单机行为特征。每种模式预热后交替计时20次，不含模块导入、聚类、PointNet及群体收缩扩散。以下窗口是直接调用组件的长度，正式路由适配器使用末尾12点。</w:t>
      </w:r>
    </w:p>
    <w:tbl>
      <w:tblPr>
        <w:tblW w:w="0" w:type="auto"/>
        <w:jc w:val="center"/>
        <w:tblLayout w:type="fixed"/>
        <w:tblLook w:val="04A0" w:firstRow="1" w:lastRow="0" w:firstColumn="1" w:lastColumn="0" w:noHBand="0" w:noVBand="1"/>
      </w:tblPr>
      <w:tblGrid>
        <w:gridCol w:w="864"/>
        <w:gridCol w:w="1008"/>
        <w:gridCol w:w="1944"/>
        <w:gridCol w:w="1944"/>
        <w:gridCol w:w="1368"/>
        <w:gridCol w:w="2808"/>
      </w:tblGrid>
      <w:tr>
        <w:trPr>
          <w:tblHeader/>
          <w:cantSplit/>
        </w:trPr>
        <w:tc>
          <w:tcPr>
            <w:tcW w:w="86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8C" w14:textId="0010048D">
            <w:pPr>
              <w:spacing w:after="0" w:line="269" w:lineRule="auto"/>
              <w:jc w:val="center"/>
            </w:pPr>
            <w:r>
              <w:rPr>
                <w:b/>
                <w:color w:val="000000"/>
                <w:sz w:val="20"/>
              </w:rPr>
              <w:t>目标数</w:t>
            </w:r>
          </w:p>
        </w:tc>
        <w:tc>
          <w:tcPr>
            <w:tcW w:w="100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8E" w14:textId="0010048F">
            <w:pPr>
              <w:spacing w:after="0" w:line="269" w:lineRule="auto"/>
            </w:pPr>
            <w:r>
              <w:rPr>
                <w:b/>
                <w:color w:val="000000"/>
                <w:sz w:val="20"/>
              </w:rPr>
              <w:t>直接点数</w:t>
            </w:r>
          </w:p>
        </w:tc>
        <w:tc>
          <w:tcPr>
            <w:tcW w:w="194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90" w14:textId="00100491">
            <w:pPr>
              <w:spacing w:after="0" w:line="269" w:lineRule="auto"/>
            </w:pPr>
            <w:r>
              <w:rPr>
                <w:b/>
                <w:color w:val="000000"/>
                <w:sz w:val="20"/>
              </w:rPr>
              <w:t>旧路径中位 ms</w:t>
            </w:r>
          </w:p>
        </w:tc>
        <w:tc>
          <w:tcPr>
            <w:tcW w:w="194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92" w14:textId="00100493">
            <w:pPr>
              <w:spacing w:after="0" w:line="269" w:lineRule="auto"/>
            </w:pPr>
            <w:r>
              <w:rPr>
                <w:b/>
                <w:color w:val="000000"/>
                <w:sz w:val="20"/>
              </w:rPr>
              <w:t>向量化中位 ms</w:t>
            </w:r>
          </w:p>
        </w:tc>
        <w:tc>
          <w:tcPr>
            <w:tcW w:w="136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94" w14:textId="00100495">
            <w:pPr>
              <w:spacing w:after="0" w:line="269" w:lineRule="auto"/>
            </w:pPr>
            <w:r>
              <w:rPr>
                <w:b/>
                <w:color w:val="000000"/>
                <w:sz w:val="20"/>
              </w:rPr>
              <w:t>耗时比</w:t>
            </w:r>
          </w:p>
        </w:tc>
        <w:tc>
          <w:tcPr>
            <w:tcW w:w="280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96" w14:textId="00100497">
            <w:pPr>
              <w:spacing w:after="0" w:line="269" w:lineRule="auto"/>
            </w:pPr>
            <w:r>
              <w:rPr>
                <w:b/>
                <w:color w:val="000000"/>
                <w:sz w:val="20"/>
              </w:rPr>
              <w:t>最大速度差 m/s</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98" w14:textId="00100499">
            <w:pPr>
              <w:spacing w:after="0" w:line="269" w:lineRule="auto"/>
              <w:jc w:val="center"/>
            </w:pPr>
            <w:r>
              <w:rPr>
                <w:b w:val="0"/>
                <w:color w:val="000000"/>
                <w:sz w:val="20"/>
              </w:rPr>
              <w:t>10</w:t>
            </w:r>
          </w:p>
        </w:tc>
        <w:tc>
          <w:tcPr>
            <w:tcW w:w="100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9A" w14:textId="0010049B">
            <w:pPr>
              <w:spacing w:after="0" w:line="269" w:lineRule="auto"/>
            </w:pPr>
            <w:r>
              <w:rPr>
                <w:b w:val="0"/>
                <w:color w:val="000000"/>
                <w:sz w:val="20"/>
              </w:rPr>
              <w:t>120</w:t>
            </w:r>
          </w:p>
        </w:tc>
        <w:tc>
          <w:tcPr>
            <w:tcW w:w="19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9C" w14:textId="0010049D">
            <w:pPr>
              <w:spacing w:after="0" w:line="269" w:lineRule="auto"/>
            </w:pPr>
            <w:r>
              <w:rPr>
                <w:b w:val="0"/>
                <w:color w:val="000000"/>
                <w:sz w:val="20"/>
              </w:rPr>
              <w:t>6.03</w:t>
            </w:r>
          </w:p>
        </w:tc>
        <w:tc>
          <w:tcPr>
            <w:tcW w:w="19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9E" w14:textId="0010049F">
            <w:pPr>
              <w:spacing w:after="0" w:line="269" w:lineRule="auto"/>
            </w:pPr>
            <w:r>
              <w:rPr>
                <w:b w:val="0"/>
                <w:color w:val="000000"/>
                <w:sz w:val="20"/>
              </w:rPr>
              <w:t>0.65</w:t>
            </w:r>
          </w:p>
        </w:tc>
        <w:tc>
          <w:tcPr>
            <w:tcW w:w="13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A0" w14:textId="001004A1">
            <w:pPr>
              <w:spacing w:after="0" w:line="269" w:lineRule="auto"/>
            </w:pPr>
            <w:r>
              <w:rPr>
                <w:b w:val="0"/>
                <w:color w:val="000000"/>
                <w:sz w:val="20"/>
              </w:rPr>
              <w:t>9.21×</w:t>
            </w:r>
          </w:p>
        </w:tc>
        <w:tc>
          <w:tcPr>
            <w:tcW w:w="280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A2" w14:textId="001004A3">
            <w:pPr>
              <w:spacing w:after="0" w:line="269" w:lineRule="auto"/>
            </w:pPr>
            <w:r>
              <w:rPr>
                <w:b w:val="0"/>
                <w:color w:val="000000"/>
                <w:sz w:val="20"/>
              </w:rPr>
              <w:t>0.001</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A4" w14:textId="001004A5">
            <w:pPr>
              <w:spacing w:after="0" w:line="269" w:lineRule="auto"/>
              <w:jc w:val="center"/>
            </w:pPr>
            <w:r>
              <w:rPr>
                <w:b w:val="0"/>
                <w:color w:val="000000"/>
                <w:sz w:val="20"/>
              </w:rPr>
              <w:t>50</w:t>
            </w:r>
          </w:p>
        </w:tc>
        <w:tc>
          <w:tcPr>
            <w:tcW w:w="100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A6" w14:textId="001004A7">
            <w:pPr>
              <w:spacing w:after="0" w:line="269" w:lineRule="auto"/>
            </w:pPr>
            <w:r>
              <w:rPr>
                <w:b w:val="0"/>
                <w:color w:val="000000"/>
                <w:sz w:val="20"/>
              </w:rPr>
              <w:t>120</w:t>
            </w:r>
          </w:p>
        </w:tc>
        <w:tc>
          <w:tcPr>
            <w:tcW w:w="194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A8" w14:textId="001004A9">
            <w:pPr>
              <w:spacing w:after="0" w:line="269" w:lineRule="auto"/>
            </w:pPr>
            <w:r>
              <w:rPr>
                <w:b w:val="0"/>
                <w:color w:val="000000"/>
                <w:sz w:val="20"/>
              </w:rPr>
              <w:t>30.46</w:t>
            </w:r>
          </w:p>
        </w:tc>
        <w:tc>
          <w:tcPr>
            <w:tcW w:w="194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AA" w14:textId="001004AB">
            <w:pPr>
              <w:spacing w:after="0" w:line="269" w:lineRule="auto"/>
            </w:pPr>
            <w:r>
              <w:rPr>
                <w:b w:val="0"/>
                <w:color w:val="000000"/>
                <w:sz w:val="20"/>
              </w:rPr>
              <w:t>2.52</w:t>
            </w:r>
          </w:p>
        </w:tc>
        <w:tc>
          <w:tcPr>
            <w:tcW w:w="13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AC" w14:textId="001004AD">
            <w:pPr>
              <w:spacing w:after="0" w:line="269" w:lineRule="auto"/>
            </w:pPr>
            <w:r>
              <w:rPr>
                <w:b w:val="0"/>
                <w:color w:val="000000"/>
                <w:sz w:val="20"/>
              </w:rPr>
              <w:t>12.07×</w:t>
            </w:r>
          </w:p>
        </w:tc>
        <w:tc>
          <w:tcPr>
            <w:tcW w:w="280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AE" w14:textId="001004AF">
            <w:pPr>
              <w:spacing w:after="0" w:line="269" w:lineRule="auto"/>
            </w:pPr>
            <w:r>
              <w:rPr>
                <w:b w:val="0"/>
                <w:color w:val="000000"/>
                <w:sz w:val="20"/>
              </w:rPr>
              <w:t>0.092</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B0" w14:textId="001004B1">
            <w:pPr>
              <w:spacing w:after="0" w:line="269" w:lineRule="auto"/>
              <w:jc w:val="center"/>
            </w:pPr>
            <w:r>
              <w:rPr>
                <w:b w:val="0"/>
                <w:color w:val="000000"/>
                <w:sz w:val="20"/>
              </w:rPr>
              <w:t>100</w:t>
            </w:r>
          </w:p>
        </w:tc>
        <w:tc>
          <w:tcPr>
            <w:tcW w:w="100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B2" w14:textId="001004B3">
            <w:pPr>
              <w:spacing w:after="0" w:line="269" w:lineRule="auto"/>
            </w:pPr>
            <w:r>
              <w:rPr>
                <w:b w:val="0"/>
                <w:color w:val="000000"/>
                <w:sz w:val="20"/>
              </w:rPr>
              <w:t>120</w:t>
            </w:r>
          </w:p>
        </w:tc>
        <w:tc>
          <w:tcPr>
            <w:tcW w:w="19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B4" w14:textId="001004B5">
            <w:pPr>
              <w:spacing w:after="0" w:line="269" w:lineRule="auto"/>
            </w:pPr>
            <w:r>
              <w:rPr>
                <w:b w:val="0"/>
                <w:color w:val="000000"/>
                <w:sz w:val="20"/>
              </w:rPr>
              <w:t>57.85</w:t>
            </w:r>
          </w:p>
        </w:tc>
        <w:tc>
          <w:tcPr>
            <w:tcW w:w="19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B6" w14:textId="001004B7">
            <w:pPr>
              <w:spacing w:after="0" w:line="269" w:lineRule="auto"/>
            </w:pPr>
            <w:r>
              <w:rPr>
                <w:b w:val="0"/>
                <w:color w:val="000000"/>
                <w:sz w:val="20"/>
              </w:rPr>
              <w:t>4.40</w:t>
            </w:r>
          </w:p>
        </w:tc>
        <w:tc>
          <w:tcPr>
            <w:tcW w:w="13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B8" w14:textId="001004B9">
            <w:pPr>
              <w:spacing w:after="0" w:line="269" w:lineRule="auto"/>
            </w:pPr>
            <w:r>
              <w:rPr>
                <w:b w:val="0"/>
                <w:color w:val="000000"/>
                <w:sz w:val="20"/>
              </w:rPr>
              <w:t>13.16×</w:t>
            </w:r>
          </w:p>
        </w:tc>
        <w:tc>
          <w:tcPr>
            <w:tcW w:w="280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BA" w14:textId="001004BB">
            <w:pPr>
              <w:spacing w:after="0" w:line="269" w:lineRule="auto"/>
            </w:pPr>
            <w:r>
              <w:rPr>
                <w:b w:val="0"/>
                <w:color w:val="000000"/>
                <w:sz w:val="20"/>
              </w:rPr>
              <w:t>0.092</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BC" w14:textId="001004BD">
            <w:pPr>
              <w:spacing w:after="0" w:line="269" w:lineRule="auto"/>
              <w:jc w:val="center"/>
            </w:pPr>
            <w:r>
              <w:rPr>
                <w:b w:val="0"/>
                <w:color w:val="000000"/>
                <w:sz w:val="20"/>
              </w:rPr>
              <w:t>200</w:t>
            </w:r>
          </w:p>
        </w:tc>
        <w:tc>
          <w:tcPr>
            <w:tcW w:w="100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BE" w14:textId="001004BF">
            <w:pPr>
              <w:spacing w:after="0" w:line="269" w:lineRule="auto"/>
            </w:pPr>
            <w:r>
              <w:rPr>
                <w:b w:val="0"/>
                <w:color w:val="000000"/>
                <w:sz w:val="20"/>
              </w:rPr>
              <w:t>120</w:t>
            </w:r>
          </w:p>
        </w:tc>
        <w:tc>
          <w:tcPr>
            <w:tcW w:w="194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C0" w14:textId="001004C1">
            <w:pPr>
              <w:spacing w:after="0" w:line="269" w:lineRule="auto"/>
            </w:pPr>
            <w:r>
              <w:rPr>
                <w:b w:val="0"/>
                <w:color w:val="000000"/>
                <w:sz w:val="20"/>
              </w:rPr>
              <w:t>114.29</w:t>
            </w:r>
          </w:p>
        </w:tc>
        <w:tc>
          <w:tcPr>
            <w:tcW w:w="194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C2" w14:textId="001004C3">
            <w:pPr>
              <w:spacing w:after="0" w:line="269" w:lineRule="auto"/>
            </w:pPr>
            <w:r>
              <w:rPr>
                <w:b w:val="0"/>
                <w:color w:val="000000"/>
                <w:sz w:val="20"/>
              </w:rPr>
              <w:t>9.39</w:t>
            </w:r>
          </w:p>
        </w:tc>
        <w:tc>
          <w:tcPr>
            <w:tcW w:w="13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C4" w14:textId="001004C5">
            <w:pPr>
              <w:spacing w:after="0" w:line="269" w:lineRule="auto"/>
            </w:pPr>
            <w:r>
              <w:rPr>
                <w:b w:val="0"/>
                <w:color w:val="000000"/>
                <w:sz w:val="20"/>
              </w:rPr>
              <w:t>12.17×</w:t>
            </w:r>
          </w:p>
        </w:tc>
        <w:tc>
          <w:tcPr>
            <w:tcW w:w="280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C6" w14:textId="001004C7">
            <w:pPr>
              <w:spacing w:after="0" w:line="269" w:lineRule="auto"/>
            </w:pPr>
            <w:r>
              <w:rPr>
                <w:b w:val="0"/>
                <w:color w:val="000000"/>
                <w:sz w:val="20"/>
              </w:rPr>
              <w:t>0.154</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C8" w14:textId="001004C9">
            <w:pPr>
              <w:spacing w:after="0" w:line="269" w:lineRule="auto"/>
              <w:jc w:val="center"/>
            </w:pPr>
            <w:r>
              <w:rPr>
                <w:b w:val="0"/>
                <w:color w:val="000000"/>
                <w:sz w:val="20"/>
              </w:rPr>
              <w:t>100</w:t>
            </w:r>
          </w:p>
        </w:tc>
        <w:tc>
          <w:tcPr>
            <w:tcW w:w="100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CA" w14:textId="001004CB">
            <w:pPr>
              <w:spacing w:after="0" w:line="269" w:lineRule="auto"/>
            </w:pPr>
            <w:r>
              <w:rPr>
                <w:b w:val="0"/>
                <w:color w:val="000000"/>
                <w:sz w:val="20"/>
              </w:rPr>
              <w:t>30</w:t>
            </w:r>
          </w:p>
        </w:tc>
        <w:tc>
          <w:tcPr>
            <w:tcW w:w="19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CC" w14:textId="001004CD">
            <w:pPr>
              <w:spacing w:after="0" w:line="269" w:lineRule="auto"/>
            </w:pPr>
            <w:r>
              <w:rPr>
                <w:b w:val="0"/>
                <w:color w:val="000000"/>
                <w:sz w:val="20"/>
              </w:rPr>
              <w:t>67.41</w:t>
            </w:r>
          </w:p>
        </w:tc>
        <w:tc>
          <w:tcPr>
            <w:tcW w:w="19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CE" w14:textId="001004CF">
            <w:pPr>
              <w:spacing w:after="0" w:line="269" w:lineRule="auto"/>
            </w:pPr>
            <w:r>
              <w:rPr>
                <w:b w:val="0"/>
                <w:color w:val="000000"/>
                <w:sz w:val="20"/>
              </w:rPr>
              <w:t>5.55</w:t>
            </w:r>
          </w:p>
        </w:tc>
        <w:tc>
          <w:tcPr>
            <w:tcW w:w="13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D0" w14:textId="001004D1">
            <w:pPr>
              <w:spacing w:after="0" w:line="269" w:lineRule="auto"/>
            </w:pPr>
            <w:r>
              <w:rPr>
                <w:b w:val="0"/>
                <w:color w:val="000000"/>
                <w:sz w:val="20"/>
              </w:rPr>
              <w:t>12.15×</w:t>
            </w:r>
          </w:p>
        </w:tc>
        <w:tc>
          <w:tcPr>
            <w:tcW w:w="280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4D2" w14:textId="001004D3">
            <w:pPr>
              <w:spacing w:after="0" w:line="269" w:lineRule="auto"/>
            </w:pPr>
            <w:r>
              <w:rPr>
                <w:b w:val="0"/>
                <w:color w:val="000000"/>
                <w:sz w:val="20"/>
              </w:rPr>
              <w:t>0.079</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D4" w14:textId="001004D5">
            <w:pPr>
              <w:spacing w:after="0" w:line="269" w:lineRule="auto"/>
              <w:jc w:val="center"/>
            </w:pPr>
            <w:r>
              <w:rPr>
                <w:b w:val="0"/>
                <w:color w:val="000000"/>
                <w:sz w:val="20"/>
              </w:rPr>
              <w:t>100</w:t>
            </w:r>
          </w:p>
        </w:tc>
        <w:tc>
          <w:tcPr>
            <w:tcW w:w="100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D6" w14:textId="001004D7">
            <w:pPr>
              <w:spacing w:after="0" w:line="269" w:lineRule="auto"/>
            </w:pPr>
            <w:r>
              <w:rPr>
                <w:b w:val="0"/>
                <w:color w:val="000000"/>
                <w:sz w:val="20"/>
              </w:rPr>
              <w:t>240</w:t>
            </w:r>
          </w:p>
        </w:tc>
        <w:tc>
          <w:tcPr>
            <w:tcW w:w="194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D8" w14:textId="001004D9">
            <w:pPr>
              <w:spacing w:after="0" w:line="269" w:lineRule="auto"/>
            </w:pPr>
            <w:r>
              <w:rPr>
                <w:b w:val="0"/>
                <w:color w:val="000000"/>
                <w:sz w:val="20"/>
              </w:rPr>
              <w:t>62.17</w:t>
            </w:r>
          </w:p>
        </w:tc>
        <w:tc>
          <w:tcPr>
            <w:tcW w:w="194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DA" w14:textId="001004DB">
            <w:pPr>
              <w:spacing w:after="0" w:line="269" w:lineRule="auto"/>
            </w:pPr>
            <w:r>
              <w:rPr>
                <w:b w:val="0"/>
                <w:color w:val="000000"/>
                <w:sz w:val="20"/>
              </w:rPr>
              <w:t>5.05</w:t>
            </w:r>
          </w:p>
        </w:tc>
        <w:tc>
          <w:tcPr>
            <w:tcW w:w="13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DC" w14:textId="001004DD">
            <w:pPr>
              <w:spacing w:after="0" w:line="269" w:lineRule="auto"/>
            </w:pPr>
            <w:r>
              <w:rPr>
                <w:b w:val="0"/>
                <w:color w:val="000000"/>
                <w:sz w:val="20"/>
              </w:rPr>
              <w:t>12.32×</w:t>
            </w:r>
          </w:p>
        </w:tc>
        <w:tc>
          <w:tcPr>
            <w:tcW w:w="280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4DE" w14:textId="001004DF">
            <w:pPr>
              <w:spacing w:after="0" w:line="269" w:lineRule="auto"/>
            </w:pPr>
            <w:r>
              <w:rPr>
                <w:b w:val="0"/>
                <w:color w:val="000000"/>
                <w:sz w:val="20"/>
              </w:rPr>
              <w:t>0.083</w:t>
            </w:r>
          </w:p>
        </w:tc>
      </w:tr>
    </w:tbl>
    <w:p w14:paraId="001004E0" w14:textId="001004E1">
      <w:pPr>
        <w:spacing w:after="40"/>
      </w:pPr>
    </w:p>
    <w:p w14:paraId="001004E2" w14:textId="001004E3">
      <w:pPr>
        <w:spacing w:before="100" w:after="160"/>
        <w:jc w:val="center"/>
      </w:pPr>
      <m:oMath>
        <m:r>
          <w:rPr>
            <w:rFonts w:ascii="Cambria Math" w:hAnsi="Cambria Math" w:eastAsia="Cambria Math"/>
            <w:sz w:val="22"/>
          </w:rPr>
          <m:t>S = </m:t>
        </m:r>
        <m:f>
          <m:num>
            <m:sSub>
              <m:e>
                <m:r>
                  <w:rPr>
                    <w:rFonts w:ascii="Cambria Math" w:hAnsi="Cambria Math" w:eastAsia="Cambria Math"/>
                    <w:sz w:val="22"/>
                  </w:rPr>
                  <m:t>median(T)</m:t>
                </m:r>
              </m:e>
              <m:sub>
                <m:r>
                  <w:rPr>
                    <w:rFonts w:ascii="Cambria Math" w:hAnsi="Cambria Math" w:eastAsia="Cambria Math"/>
                    <w:sz w:val="22"/>
                  </w:rPr>
                  <m:t>reference</m:t>
                </m:r>
              </m:sub>
            </m:sSub>
          </m:num>
          <m:den>
            <m:sSub>
              <m:e>
                <m:r>
                  <w:rPr>
                    <w:rFonts w:ascii="Cambria Math" w:hAnsi="Cambria Math" w:eastAsia="Cambria Math"/>
                    <w:sz w:val="22"/>
                  </w:rPr>
                  <m:t>median(T)</m:t>
                </m:r>
              </m:e>
              <m:sub>
                <m:r>
                  <w:rPr>
                    <w:rFonts w:ascii="Cambria Math" w:hAnsi="Cambria Math" w:eastAsia="Cambria Math"/>
                    <w:sz w:val="22"/>
                  </w:rPr>
                  <m:t>optimized</m:t>
                </m:r>
              </m:sub>
            </m:sSub>
          </m:den>
        </m:f>
        <m:r>
          <w:rPr>
            <w:rFonts w:ascii="Cambria Math" w:hAnsi="Cambria Math" w:eastAsia="Cambria Math"/>
            <w:sz w:val="22"/>
          </w:rPr>
          <m:t>,     G = 1 − </m:t>
        </m:r>
        <m:f>
          <m:num>
            <m:r>
              <w:rPr>
                <w:rFonts w:ascii="Cambria Math" w:hAnsi="Cambria Math" w:eastAsia="Cambria Math"/>
                <w:sz w:val="22"/>
              </w:rPr>
              <m:t>1</m:t>
            </m:r>
          </m:num>
          <m:den>
            <m:r>
              <w:rPr>
                <w:rFonts w:ascii="Cambria Math" w:hAnsi="Cambria Math" w:eastAsia="Cambria Math"/>
                <w:sz w:val="22"/>
              </w:rPr>
              <m:t>S</m:t>
            </m:r>
          </m:den>
        </m:f>
      </m:oMath>
      <w:r>
        <w:rPr>
          <w:sz w:val="18"/>
        </w:rPr>
        <w:t xml:space="preserve">    式19</w:t>
      </w:r>
    </w:p>
    <w:p w14:paraId="001004E4" w14:textId="001004E5">
      <w:pPr>
        <w:widowControl/>
      </w:pPr>
      <w:r>
        <w:rPr>
          <w:b w:val="0"/>
        </w:rPr>
        <w:t>式19中S表示耗时比，G表示相对耗时降低比例。只有比较的任务、计时边界和输出语义一致时，才可把S解释为等价计算的加速比。此处行为路径的S用于描述现有两种实现的计算差异。</w:t>
      </w:r>
    </w:p>
    <w:p w14:paraId="001004E6" w14:textId="001004E7">
      <w:pPr>
        <w:pStyle w:val="Heading2"/>
      </w:pPr>
      <w:r>
        <w:t>结果解释</w:t>
      </w:r>
    </w:p>
    <w:p w14:paraId="001004E8" w14:textId="001004E9">
      <w:pPr>
        <w:widowControl/>
      </w:pPr>
      <w:r>
        <w:rPr>
          <w:b w:val="0"/>
        </w:rPr>
        <w:t>100目标、每目标直接输入120点时，旧路径中位数57.85 ms，向量化4.40 ms，耗时比13.16倍。200目标同窗口时为114.29 ms与9.39 ms，约12.17倍。所有6组的速度等级一致，但部分数值、置信度和行为布尔值不同。</w:t>
      </w:r>
    </w:p>
    <w:p w14:paraId="001004EA" w14:textId="001004EB">
      <w:pPr>
        <w:widowControl/>
      </w:pPr>
      <w:r>
        <w:rPr>
          <w:b w:val="0"/>
        </w:rPr>
        <w:t>不同长度场景之间没有呈现严格单调耗时，不应从单个表值推导复杂度；输入动作组成、缓存、系统调度与短时波动均会影响计时。逐次局部摘要、均值和P95保存在原始JSON中。</w:t>
      </w:r>
    </w:p>
    <w:p w14:paraId="001004EC" w14:textId="001004ED">
      <w:pPr>
        <w:widowControl/>
        <w:spacing w:line="276" w:lineRule="auto"/>
      </w:pPr>
      <w:r>
        <w:rPr>
          <w:b w:val="0"/>
          <w:sz w:val="18"/>
        </w:rPr>
        <w:t>实现与证据  results.json/components/behavior；输出差异详见下一节。 仿真原始记录见E05至E08。</w:t>
      </w:r>
    </w:p>
    <w:p w14:paraId="001004EE" w14:textId="001004EF">
      <w:r>
        <w:br w:type="page"/>
      </w:r>
    </w:p>
    <w:p w14:paraId="001004F0" w14:textId="001004F1">
      <w:pPr>
        <w:pStyle w:val="Heading1"/>
      </w:pPr>
      <w:r>
        <w:t>18.4 行为特征输出一致性与差异</w:t>
      </w:r>
    </w:p>
    <w:p w14:paraId="001004F2" w14:textId="001004F3">
      <w:pPr>
        <w:widowControl/>
      </w:pPr>
      <w:r>
        <w:rPr>
          <w:b w:val="0"/>
        </w:rPr>
        <w:t>下表列出每组中新旧实现输出值不同的目标数量。列名为目标数和直接输入点数；置信度字段虽非布尔判定，也逐目标比较。该表报告差异，不把任一路径直接当作独立真值。</w:t>
      </w:r>
    </w:p>
    <w:tbl>
      <w:tblPr>
        <w:tblW w:w="0" w:type="auto"/>
        <w:jc w:val="center"/>
        <w:tblLayout w:type="fixed"/>
        <w:tblLook w:val="04A0" w:firstRow="1" w:lastRow="0" w:firstColumn="1" w:lastColumn="0" w:noHBand="0" w:noVBand="1"/>
      </w:tblPr>
      <w:tblGrid>
        <w:gridCol w:w="2376"/>
        <w:gridCol w:w="1224"/>
        <w:gridCol w:w="1224"/>
        <w:gridCol w:w="1224"/>
        <w:gridCol w:w="1296"/>
        <w:gridCol w:w="1296"/>
        <w:gridCol w:w="1296"/>
      </w:tblGrid>
      <w:tr>
        <w:trPr>
          <w:tblHeader/>
          <w:cantSplit/>
        </w:trPr>
        <w:tc>
          <w:tcPr>
            <w:tcW w:w="237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F4" w14:textId="001004F5">
            <w:pPr>
              <w:spacing w:after="0" w:line="269" w:lineRule="auto"/>
            </w:pPr>
            <w:r>
              <w:rPr>
                <w:b/>
                <w:color w:val="000000"/>
                <w:sz w:val="20"/>
              </w:rPr>
              <w:t>字段</w:t>
            </w:r>
          </w:p>
        </w:tc>
        <w:tc>
          <w:tcPr>
            <w:tcW w:w="122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F6" w14:textId="001004F7">
            <w:pPr>
              <w:spacing w:after="0" w:line="269" w:lineRule="auto"/>
            </w:pPr>
            <w:r>
              <w:rPr>
                <w:b/>
                <w:color w:val="000000"/>
                <w:sz w:val="20"/>
              </w:rPr>
              <w:t>10架</w:t>
              <w:br/>
              <w:t>120点</w:t>
            </w:r>
          </w:p>
        </w:tc>
        <w:tc>
          <w:tcPr>
            <w:tcW w:w="122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F8" w14:textId="001004F9">
            <w:pPr>
              <w:spacing w:after="0" w:line="269" w:lineRule="auto"/>
            </w:pPr>
            <w:r>
              <w:rPr>
                <w:b/>
                <w:color w:val="000000"/>
                <w:sz w:val="20"/>
              </w:rPr>
              <w:t>50架</w:t>
              <w:br/>
              <w:t>120点</w:t>
            </w:r>
          </w:p>
        </w:tc>
        <w:tc>
          <w:tcPr>
            <w:tcW w:w="122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FA" w14:textId="001004FB">
            <w:pPr>
              <w:spacing w:after="0" w:line="269" w:lineRule="auto"/>
            </w:pPr>
            <w:r>
              <w:rPr>
                <w:b/>
                <w:color w:val="000000"/>
                <w:sz w:val="20"/>
              </w:rPr>
              <w:t>100架</w:t>
              <w:br/>
              <w:t>120点</w:t>
            </w:r>
          </w:p>
        </w:tc>
        <w:tc>
          <w:tcPr>
            <w:tcW w:w="129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FC" w14:textId="001004FD">
            <w:pPr>
              <w:spacing w:after="0" w:line="269" w:lineRule="auto"/>
            </w:pPr>
            <w:r>
              <w:rPr>
                <w:b/>
                <w:color w:val="000000"/>
                <w:sz w:val="20"/>
              </w:rPr>
              <w:t>200架</w:t>
              <w:br/>
              <w:t>120点</w:t>
            </w:r>
          </w:p>
        </w:tc>
        <w:tc>
          <w:tcPr>
            <w:tcW w:w="129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4FE" w14:textId="001004FF">
            <w:pPr>
              <w:spacing w:after="0" w:line="269" w:lineRule="auto"/>
            </w:pPr>
            <w:r>
              <w:rPr>
                <w:b/>
                <w:color w:val="000000"/>
                <w:sz w:val="20"/>
              </w:rPr>
              <w:t>100架</w:t>
              <w:br/>
              <w:t>30点</w:t>
            </w:r>
          </w:p>
        </w:tc>
        <w:tc>
          <w:tcPr>
            <w:tcW w:w="129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500" w14:textId="00100501">
            <w:pPr>
              <w:spacing w:after="0" w:line="269" w:lineRule="auto"/>
            </w:pPr>
            <w:r>
              <w:rPr>
                <w:b/>
                <w:color w:val="000000"/>
                <w:sz w:val="20"/>
              </w:rPr>
              <w:t>100架</w:t>
              <w:br/>
              <w:t>240点</w:t>
            </w:r>
          </w:p>
        </w:tc>
      </w:tr>
      <w:tr>
        <w:trPr>
          <w:cantSplit/>
        </w:trPr>
        <w:tc>
          <w:tcPr>
            <w:tcW w:w="237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02" w14:textId="00100503">
            <w:pPr>
              <w:spacing w:after="0" w:line="269" w:lineRule="auto"/>
            </w:pPr>
            <w:r>
              <w:rPr>
                <w:b w:val="0"/>
                <w:color w:val="000000"/>
                <w:sz w:val="20"/>
              </w:rPr>
              <w:t>速度等级</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04" w14:textId="00100505">
            <w:pPr>
              <w:spacing w:after="0" w:line="269" w:lineRule="auto"/>
            </w:pPr>
            <w:r>
              <w:rPr>
                <w:b w:val="0"/>
                <w:color w:val="000000"/>
                <w:sz w:val="20"/>
              </w:rPr>
              <w:t>0</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06" w14:textId="00100507">
            <w:pPr>
              <w:spacing w:after="0" w:line="269" w:lineRule="auto"/>
            </w:pPr>
            <w:r>
              <w:rPr>
                <w:b w:val="0"/>
                <w:color w:val="000000"/>
                <w:sz w:val="20"/>
              </w:rPr>
              <w:t>0</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08" w14:textId="00100509">
            <w:pPr>
              <w:spacing w:after="0" w:line="269" w:lineRule="auto"/>
            </w:pPr>
            <w:r>
              <w:rPr>
                <w:b w:val="0"/>
                <w:color w:val="000000"/>
                <w:sz w:val="20"/>
              </w:rPr>
              <w:t>0</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0A" w14:textId="0010050B">
            <w:pPr>
              <w:spacing w:after="0" w:line="269" w:lineRule="auto"/>
            </w:pPr>
            <w:r>
              <w:rPr>
                <w:b w:val="0"/>
                <w:color w:val="000000"/>
                <w:sz w:val="20"/>
              </w:rPr>
              <w:t>0</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0C" w14:textId="0010050D">
            <w:pPr>
              <w:spacing w:after="0" w:line="269" w:lineRule="auto"/>
            </w:pPr>
            <w:r>
              <w:rPr>
                <w:b w:val="0"/>
                <w:color w:val="000000"/>
                <w:sz w:val="20"/>
              </w:rPr>
              <w:t>0</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0E" w14:textId="0010050F">
            <w:pPr>
              <w:spacing w:after="0" w:line="269" w:lineRule="auto"/>
            </w:pPr>
            <w:r>
              <w:rPr>
                <w:b w:val="0"/>
                <w:color w:val="000000"/>
                <w:sz w:val="20"/>
              </w:rPr>
              <w:t>0</w:t>
            </w:r>
          </w:p>
        </w:tc>
      </w:tr>
      <w:tr>
        <w:trPr>
          <w:cantSplit/>
        </w:trPr>
        <w:tc>
          <w:tcPr>
            <w:tcW w:w="237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10" w14:textId="00100511">
            <w:pPr>
              <w:spacing w:after="0" w:line="269" w:lineRule="auto"/>
            </w:pPr>
            <w:r>
              <w:rPr>
                <w:b w:val="0"/>
                <w:color w:val="000000"/>
                <w:sz w:val="20"/>
              </w:rPr>
              <w:t>速度数值</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12" w14:textId="00100513">
            <w:pPr>
              <w:spacing w:after="0" w:line="269" w:lineRule="auto"/>
            </w:pPr>
            <w:r>
              <w:rPr>
                <w:b w:val="0"/>
                <w:color w:val="000000"/>
                <w:sz w:val="20"/>
              </w:rPr>
              <w:t>2</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14" w14:textId="00100515">
            <w:pPr>
              <w:spacing w:after="0" w:line="269" w:lineRule="auto"/>
            </w:pPr>
            <w:r>
              <w:rPr>
                <w:b w:val="0"/>
                <w:color w:val="000000"/>
                <w:sz w:val="20"/>
              </w:rPr>
              <w:t>14</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16" w14:textId="00100517">
            <w:pPr>
              <w:spacing w:after="0" w:line="269" w:lineRule="auto"/>
            </w:pPr>
            <w:r>
              <w:rPr>
                <w:b w:val="0"/>
                <w:color w:val="000000"/>
                <w:sz w:val="20"/>
              </w:rPr>
              <w:t>30</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18" w14:textId="00100519">
            <w:pPr>
              <w:spacing w:after="0" w:line="269" w:lineRule="auto"/>
            </w:pPr>
            <w:r>
              <w:rPr>
                <w:b w:val="0"/>
                <w:color w:val="000000"/>
                <w:sz w:val="20"/>
              </w:rPr>
              <w:t>57</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1A" w14:textId="0010051B">
            <w:pPr>
              <w:spacing w:after="0" w:line="269" w:lineRule="auto"/>
            </w:pPr>
            <w:r>
              <w:rPr>
                <w:b w:val="0"/>
                <w:color w:val="000000"/>
                <w:sz w:val="20"/>
              </w:rPr>
              <w:t>37</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1C" w14:textId="0010051D">
            <w:pPr>
              <w:spacing w:after="0" w:line="269" w:lineRule="auto"/>
            </w:pPr>
            <w:r>
              <w:rPr>
                <w:b w:val="0"/>
                <w:color w:val="000000"/>
                <w:sz w:val="20"/>
              </w:rPr>
              <w:t>30</w:t>
            </w:r>
          </w:p>
        </w:tc>
      </w:tr>
      <w:tr>
        <w:trPr>
          <w:cantSplit/>
        </w:trPr>
        <w:tc>
          <w:tcPr>
            <w:tcW w:w="237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1E" w14:textId="0010051F">
            <w:pPr>
              <w:spacing w:after="0" w:line="269" w:lineRule="auto"/>
            </w:pPr>
            <w:r>
              <w:rPr>
                <w:b w:val="0"/>
                <w:color w:val="000000"/>
                <w:sz w:val="20"/>
              </w:rPr>
              <w:t>速度置信度</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20" w14:textId="00100521">
            <w:pPr>
              <w:spacing w:after="0" w:line="269" w:lineRule="auto"/>
            </w:pPr>
            <w:r>
              <w:rPr>
                <w:b w:val="0"/>
                <w:color w:val="000000"/>
                <w:sz w:val="20"/>
              </w:rPr>
              <w:t>10</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22" w14:textId="00100523">
            <w:pPr>
              <w:spacing w:after="0" w:line="269" w:lineRule="auto"/>
            </w:pPr>
            <w:r>
              <w:rPr>
                <w:b w:val="0"/>
                <w:color w:val="000000"/>
                <w:sz w:val="20"/>
              </w:rPr>
              <w:t>50</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24" w14:textId="00100525">
            <w:pPr>
              <w:spacing w:after="0" w:line="269" w:lineRule="auto"/>
            </w:pPr>
            <w:r>
              <w:rPr>
                <w:b w:val="0"/>
                <w:color w:val="000000"/>
                <w:sz w:val="20"/>
              </w:rPr>
              <w:t>100</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26" w14:textId="00100527">
            <w:pPr>
              <w:spacing w:after="0" w:line="269" w:lineRule="auto"/>
            </w:pPr>
            <w:r>
              <w:rPr>
                <w:b w:val="0"/>
                <w:color w:val="000000"/>
                <w:sz w:val="20"/>
              </w:rPr>
              <w:t>200</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28" w14:textId="00100529">
            <w:pPr>
              <w:spacing w:after="0" w:line="269" w:lineRule="auto"/>
            </w:pPr>
            <w:r>
              <w:rPr>
                <w:b w:val="0"/>
                <w:color w:val="000000"/>
                <w:sz w:val="20"/>
              </w:rPr>
              <w:t>100</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2A" w14:textId="0010052B">
            <w:pPr>
              <w:spacing w:after="0" w:line="269" w:lineRule="auto"/>
            </w:pPr>
            <w:r>
              <w:rPr>
                <w:b w:val="0"/>
                <w:color w:val="000000"/>
                <w:sz w:val="20"/>
              </w:rPr>
              <w:t>100</w:t>
            </w:r>
          </w:p>
        </w:tc>
      </w:tr>
      <w:tr>
        <w:trPr>
          <w:cantSplit/>
        </w:trPr>
        <w:tc>
          <w:tcPr>
            <w:tcW w:w="237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2C" w14:textId="0010052D">
            <w:pPr>
              <w:spacing w:after="0" w:line="269" w:lineRule="auto"/>
            </w:pPr>
            <w:r>
              <w:rPr>
                <w:b w:val="0"/>
                <w:color w:val="000000"/>
                <w:sz w:val="20"/>
              </w:rPr>
              <w:t>加速判定</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2E" w14:textId="0010052F">
            <w:pPr>
              <w:spacing w:after="0" w:line="269" w:lineRule="auto"/>
            </w:pPr>
            <w:r>
              <w:rPr>
                <w:b w:val="0"/>
                <w:color w:val="000000"/>
                <w:sz w:val="20"/>
              </w:rPr>
              <w:t>0</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30" w14:textId="00100531">
            <w:pPr>
              <w:spacing w:after="0" w:line="269" w:lineRule="auto"/>
            </w:pPr>
            <w:r>
              <w:rPr>
                <w:b w:val="0"/>
                <w:color w:val="000000"/>
                <w:sz w:val="20"/>
              </w:rPr>
              <w:t>3</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32" w14:textId="00100533">
            <w:pPr>
              <w:spacing w:after="0" w:line="269" w:lineRule="auto"/>
            </w:pPr>
            <w:r>
              <w:rPr>
                <w:b w:val="0"/>
                <w:color w:val="000000"/>
                <w:sz w:val="20"/>
              </w:rPr>
              <w:t>6</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34" w14:textId="00100535">
            <w:pPr>
              <w:spacing w:after="0" w:line="269" w:lineRule="auto"/>
            </w:pPr>
            <w:r>
              <w:rPr>
                <w:b w:val="0"/>
                <w:color w:val="000000"/>
                <w:sz w:val="20"/>
              </w:rPr>
              <w:t>12</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36" w14:textId="00100537">
            <w:pPr>
              <w:spacing w:after="0" w:line="269" w:lineRule="auto"/>
            </w:pPr>
            <w:r>
              <w:rPr>
                <w:b w:val="0"/>
                <w:color w:val="000000"/>
                <w:sz w:val="20"/>
              </w:rPr>
              <w:t>7</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38" w14:textId="00100539">
            <w:pPr>
              <w:spacing w:after="0" w:line="269" w:lineRule="auto"/>
            </w:pPr>
            <w:r>
              <w:rPr>
                <w:b w:val="0"/>
                <w:color w:val="000000"/>
                <w:sz w:val="20"/>
              </w:rPr>
              <w:t>10</w:t>
            </w:r>
          </w:p>
        </w:tc>
      </w:tr>
      <w:tr>
        <w:trPr>
          <w:cantSplit/>
        </w:trPr>
        <w:tc>
          <w:tcPr>
            <w:tcW w:w="237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3A" w14:textId="0010053B">
            <w:pPr>
              <w:spacing w:after="0" w:line="269" w:lineRule="auto"/>
            </w:pPr>
            <w:r>
              <w:rPr>
                <w:b w:val="0"/>
                <w:color w:val="000000"/>
                <w:sz w:val="20"/>
              </w:rPr>
              <w:t>加速置信度</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3C" w14:textId="0010053D">
            <w:pPr>
              <w:spacing w:after="0" w:line="269" w:lineRule="auto"/>
            </w:pPr>
            <w:r>
              <w:rPr>
                <w:b w:val="0"/>
                <w:color w:val="000000"/>
                <w:sz w:val="20"/>
              </w:rPr>
              <w:t>10</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3E" w14:textId="0010053F">
            <w:pPr>
              <w:spacing w:after="0" w:line="269" w:lineRule="auto"/>
            </w:pPr>
            <w:r>
              <w:rPr>
                <w:b w:val="0"/>
                <w:color w:val="000000"/>
                <w:sz w:val="20"/>
              </w:rPr>
              <w:t>50</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40" w14:textId="00100541">
            <w:pPr>
              <w:spacing w:after="0" w:line="269" w:lineRule="auto"/>
            </w:pPr>
            <w:r>
              <w:rPr>
                <w:b w:val="0"/>
                <w:color w:val="000000"/>
                <w:sz w:val="20"/>
              </w:rPr>
              <w:t>100</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42" w14:textId="00100543">
            <w:pPr>
              <w:spacing w:after="0" w:line="269" w:lineRule="auto"/>
            </w:pPr>
            <w:r>
              <w:rPr>
                <w:b w:val="0"/>
                <w:color w:val="000000"/>
                <w:sz w:val="20"/>
              </w:rPr>
              <w:t>200</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44" w14:textId="00100545">
            <w:pPr>
              <w:spacing w:after="0" w:line="269" w:lineRule="auto"/>
            </w:pPr>
            <w:r>
              <w:rPr>
                <w:b w:val="0"/>
                <w:color w:val="000000"/>
                <w:sz w:val="20"/>
              </w:rPr>
              <w:t>100</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46" w14:textId="00100547">
            <w:pPr>
              <w:spacing w:after="0" w:line="269" w:lineRule="auto"/>
            </w:pPr>
            <w:r>
              <w:rPr>
                <w:b w:val="0"/>
                <w:color w:val="000000"/>
                <w:sz w:val="20"/>
              </w:rPr>
              <w:t>100</w:t>
            </w:r>
          </w:p>
        </w:tc>
      </w:tr>
      <w:tr>
        <w:trPr>
          <w:cantSplit/>
        </w:trPr>
        <w:tc>
          <w:tcPr>
            <w:tcW w:w="237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48" w14:textId="00100549">
            <w:pPr>
              <w:spacing w:after="0" w:line="269" w:lineRule="auto"/>
            </w:pPr>
            <w:r>
              <w:rPr>
                <w:b w:val="0"/>
                <w:color w:val="000000"/>
                <w:sz w:val="20"/>
              </w:rPr>
              <w:t>减速判定</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4A" w14:textId="0010054B">
            <w:pPr>
              <w:spacing w:after="0" w:line="269" w:lineRule="auto"/>
            </w:pPr>
            <w:r>
              <w:rPr>
                <w:b w:val="0"/>
                <w:color w:val="000000"/>
                <w:sz w:val="20"/>
              </w:rPr>
              <w:t>0</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4C" w14:textId="0010054D">
            <w:pPr>
              <w:spacing w:after="0" w:line="269" w:lineRule="auto"/>
            </w:pPr>
            <w:r>
              <w:rPr>
                <w:b w:val="0"/>
                <w:color w:val="000000"/>
                <w:sz w:val="20"/>
              </w:rPr>
              <w:t>4</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4E" w14:textId="0010054F">
            <w:pPr>
              <w:spacing w:after="0" w:line="269" w:lineRule="auto"/>
            </w:pPr>
            <w:r>
              <w:rPr>
                <w:b w:val="0"/>
                <w:color w:val="000000"/>
                <w:sz w:val="20"/>
              </w:rPr>
              <w:t>9</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50" w14:textId="00100551">
            <w:pPr>
              <w:spacing w:after="0" w:line="269" w:lineRule="auto"/>
            </w:pPr>
            <w:r>
              <w:rPr>
                <w:b w:val="0"/>
                <w:color w:val="000000"/>
                <w:sz w:val="20"/>
              </w:rPr>
              <w:t>18</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52" w14:textId="00100553">
            <w:pPr>
              <w:spacing w:after="0" w:line="269" w:lineRule="auto"/>
            </w:pPr>
            <w:r>
              <w:rPr>
                <w:b w:val="0"/>
                <w:color w:val="000000"/>
                <w:sz w:val="20"/>
              </w:rPr>
              <w:t>12</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54" w14:textId="00100555">
            <w:pPr>
              <w:spacing w:after="0" w:line="269" w:lineRule="auto"/>
            </w:pPr>
            <w:r>
              <w:rPr>
                <w:b w:val="0"/>
                <w:color w:val="000000"/>
                <w:sz w:val="20"/>
              </w:rPr>
              <w:t>7</w:t>
            </w:r>
          </w:p>
        </w:tc>
      </w:tr>
      <w:tr>
        <w:trPr>
          <w:cantSplit/>
        </w:trPr>
        <w:tc>
          <w:tcPr>
            <w:tcW w:w="237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56" w14:textId="00100557">
            <w:pPr>
              <w:spacing w:after="0" w:line="269" w:lineRule="auto"/>
            </w:pPr>
            <w:r>
              <w:rPr>
                <w:b w:val="0"/>
                <w:color w:val="000000"/>
                <w:sz w:val="20"/>
              </w:rPr>
              <w:t>减速置信度</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58" w14:textId="00100559">
            <w:pPr>
              <w:spacing w:after="0" w:line="269" w:lineRule="auto"/>
            </w:pPr>
            <w:r>
              <w:rPr>
                <w:b w:val="0"/>
                <w:color w:val="000000"/>
                <w:sz w:val="20"/>
              </w:rPr>
              <w:t>10</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5A" w14:textId="0010055B">
            <w:pPr>
              <w:spacing w:after="0" w:line="269" w:lineRule="auto"/>
            </w:pPr>
            <w:r>
              <w:rPr>
                <w:b w:val="0"/>
                <w:color w:val="000000"/>
                <w:sz w:val="20"/>
              </w:rPr>
              <w:t>50</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5C" w14:textId="0010055D">
            <w:pPr>
              <w:spacing w:after="0" w:line="269" w:lineRule="auto"/>
            </w:pPr>
            <w:r>
              <w:rPr>
                <w:b w:val="0"/>
                <w:color w:val="000000"/>
                <w:sz w:val="20"/>
              </w:rPr>
              <w:t>100</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5E" w14:textId="0010055F">
            <w:pPr>
              <w:spacing w:after="0" w:line="269" w:lineRule="auto"/>
            </w:pPr>
            <w:r>
              <w:rPr>
                <w:b w:val="0"/>
                <w:color w:val="000000"/>
                <w:sz w:val="20"/>
              </w:rPr>
              <w:t>200</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60" w14:textId="00100561">
            <w:pPr>
              <w:spacing w:after="0" w:line="269" w:lineRule="auto"/>
            </w:pPr>
            <w:r>
              <w:rPr>
                <w:b w:val="0"/>
                <w:color w:val="000000"/>
                <w:sz w:val="20"/>
              </w:rPr>
              <w:t>100</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62" w14:textId="00100563">
            <w:pPr>
              <w:spacing w:after="0" w:line="269" w:lineRule="auto"/>
            </w:pPr>
            <w:r>
              <w:rPr>
                <w:b w:val="0"/>
                <w:color w:val="000000"/>
                <w:sz w:val="20"/>
              </w:rPr>
              <w:t>100</w:t>
            </w:r>
          </w:p>
        </w:tc>
      </w:tr>
      <w:tr>
        <w:trPr>
          <w:cantSplit/>
        </w:trPr>
        <w:tc>
          <w:tcPr>
            <w:tcW w:w="237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64" w14:textId="00100565">
            <w:pPr>
              <w:spacing w:after="0" w:line="269" w:lineRule="auto"/>
            </w:pPr>
            <w:r>
              <w:rPr>
                <w:b w:val="0"/>
                <w:color w:val="000000"/>
                <w:sz w:val="20"/>
              </w:rPr>
              <w:t>转向判定</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66" w14:textId="00100567">
            <w:pPr>
              <w:spacing w:after="0" w:line="269" w:lineRule="auto"/>
            </w:pPr>
            <w:r>
              <w:rPr>
                <w:b w:val="0"/>
                <w:color w:val="000000"/>
                <w:sz w:val="20"/>
              </w:rPr>
              <w:t>0</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68" w14:textId="00100569">
            <w:pPr>
              <w:spacing w:after="0" w:line="269" w:lineRule="auto"/>
            </w:pPr>
            <w:r>
              <w:rPr>
                <w:b w:val="0"/>
                <w:color w:val="000000"/>
                <w:sz w:val="20"/>
              </w:rPr>
              <w:t>2</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6A" w14:textId="0010056B">
            <w:pPr>
              <w:spacing w:after="0" w:line="269" w:lineRule="auto"/>
            </w:pPr>
            <w:r>
              <w:rPr>
                <w:b w:val="0"/>
                <w:color w:val="000000"/>
                <w:sz w:val="20"/>
              </w:rPr>
              <w:t>3</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6C" w14:textId="0010056D">
            <w:pPr>
              <w:spacing w:after="0" w:line="269" w:lineRule="auto"/>
            </w:pPr>
            <w:r>
              <w:rPr>
                <w:b w:val="0"/>
                <w:color w:val="000000"/>
                <w:sz w:val="20"/>
              </w:rPr>
              <w:t>7</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6E" w14:textId="0010056F">
            <w:pPr>
              <w:spacing w:after="0" w:line="269" w:lineRule="auto"/>
            </w:pPr>
            <w:r>
              <w:rPr>
                <w:b w:val="0"/>
                <w:color w:val="000000"/>
                <w:sz w:val="20"/>
              </w:rPr>
              <w:t>1</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70" w14:textId="00100571">
            <w:pPr>
              <w:spacing w:after="0" w:line="269" w:lineRule="auto"/>
            </w:pPr>
            <w:r>
              <w:rPr>
                <w:b w:val="0"/>
                <w:color w:val="000000"/>
                <w:sz w:val="20"/>
              </w:rPr>
              <w:t>1</w:t>
            </w:r>
          </w:p>
        </w:tc>
      </w:tr>
      <w:tr>
        <w:trPr>
          <w:cantSplit/>
        </w:trPr>
        <w:tc>
          <w:tcPr>
            <w:tcW w:w="237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72" w14:textId="00100573">
            <w:pPr>
              <w:spacing w:after="0" w:line="269" w:lineRule="auto"/>
            </w:pPr>
            <w:r>
              <w:rPr>
                <w:b w:val="0"/>
                <w:color w:val="000000"/>
                <w:sz w:val="20"/>
              </w:rPr>
              <w:t>转向角度</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74" w14:textId="00100575">
            <w:pPr>
              <w:spacing w:after="0" w:line="269" w:lineRule="auto"/>
            </w:pPr>
            <w:r>
              <w:rPr>
                <w:b w:val="0"/>
                <w:color w:val="000000"/>
                <w:sz w:val="20"/>
              </w:rPr>
              <w:t>10</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76" w14:textId="00100577">
            <w:pPr>
              <w:spacing w:after="0" w:line="269" w:lineRule="auto"/>
            </w:pPr>
            <w:r>
              <w:rPr>
                <w:b w:val="0"/>
                <w:color w:val="000000"/>
                <w:sz w:val="20"/>
              </w:rPr>
              <w:t>49</w:t>
            </w:r>
          </w:p>
        </w:tc>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78" w14:textId="00100579">
            <w:pPr>
              <w:spacing w:after="0" w:line="269" w:lineRule="auto"/>
            </w:pPr>
            <w:r>
              <w:rPr>
                <w:b w:val="0"/>
                <w:color w:val="000000"/>
                <w:sz w:val="20"/>
              </w:rPr>
              <w:t>98</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7A" w14:textId="0010057B">
            <w:pPr>
              <w:spacing w:after="0" w:line="269" w:lineRule="auto"/>
            </w:pPr>
            <w:r>
              <w:rPr>
                <w:b w:val="0"/>
                <w:color w:val="000000"/>
                <w:sz w:val="20"/>
              </w:rPr>
              <w:t>196</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7C" w14:textId="0010057D">
            <w:pPr>
              <w:spacing w:after="0" w:line="269" w:lineRule="auto"/>
            </w:pPr>
            <w:r>
              <w:rPr>
                <w:b w:val="0"/>
                <w:color w:val="000000"/>
                <w:sz w:val="20"/>
              </w:rPr>
              <w:t>97</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7E" w14:textId="0010057F">
            <w:pPr>
              <w:spacing w:after="0" w:line="269" w:lineRule="auto"/>
            </w:pPr>
            <w:r>
              <w:rPr>
                <w:b w:val="0"/>
                <w:color w:val="000000"/>
                <w:sz w:val="20"/>
              </w:rPr>
              <w:t>97</w:t>
            </w:r>
          </w:p>
        </w:tc>
      </w:tr>
      <w:tr>
        <w:trPr>
          <w:cantSplit/>
        </w:trPr>
        <w:tc>
          <w:tcPr>
            <w:tcW w:w="237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80" w14:textId="00100581">
            <w:pPr>
              <w:spacing w:after="0" w:line="269" w:lineRule="auto"/>
            </w:pPr>
            <w:r>
              <w:rPr>
                <w:b w:val="0"/>
                <w:color w:val="000000"/>
                <w:sz w:val="20"/>
              </w:rPr>
              <w:t>转向置信度</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82" w14:textId="00100583">
            <w:pPr>
              <w:spacing w:after="0" w:line="269" w:lineRule="auto"/>
            </w:pPr>
            <w:r>
              <w:rPr>
                <w:b w:val="0"/>
                <w:color w:val="000000"/>
                <w:sz w:val="20"/>
              </w:rPr>
              <w:t>10</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84" w14:textId="00100585">
            <w:pPr>
              <w:spacing w:after="0" w:line="269" w:lineRule="auto"/>
            </w:pPr>
            <w:r>
              <w:rPr>
                <w:b w:val="0"/>
                <w:color w:val="000000"/>
                <w:sz w:val="20"/>
              </w:rPr>
              <w:t>50</w:t>
            </w:r>
          </w:p>
        </w:tc>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86" w14:textId="00100587">
            <w:pPr>
              <w:spacing w:after="0" w:line="269" w:lineRule="auto"/>
            </w:pPr>
            <w:r>
              <w:rPr>
                <w:b w:val="0"/>
                <w:color w:val="000000"/>
                <w:sz w:val="20"/>
              </w:rPr>
              <w:t>100</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88" w14:textId="00100589">
            <w:pPr>
              <w:spacing w:after="0" w:line="269" w:lineRule="auto"/>
            </w:pPr>
            <w:r>
              <w:rPr>
                <w:b w:val="0"/>
                <w:color w:val="000000"/>
                <w:sz w:val="20"/>
              </w:rPr>
              <w:t>200</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8A" w14:textId="0010058B">
            <w:pPr>
              <w:spacing w:after="0" w:line="269" w:lineRule="auto"/>
            </w:pPr>
            <w:r>
              <w:rPr>
                <w:b w:val="0"/>
                <w:color w:val="000000"/>
                <w:sz w:val="20"/>
              </w:rPr>
              <w:t>100</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8C" w14:textId="0010058D">
            <w:pPr>
              <w:spacing w:after="0" w:line="269" w:lineRule="auto"/>
            </w:pPr>
            <w:r>
              <w:rPr>
                <w:b w:val="0"/>
                <w:color w:val="000000"/>
                <w:sz w:val="20"/>
              </w:rPr>
              <w:t>100</w:t>
            </w:r>
          </w:p>
        </w:tc>
      </w:tr>
    </w:tbl>
    <w:p w14:paraId="0010058E" w14:textId="0010058F">
      <w:pPr>
        <w:spacing w:after="40"/>
      </w:pPr>
    </w:p>
    <w:p w14:paraId="00100590" w14:textId="00100591">
      <w:pPr>
        <w:pStyle w:val="Heading2"/>
      </w:pPr>
      <w:r>
        <w:t>差异来自方法和定义</w:t>
      </w:r>
    </w:p>
    <w:p w14:paraId="00100592" w14:textId="00100593">
      <w:pPr>
        <w:widowControl/>
      </w:pPr>
      <w:r>
        <w:rPr>
          <w:b w:val="0"/>
        </w:rPr>
        <w:t>100目标、120点场景中，速度最大差为0.092 m/s，6个目标加速判定不同、9个目标减速判定不同、3个目标转向判定不同。全部100个目标的若干置信度字段不同，说明置信度映射也发生了变化，不能仅用速度接近来证明整体等价。</w:t>
      </w:r>
    </w:p>
    <w:p w14:paraId="00100594" w14:textId="00100595">
      <w:pPr>
        <w:widowControl/>
      </w:pPr>
      <w:r>
        <w:rPr>
          <w:b w:val="0"/>
        </w:rPr>
        <w:t>旧路径使用窗口内极值比和航向范围；向量化路径使用前后半段均速及最后两段夹角，分析跨度、阈值和置信度映射有差异。这些变化应作为算法版本行为记录，并结合独立预期样例验证。</w:t>
      </w:r>
    </w:p>
    <w:p w14:paraId="00100596" w14:textId="00100597">
      <w:pPr>
        <w:pStyle w:val="Heading2"/>
      </w:pPr>
      <w:r>
        <w:t>评审与后续处理</w:t>
      </w:r>
    </w:p>
    <w:p w14:paraId="00100598" w14:textId="00100599">
      <w:pPr>
        <w:widowControl/>
      </w:pPr>
      <w:r>
        <w:rPr>
          <w:b w:val="0"/>
        </w:rPr>
        <w:t>可以展示批量实现的计算效率，但不能宣称优化保持了全部行为判定。后续应统一所需特征定义，或明确保留两套方法及各自测试标准，再使用独立标注数据评价误报、漏报和阈值合理性。</w:t>
      </w:r>
    </w:p>
    <w:p w14:paraId="0010059A" w14:textId="0010059B">
      <w:pPr>
        <w:widowControl/>
        <w:spacing w:line="276" w:lineRule="auto"/>
      </w:pPr>
      <w:r>
        <w:rPr>
          <w:b w:val="0"/>
          <w:sz w:val="18"/>
        </w:rPr>
        <w:t>实现与证据  results.json/components/behavior/differingTargetsByField。 仿真原始记录见E05至E08。</w:t>
      </w:r>
    </w:p>
    <w:p w14:paraId="0010059C" w14:textId="0010059D">
      <w:r>
        <w:br w:type="page"/>
      </w:r>
    </w:p>
    <w:p w14:paraId="0010059E" w14:textId="0010059F">
      <w:pPr>
        <w:pStyle w:val="Heading1"/>
      </w:pPr>
      <w:r>
        <w:t>18.5 轨迹跨度计算的矩阵化优化</w:t>
      </w:r>
    </w:p>
    <w:p w14:paraId="001005A0" w14:textId="001005A1">
      <w:pPr>
        <w:widowControl/>
      </w:pPr>
      <w:r>
        <w:rPr>
          <w:b w:val="0"/>
        </w:rPr>
        <w:t>轨迹跨度是观测窗口中任意两点距离的最大值。朴素实现遍历所有不重复点对并调用球面距离函数；当前生产实现将经纬度转为弧度，利用广播构造成对经纬差、Haversine中间量和距离矩阵，再取最大值。浮点中间量裁剪到有效范围。</w:t>
      </w:r>
    </w:p>
    <w:p w14:paraId="001005A2" w14:textId="001005A3">
      <w:pPr>
        <w:spacing w:before="100" w:after="160"/>
        <w:jc w:val="center"/>
      </w:pPr>
      <m:oMath>
        <m:r>
          <w:rPr>
            <w:rFonts w:ascii="Cambria Math" w:hAnsi="Cambria Math" w:eastAsia="Cambria Math"/>
            <w:sz w:val="22"/>
          </w:rPr>
          <m:t>D = </m:t>
        </m:r>
        <m:sSub>
          <m:e>
            <m:r>
              <w:rPr>
                <w:rFonts w:ascii="Cambria Math" w:hAnsi="Cambria Math" w:eastAsia="Cambria Math"/>
                <w:sz w:val="22"/>
              </w:rPr>
              <m:t>max</m:t>
            </m:r>
          </m:e>
          <m:sub>
            <m:r>
              <w:rPr>
                <w:rFonts w:ascii="Cambria Math" w:hAnsi="Cambria Math" w:eastAsia="Cambria Math"/>
                <w:sz w:val="22"/>
              </w:rPr>
              <m:t>i&lt;j</m:t>
            </m:r>
          </m:sub>
        </m:sSub>
        <m:r>
          <w:rPr>
            <w:rFonts w:ascii="Cambria Math" w:hAnsi="Cambria Math" w:eastAsia="Cambria Math"/>
            <w:sz w:val="22"/>
          </w:rPr>
          <m:t> d(</m:t>
        </m:r>
        <m:sSub>
          <m:e>
            <m:r>
              <w:rPr>
                <w:rFonts w:ascii="Cambria Math" w:hAnsi="Cambria Math" w:eastAsia="Cambria Math"/>
                <w:sz w:val="22"/>
              </w:rPr>
              <m:t>p</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p</m:t>
            </m:r>
          </m:e>
          <m:sub>
            <m:r>
              <w:rPr>
                <w:rFonts w:ascii="Cambria Math" w:hAnsi="Cambria Math" w:eastAsia="Cambria Math"/>
                <w:sz w:val="22"/>
              </w:rPr>
              <m:t>j</m:t>
            </m:r>
          </m:sub>
        </m:sSub>
        <m:r>
          <w:rPr>
            <w:rFonts w:ascii="Cambria Math" w:hAnsi="Cambria Math" w:eastAsia="Cambria Math"/>
            <w:sz w:val="22"/>
          </w:rPr>
          <m:t>),     K = </m:t>
        </m:r>
        <m:f>
          <m:num>
            <m:r>
              <w:rPr>
                <w:rFonts w:ascii="Cambria Math" w:hAnsi="Cambria Math" w:eastAsia="Cambria Math"/>
                <w:sz w:val="22"/>
              </w:rPr>
              <m:t>W(W − 1)</m:t>
            </m:r>
          </m:num>
          <m:den>
            <m:r>
              <w:rPr>
                <w:rFonts w:ascii="Cambria Math" w:hAnsi="Cambria Math" w:eastAsia="Cambria Math"/>
                <w:sz w:val="22"/>
              </w:rPr>
              <m:t>2</m:t>
            </m:r>
          </m:den>
        </m:f>
      </m:oMath>
      <w:r>
        <w:rPr>
          <w:sz w:val="18"/>
        </w:rPr>
        <w:t xml:space="preserve">    式20</w:t>
      </w:r>
    </w:p>
    <w:p w14:paraId="001005A4" w14:textId="001005A5">
      <w:pPr>
        <w:widowControl/>
      </w:pPr>
      <w:r>
        <w:rPr>
          <w:b w:val="0"/>
        </w:rPr>
        <w:t>240点对应28,680个不重复点对。优化把大量Python函数调用移到NumPy数组运算中，目标定义保持不变。本次通过AST直接抽取生产方法中的完整跨度代码块作为快速路径，参考路径调用同一个球面距离函数。</w:t>
      </w:r>
    </w:p>
    <w:tbl>
      <w:tblPr>
        <w:tblW w:w="0" w:type="auto"/>
        <w:jc w:val="center"/>
        <w:tblLayout w:type="fixed"/>
        <w:tblLook w:val="04A0" w:firstRow="1" w:lastRow="0" w:firstColumn="1" w:lastColumn="0" w:noHBand="0" w:noVBand="1"/>
      </w:tblPr>
      <w:tblGrid>
        <w:gridCol w:w="1224"/>
        <w:gridCol w:w="2232"/>
        <w:gridCol w:w="2232"/>
        <w:gridCol w:w="1584"/>
        <w:gridCol w:w="2664"/>
      </w:tblGrid>
      <w:tr>
        <w:trPr>
          <w:tblHeader/>
          <w:cantSplit/>
        </w:trPr>
        <w:tc>
          <w:tcPr>
            <w:tcW w:w="122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5A6" w14:textId="001005A7">
            <w:pPr>
              <w:spacing w:after="0" w:line="269" w:lineRule="auto"/>
              <w:jc w:val="center"/>
            </w:pPr>
            <w:r>
              <w:rPr>
                <w:b/>
                <w:color w:val="000000"/>
                <w:sz w:val="20"/>
              </w:rPr>
              <w:t>轨迹点数</w:t>
            </w:r>
          </w:p>
        </w:tc>
        <w:tc>
          <w:tcPr>
            <w:tcW w:w="223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5A8" w14:textId="001005A9">
            <w:pPr>
              <w:spacing w:after="0" w:line="269" w:lineRule="auto"/>
            </w:pPr>
            <w:r>
              <w:rPr>
                <w:b/>
                <w:color w:val="000000"/>
                <w:sz w:val="20"/>
              </w:rPr>
              <w:t>点对循环中位 ms</w:t>
            </w:r>
          </w:p>
        </w:tc>
        <w:tc>
          <w:tcPr>
            <w:tcW w:w="223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5AA" w14:textId="001005AB">
            <w:pPr>
              <w:spacing w:after="0" w:line="269" w:lineRule="auto"/>
            </w:pPr>
            <w:r>
              <w:rPr>
                <w:b/>
                <w:color w:val="000000"/>
                <w:sz w:val="20"/>
              </w:rPr>
              <w:t>矩阵实现中位 ms</w:t>
            </w:r>
          </w:p>
        </w:tc>
        <w:tc>
          <w:tcPr>
            <w:tcW w:w="158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5AC" w14:textId="001005AD">
            <w:pPr>
              <w:spacing w:after="0" w:line="269" w:lineRule="auto"/>
            </w:pPr>
            <w:r>
              <w:rPr>
                <w:b/>
                <w:color w:val="000000"/>
                <w:sz w:val="20"/>
              </w:rPr>
              <w:t>耗时比</w:t>
            </w:r>
          </w:p>
        </w:tc>
        <w:tc>
          <w:tcPr>
            <w:tcW w:w="266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5AE" w14:textId="001005AF">
            <w:pPr>
              <w:spacing w:after="0" w:line="269" w:lineRule="auto"/>
            </w:pPr>
            <w:r>
              <w:rPr>
                <w:b/>
                <w:color w:val="000000"/>
                <w:sz w:val="20"/>
              </w:rPr>
              <w:t>最大绝对差 m</w:t>
            </w:r>
          </w:p>
        </w:tc>
      </w:tr>
      <w:tr>
        <w:trPr>
          <w:cantSplit/>
        </w:trPr>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B0" w14:textId="001005B1">
            <w:pPr>
              <w:spacing w:after="0" w:line="269" w:lineRule="auto"/>
              <w:jc w:val="center"/>
            </w:pPr>
            <w:r>
              <w:rPr>
                <w:b w:val="0"/>
                <w:color w:val="000000"/>
                <w:sz w:val="20"/>
              </w:rPr>
              <w:t>30</w:t>
            </w:r>
          </w:p>
        </w:tc>
        <w:tc>
          <w:tcPr>
            <w:tcW w:w="223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B2" w14:textId="001005B3">
            <w:pPr>
              <w:spacing w:after="0" w:line="269" w:lineRule="auto"/>
            </w:pPr>
            <w:r>
              <w:rPr>
                <w:b w:val="0"/>
                <w:color w:val="000000"/>
                <w:sz w:val="20"/>
              </w:rPr>
              <w:t>0.35</w:t>
            </w:r>
          </w:p>
        </w:tc>
        <w:tc>
          <w:tcPr>
            <w:tcW w:w="223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B4" w14:textId="001005B5">
            <w:pPr>
              <w:spacing w:after="0" w:line="269" w:lineRule="auto"/>
            </w:pPr>
            <w:r>
              <w:rPr>
                <w:b w:val="0"/>
                <w:color w:val="000000"/>
                <w:sz w:val="20"/>
              </w:rPr>
              <w:t>0.02</w:t>
            </w:r>
          </w:p>
        </w:tc>
        <w:tc>
          <w:tcPr>
            <w:tcW w:w="158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B6" w14:textId="001005B7">
            <w:pPr>
              <w:spacing w:after="0" w:line="269" w:lineRule="auto"/>
            </w:pPr>
            <w:r>
              <w:rPr>
                <w:b w:val="0"/>
                <w:color w:val="000000"/>
                <w:sz w:val="20"/>
              </w:rPr>
              <w:t>14.91×</w:t>
            </w:r>
          </w:p>
        </w:tc>
        <w:tc>
          <w:tcPr>
            <w:tcW w:w="26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B8" w14:textId="001005B9">
            <w:pPr>
              <w:spacing w:after="0" w:line="269" w:lineRule="auto"/>
            </w:pPr>
            <w:r>
              <w:rPr>
                <w:b w:val="0"/>
                <w:color w:val="000000"/>
                <w:sz w:val="20"/>
              </w:rPr>
              <w:t>1.87e-09</w:t>
            </w:r>
          </w:p>
        </w:tc>
      </w:tr>
      <w:tr>
        <w:trPr>
          <w:cantSplit/>
        </w:trPr>
        <w:tc>
          <w:tcPr>
            <w:tcW w:w="12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BA" w14:textId="001005BB">
            <w:pPr>
              <w:spacing w:after="0" w:line="269" w:lineRule="auto"/>
              <w:jc w:val="center"/>
            </w:pPr>
            <w:r>
              <w:rPr>
                <w:b w:val="0"/>
                <w:color w:val="000000"/>
                <w:sz w:val="20"/>
              </w:rPr>
              <w:t>120</w:t>
            </w:r>
          </w:p>
        </w:tc>
        <w:tc>
          <w:tcPr>
            <w:tcW w:w="223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BC" w14:textId="001005BD">
            <w:pPr>
              <w:spacing w:after="0" w:line="269" w:lineRule="auto"/>
            </w:pPr>
            <w:r>
              <w:rPr>
                <w:b w:val="0"/>
                <w:color w:val="000000"/>
                <w:sz w:val="20"/>
              </w:rPr>
              <w:t>4.64</w:t>
            </w:r>
          </w:p>
        </w:tc>
        <w:tc>
          <w:tcPr>
            <w:tcW w:w="223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BE" w14:textId="001005BF">
            <w:pPr>
              <w:spacing w:after="0" w:line="269" w:lineRule="auto"/>
            </w:pPr>
            <w:r>
              <w:rPr>
                <w:b w:val="0"/>
                <w:color w:val="000000"/>
                <w:sz w:val="20"/>
              </w:rPr>
              <w:t>0.23</w:t>
            </w:r>
          </w:p>
        </w:tc>
        <w:tc>
          <w:tcPr>
            <w:tcW w:w="158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C0" w14:textId="001005C1">
            <w:pPr>
              <w:spacing w:after="0" w:line="269" w:lineRule="auto"/>
            </w:pPr>
            <w:r>
              <w:rPr>
                <w:b w:val="0"/>
                <w:color w:val="000000"/>
                <w:sz w:val="20"/>
              </w:rPr>
              <w:t>20.07×</w:t>
            </w:r>
          </w:p>
        </w:tc>
        <w:tc>
          <w:tcPr>
            <w:tcW w:w="26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C2" w14:textId="001005C3">
            <w:pPr>
              <w:spacing w:after="0" w:line="269" w:lineRule="auto"/>
            </w:pPr>
            <w:r>
              <w:rPr>
                <w:b w:val="0"/>
                <w:color w:val="000000"/>
                <w:sz w:val="20"/>
              </w:rPr>
              <w:t>1.65e-09</w:t>
            </w:r>
          </w:p>
        </w:tc>
      </w:tr>
      <w:tr>
        <w:trPr>
          <w:cantSplit/>
        </w:trPr>
        <w:tc>
          <w:tcPr>
            <w:tcW w:w="12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C4" w14:textId="001005C5">
            <w:pPr>
              <w:spacing w:after="0" w:line="269" w:lineRule="auto"/>
              <w:jc w:val="center"/>
            </w:pPr>
            <w:r>
              <w:rPr>
                <w:b w:val="0"/>
                <w:color w:val="000000"/>
                <w:sz w:val="20"/>
              </w:rPr>
              <w:t>240</w:t>
            </w:r>
          </w:p>
        </w:tc>
        <w:tc>
          <w:tcPr>
            <w:tcW w:w="223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C6" w14:textId="001005C7">
            <w:pPr>
              <w:spacing w:after="0" w:line="269" w:lineRule="auto"/>
            </w:pPr>
            <w:r>
              <w:rPr>
                <w:b w:val="0"/>
                <w:color w:val="000000"/>
                <w:sz w:val="20"/>
              </w:rPr>
              <w:t>20.79</w:t>
            </w:r>
          </w:p>
        </w:tc>
        <w:tc>
          <w:tcPr>
            <w:tcW w:w="223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C8" w14:textId="001005C9">
            <w:pPr>
              <w:spacing w:after="0" w:line="269" w:lineRule="auto"/>
            </w:pPr>
            <w:r>
              <w:rPr>
                <w:b w:val="0"/>
                <w:color w:val="000000"/>
                <w:sz w:val="20"/>
              </w:rPr>
              <w:t>0.86</w:t>
            </w:r>
          </w:p>
        </w:tc>
        <w:tc>
          <w:tcPr>
            <w:tcW w:w="158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CA" w14:textId="001005CB">
            <w:pPr>
              <w:spacing w:after="0" w:line="269" w:lineRule="auto"/>
            </w:pPr>
            <w:r>
              <w:rPr>
                <w:b w:val="0"/>
                <w:color w:val="000000"/>
                <w:sz w:val="20"/>
              </w:rPr>
              <w:t>24.09×</w:t>
            </w:r>
          </w:p>
        </w:tc>
        <w:tc>
          <w:tcPr>
            <w:tcW w:w="26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CC" w14:textId="001005CD">
            <w:pPr>
              <w:spacing w:after="0" w:line="269" w:lineRule="auto"/>
            </w:pPr>
            <w:r>
              <w:rPr>
                <w:b w:val="0"/>
                <w:color w:val="000000"/>
                <w:sz w:val="20"/>
              </w:rPr>
              <w:t>1.61e-09</w:t>
            </w:r>
          </w:p>
        </w:tc>
      </w:tr>
    </w:tbl>
    <w:p w14:paraId="001005CE" w14:textId="001005CF">
      <w:pPr>
        <w:spacing w:after="40"/>
      </w:pPr>
    </w:p>
    <w:p w14:paraId="001005D0" w14:textId="001005D1">
      <w:pPr>
        <w:widowControl/>
      </w:pPr>
      <w:r>
        <w:rPr>
          <w:b w:val="0"/>
        </w:rPr>
        <w:t xml:space="preserve">每种长度核对5条轨迹；慢速参考计时10次、快速路径30次，均先预热。快速计时包含AST执行封装开销。所有比较的最大绝对差均小于 </w:t>
      </w:r>
      <m:oMath>
        <m:r>
          <w:rPr>
            <w:rFonts w:ascii="Cambria Math" w:hAnsi="Cambria Math" w:eastAsia="Cambria Math"/>
            <w:sz w:val="22"/>
          </w:rPr>
          <m:t>2 × </m:t>
        </m:r>
        <m:sSup>
          <m:e>
            <m:r>
              <w:rPr>
                <w:rFonts w:ascii="Cambria Math" w:hAnsi="Cambria Math" w:eastAsia="Cambria Math"/>
                <w:sz w:val="22"/>
              </w:rPr>
              <m:t>10</m:t>
            </m:r>
          </m:e>
          <m:sup>
            <m:r>
              <w:rPr>
                <w:rFonts w:ascii="Cambria Math" w:hAnsi="Cambria Math" w:eastAsia="Cambria Math"/>
                <w:sz w:val="22"/>
              </w:rPr>
              <m:t>−9</m:t>
            </m:r>
          </m:sup>
        </m:sSup>
      </m:oMath>
      <w:r>
        <w:t xml:space="preserve"> 米，支持这些样本上的数值一致性。</w:t>
      </w:r>
    </w:p>
    <w:p w14:paraId="001005D2" w14:textId="001005D3">
      <w:pPr>
        <w:widowControl/>
      </w:pPr>
      <w:r>
        <w:rPr>
          <w:b w:val="0"/>
        </w:rPr>
        <w:t xml:space="preserve">矩阵方案的计算和矩阵内存仍近似按 </w:t>
      </w:r>
      <m:oMath>
        <m:r>
          <w:rPr>
            <w:rFonts w:ascii="Cambria Math" w:hAnsi="Cambria Math" w:eastAsia="Cambria Math"/>
            <w:sz w:val="22"/>
          </w:rPr>
          <m:t>O(</m:t>
        </m:r>
        <m:sSup>
          <m:e>
            <m:r>
              <w:rPr>
                <w:rFonts w:ascii="Cambria Math" w:hAnsi="Cambria Math" w:eastAsia="Cambria Math"/>
                <w:sz w:val="22"/>
              </w:rPr>
              <m:t>W</m:t>
            </m:r>
          </m:e>
          <m:sup>
            <m:r>
              <w:rPr>
                <w:rFonts w:ascii="Cambria Math" w:hAnsi="Cambria Math" w:eastAsia="Cambria Math"/>
                <w:sz w:val="22"/>
              </w:rPr>
              <m:t>2</m:t>
            </m:r>
          </m:sup>
        </m:sSup>
        <m:r>
          <w:rPr>
            <w:rFonts w:ascii="Cambria Math" w:hAnsi="Cambria Math" w:eastAsia="Cambria Math"/>
            <w:sz w:val="22"/>
          </w:rPr>
          <m:t>)</m:t>
        </m:r>
      </m:oMath>
      <w:r>
        <w:t>增长，240点局部约24倍的收益不能直接外推为整个请求加速24倍。长窗口仍应保留有效点数上限。</w:t>
      </w:r>
    </w:p>
    <w:p w14:paraId="001005D4" w14:textId="001005D5">
      <w:pPr>
        <w:widowControl/>
        <w:spacing w:line="276" w:lineRule="auto"/>
      </w:pPr>
      <w:r>
        <w:rPr>
          <w:b w:val="0"/>
          <w:sz w:val="18"/>
        </w:rPr>
        <w:t>实现与证据  engine.py/_compute_member_intent_features；results.json/components/span。 仿真原始记录见E05至E08。</w:t>
      </w:r>
    </w:p>
    <w:p w14:paraId="001005D6" w14:textId="001005D7">
      <w:r>
        <w:br w:type="page"/>
      </w:r>
    </w:p>
    <w:p w14:paraId="001005D8" w14:textId="001005D9">
      <w:pPr>
        <w:pStyle w:val="Heading1"/>
      </w:pPr>
      <w:r>
        <w:t>18.6 KD tree回退分组的优化与适用条件</w:t>
      </w:r>
    </w:p>
    <w:p w14:paraId="001005DA" w14:textId="001005DB">
      <w:pPr>
        <w:widowControl/>
      </w:pPr>
      <w:r>
        <w:rPr>
          <w:b w:val="0"/>
        </w:rPr>
        <w:t>当适配器没有可用分组时，引擎按250米距离和50度航向差构造连通分组。目标数超过10时，用地心弦坐标建立cKDTree，查询候选邻居，再用真实球面距离与航向核验；ID到索引的字典替代重复list.index查找。</w:t>
      </w:r>
    </w:p>
    <w:p w14:paraId="001005DC" w14:textId="001005DD">
      <w:pPr>
        <w:spacing w:before="100" w:after="160"/>
        <w:jc w:val="center"/>
      </w:pPr>
      <m:oMath>
        <m:sSub>
          <m:e>
            <m:r>
              <w:rPr>
                <w:rFonts w:ascii="Cambria Math" w:hAnsi="Cambria Math" w:eastAsia="Cambria Math"/>
                <w:sz w:val="22"/>
              </w:rPr>
              <m:t>r</m:t>
            </m:r>
          </m:e>
          <m:sub>
            <m:r>
              <w:rPr>
                <w:rFonts w:ascii="Cambria Math" w:hAnsi="Cambria Math" w:eastAsia="Cambria Math"/>
                <w:sz w:val="22"/>
              </w:rPr>
              <m:t>chord</m:t>
            </m:r>
          </m:sub>
        </m:sSub>
        <m:r>
          <w:rPr>
            <w:rFonts w:ascii="Cambria Math" w:hAnsi="Cambria Math" w:eastAsia="Cambria Math"/>
            <w:sz w:val="22"/>
          </w:rPr>
          <m:t> = 2R sin</m:t>
        </m:r>
        <m:d>
          <m:dPr>
            <m:begChr m:val="("/>
            <m:endChr m:val=")"/>
          </m:dPr>
          <m:e>
            <m:f>
              <m:num>
                <m:r>
                  <w:rPr>
                    <w:rFonts w:ascii="Cambria Math" w:hAnsi="Cambria Math" w:eastAsia="Cambria Math"/>
                    <w:sz w:val="22"/>
                  </w:rPr>
                  <m:t>min</m:t>
                </m:r>
                <m:d>
                  <m:dPr>
                    <m:begChr m:val="("/>
                    <m:endChr m:val=")"/>
                  </m:dPr>
                  <m:e>
                    <m:f>
                      <m:num>
                        <m:r>
                          <w:rPr>
                            <w:rFonts w:ascii="Cambria Math" w:hAnsi="Cambria Math" w:eastAsia="Cambria Math"/>
                            <w:sz w:val="22"/>
                          </w:rPr>
                          <m:t>d</m:t>
                        </m:r>
                      </m:num>
                      <m:den>
                        <m:r>
                          <w:rPr>
                            <w:rFonts w:ascii="Cambria Math" w:hAnsi="Cambria Math" w:eastAsia="Cambria Math"/>
                            <w:sz w:val="22"/>
                          </w:rPr>
                          <m:t>R</m:t>
                        </m:r>
                      </m:den>
                    </m:f>
                    <m:r>
                      <w:rPr>
                        <w:rFonts w:ascii="Cambria Math" w:hAnsi="Cambria Math" w:eastAsia="Cambria Math"/>
                        <w:sz w:val="22"/>
                      </w:rPr>
                      <m:t>, π</m:t>
                    </m:r>
                  </m:e>
                </m:d>
              </m:num>
              <m:den>
                <m:r>
                  <w:rPr>
                    <w:rFonts w:ascii="Cambria Math" w:hAnsi="Cambria Math" w:eastAsia="Cambria Math"/>
                    <w:sz w:val="22"/>
                  </w:rPr>
                  <m:t>2</m:t>
                </m:r>
              </m:den>
            </m:f>
          </m:e>
        </m:d>
      </m:oMath>
      <w:r>
        <w:rPr>
          <w:sz w:val="18"/>
        </w:rPr>
        <w:t xml:space="preserve">    式21</w:t>
      </w:r>
    </w:p>
    <w:p w14:paraId="001005DE" w14:textId="001005DF">
      <w:pPr>
        <w:widowControl/>
      </w:pPr>
      <w:r>
        <w:rPr>
          <w:b w:val="0"/>
        </w:rPr>
        <w:t>式21把球面距离阈值转换为同单位的弦长半径，避免把经纬度与米制阈值混用。本次实际调用生产_clusters，仅将后续集群评估替换为返回成员ID的桩函数；参考为当前距离与航向语义的朴素连通分组。</w:t>
      </w:r>
    </w:p>
    <w:tbl>
      <w:tblPr>
        <w:tblW w:w="0" w:type="auto"/>
        <w:jc w:val="center"/>
        <w:tblLayout w:type="fixed"/>
        <w:tblLook w:val="04A0" w:firstRow="1" w:lastRow="0" w:firstColumn="1" w:lastColumn="0" w:noHBand="0" w:noVBand="1"/>
      </w:tblPr>
      <w:tblGrid>
        <w:gridCol w:w="864"/>
        <w:gridCol w:w="936"/>
        <w:gridCol w:w="2088"/>
        <w:gridCol w:w="2088"/>
        <w:gridCol w:w="1440"/>
        <w:gridCol w:w="2520"/>
      </w:tblGrid>
      <w:tr>
        <w:trPr>
          <w:tblHeader/>
          <w:cantSplit/>
        </w:trPr>
        <w:tc>
          <w:tcPr>
            <w:tcW w:w="86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5E0" w14:textId="001005E1">
            <w:pPr>
              <w:spacing w:after="0" w:line="269" w:lineRule="auto"/>
              <w:jc w:val="center"/>
            </w:pPr>
            <w:r>
              <w:rPr>
                <w:b/>
                <w:color w:val="000000"/>
                <w:sz w:val="20"/>
              </w:rPr>
              <w:t>布局</w:t>
            </w:r>
          </w:p>
        </w:tc>
        <w:tc>
          <w:tcPr>
            <w:tcW w:w="93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5E2" w14:textId="001005E3">
            <w:pPr>
              <w:spacing w:after="0" w:line="269" w:lineRule="auto"/>
            </w:pPr>
            <w:r>
              <w:rPr>
                <w:b/>
                <w:color w:val="000000"/>
                <w:sz w:val="20"/>
              </w:rPr>
              <w:t>目标数</w:t>
            </w:r>
          </w:p>
        </w:tc>
        <w:tc>
          <w:tcPr>
            <w:tcW w:w="208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5E4" w14:textId="001005E5">
            <w:pPr>
              <w:spacing w:after="0" w:line="269" w:lineRule="auto"/>
            </w:pPr>
            <w:r>
              <w:rPr>
                <w:b/>
                <w:color w:val="000000"/>
                <w:sz w:val="20"/>
              </w:rPr>
              <w:t>朴素中位 ms</w:t>
            </w:r>
          </w:p>
        </w:tc>
        <w:tc>
          <w:tcPr>
            <w:tcW w:w="208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5E6" w14:textId="001005E7">
            <w:pPr>
              <w:spacing w:after="0" w:line="269" w:lineRule="auto"/>
            </w:pPr>
            <w:r>
              <w:rPr>
                <w:b/>
                <w:color w:val="000000"/>
                <w:sz w:val="20"/>
              </w:rPr>
              <w:t>当前中位 ms</w:t>
            </w:r>
          </w:p>
        </w:tc>
        <w:tc>
          <w:tcPr>
            <w:tcW w:w="144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5E8" w14:textId="001005E9">
            <w:pPr>
              <w:spacing w:after="0" w:line="269" w:lineRule="auto"/>
            </w:pPr>
            <w:r>
              <w:rPr>
                <w:b/>
                <w:color w:val="000000"/>
                <w:sz w:val="20"/>
              </w:rPr>
              <w:t>耗时比</w:t>
            </w:r>
          </w:p>
        </w:tc>
        <w:tc>
          <w:tcPr>
            <w:tcW w:w="252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5EA" w14:textId="001005EB">
            <w:pPr>
              <w:spacing w:after="0" w:line="269" w:lineRule="auto"/>
            </w:pPr>
            <w:r>
              <w:rPr>
                <w:b/>
                <w:color w:val="000000"/>
                <w:sz w:val="20"/>
              </w:rPr>
              <w:t>成员集合</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EC" w14:textId="001005ED">
            <w:pPr>
              <w:spacing w:after="0" w:line="269" w:lineRule="auto"/>
              <w:jc w:val="center"/>
            </w:pPr>
            <w:r>
              <w:rPr>
                <w:b w:val="0"/>
                <w:color w:val="000000"/>
                <w:sz w:val="20"/>
              </w:rPr>
              <w:t>分散</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EE" w14:textId="001005EF">
            <w:pPr>
              <w:spacing w:after="0" w:line="269" w:lineRule="auto"/>
            </w:pPr>
            <w:r>
              <w:rPr>
                <w:b w:val="0"/>
                <w:color w:val="000000"/>
                <w:sz w:val="20"/>
              </w:rPr>
              <w:t>10</w:t>
            </w:r>
          </w:p>
        </w:tc>
        <w:tc>
          <w:tcPr>
            <w:tcW w:w="208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F0" w14:textId="001005F1">
            <w:pPr>
              <w:spacing w:after="0" w:line="269" w:lineRule="auto"/>
            </w:pPr>
            <w:r>
              <w:rPr>
                <w:b w:val="0"/>
                <w:color w:val="000000"/>
                <w:sz w:val="20"/>
              </w:rPr>
              <w:t>0.03</w:t>
            </w:r>
          </w:p>
        </w:tc>
        <w:tc>
          <w:tcPr>
            <w:tcW w:w="208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F2" w14:textId="001005F3">
            <w:pPr>
              <w:spacing w:after="0" w:line="269" w:lineRule="auto"/>
            </w:pPr>
            <w:r>
              <w:rPr>
                <w:b w:val="0"/>
                <w:color w:val="000000"/>
                <w:sz w:val="20"/>
              </w:rPr>
              <w:t>0.03</w:t>
            </w:r>
          </w:p>
        </w:tc>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F4" w14:textId="001005F5">
            <w:pPr>
              <w:spacing w:after="0" w:line="269" w:lineRule="auto"/>
            </w:pPr>
            <w:r>
              <w:rPr>
                <w:b w:val="0"/>
                <w:color w:val="000000"/>
                <w:sz w:val="20"/>
              </w:rPr>
              <w:t>0.80×</w:t>
            </w:r>
          </w:p>
        </w:tc>
        <w:tc>
          <w:tcPr>
            <w:tcW w:w="25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5F6" w14:textId="001005F7">
            <w:pPr>
              <w:spacing w:after="0" w:line="269" w:lineRule="auto"/>
            </w:pPr>
            <w:r>
              <w:rPr>
                <w:b w:val="0"/>
                <w:color w:val="000000"/>
                <w:sz w:val="20"/>
              </w:rPr>
              <w:t>3/3一致</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F8" w14:textId="001005F9">
            <w:pPr>
              <w:spacing w:after="0" w:line="269" w:lineRule="auto"/>
              <w:jc w:val="center"/>
            </w:pPr>
            <w:r>
              <w:rPr>
                <w:b w:val="0"/>
                <w:color w:val="000000"/>
                <w:sz w:val="20"/>
              </w:rPr>
              <w:t>分散</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FA" w14:textId="001005FB">
            <w:pPr>
              <w:spacing w:after="0" w:line="269" w:lineRule="auto"/>
            </w:pPr>
            <w:r>
              <w:rPr>
                <w:b w:val="0"/>
                <w:color w:val="000000"/>
                <w:sz w:val="20"/>
              </w:rPr>
              <w:t>50</w:t>
            </w:r>
          </w:p>
        </w:tc>
        <w:tc>
          <w:tcPr>
            <w:tcW w:w="208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FC" w14:textId="001005FD">
            <w:pPr>
              <w:spacing w:after="0" w:line="269" w:lineRule="auto"/>
            </w:pPr>
            <w:r>
              <w:rPr>
                <w:b w:val="0"/>
                <w:color w:val="000000"/>
                <w:sz w:val="20"/>
              </w:rPr>
              <w:t>0.89</w:t>
            </w:r>
          </w:p>
        </w:tc>
        <w:tc>
          <w:tcPr>
            <w:tcW w:w="208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5FE" w14:textId="001005FF">
            <w:pPr>
              <w:spacing w:after="0" w:line="269" w:lineRule="auto"/>
            </w:pPr>
            <w:r>
              <w:rPr>
                <w:b w:val="0"/>
                <w:color w:val="000000"/>
                <w:sz w:val="20"/>
              </w:rPr>
              <w:t>0.31</w:t>
            </w:r>
          </w:p>
        </w:tc>
        <w:tc>
          <w:tcPr>
            <w:tcW w:w="144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00" w14:textId="00100601">
            <w:pPr>
              <w:spacing w:after="0" w:line="269" w:lineRule="auto"/>
            </w:pPr>
            <w:r>
              <w:rPr>
                <w:b w:val="0"/>
                <w:color w:val="000000"/>
                <w:sz w:val="20"/>
              </w:rPr>
              <w:t>2.85×</w:t>
            </w:r>
          </w:p>
        </w:tc>
        <w:tc>
          <w:tcPr>
            <w:tcW w:w="25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02" w14:textId="00100603">
            <w:pPr>
              <w:spacing w:after="0" w:line="269" w:lineRule="auto"/>
            </w:pPr>
            <w:r>
              <w:rPr>
                <w:b w:val="0"/>
                <w:color w:val="000000"/>
                <w:sz w:val="20"/>
              </w:rPr>
              <w:t>3/3一致</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04" w14:textId="00100605">
            <w:pPr>
              <w:spacing w:after="0" w:line="269" w:lineRule="auto"/>
              <w:jc w:val="center"/>
            </w:pPr>
            <w:r>
              <w:rPr>
                <w:b w:val="0"/>
                <w:color w:val="000000"/>
                <w:sz w:val="20"/>
              </w:rPr>
              <w:t>分散</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06" w14:textId="00100607">
            <w:pPr>
              <w:spacing w:after="0" w:line="269" w:lineRule="auto"/>
            </w:pPr>
            <w:r>
              <w:rPr>
                <w:b w:val="0"/>
                <w:color w:val="000000"/>
                <w:sz w:val="20"/>
              </w:rPr>
              <w:t>100</w:t>
            </w:r>
          </w:p>
        </w:tc>
        <w:tc>
          <w:tcPr>
            <w:tcW w:w="208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08" w14:textId="00100609">
            <w:pPr>
              <w:spacing w:after="0" w:line="269" w:lineRule="auto"/>
            </w:pPr>
            <w:r>
              <w:rPr>
                <w:b w:val="0"/>
                <w:color w:val="000000"/>
                <w:sz w:val="20"/>
              </w:rPr>
              <w:t>4.04</w:t>
            </w:r>
          </w:p>
        </w:tc>
        <w:tc>
          <w:tcPr>
            <w:tcW w:w="208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0A" w14:textId="0010060B">
            <w:pPr>
              <w:spacing w:after="0" w:line="269" w:lineRule="auto"/>
            </w:pPr>
            <w:r>
              <w:rPr>
                <w:b w:val="0"/>
                <w:color w:val="000000"/>
                <w:sz w:val="20"/>
              </w:rPr>
              <w:t>0.93</w:t>
            </w:r>
          </w:p>
        </w:tc>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0C" w14:textId="0010060D">
            <w:pPr>
              <w:spacing w:after="0" w:line="269" w:lineRule="auto"/>
            </w:pPr>
            <w:r>
              <w:rPr>
                <w:b w:val="0"/>
                <w:color w:val="000000"/>
                <w:sz w:val="20"/>
              </w:rPr>
              <w:t>4.36×</w:t>
            </w:r>
          </w:p>
        </w:tc>
        <w:tc>
          <w:tcPr>
            <w:tcW w:w="25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0E" w14:textId="0010060F">
            <w:pPr>
              <w:spacing w:after="0" w:line="269" w:lineRule="auto"/>
            </w:pPr>
            <w:r>
              <w:rPr>
                <w:b w:val="0"/>
                <w:color w:val="000000"/>
                <w:sz w:val="20"/>
              </w:rPr>
              <w:t>3/3一致</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10" w14:textId="00100611">
            <w:pPr>
              <w:spacing w:after="0" w:line="269" w:lineRule="auto"/>
              <w:jc w:val="center"/>
            </w:pPr>
            <w:r>
              <w:rPr>
                <w:b w:val="0"/>
                <w:color w:val="000000"/>
                <w:sz w:val="20"/>
              </w:rPr>
              <w:t>分散</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12" w14:textId="00100613">
            <w:pPr>
              <w:spacing w:after="0" w:line="269" w:lineRule="auto"/>
            </w:pPr>
            <w:r>
              <w:rPr>
                <w:b w:val="0"/>
                <w:color w:val="000000"/>
                <w:sz w:val="20"/>
              </w:rPr>
              <w:t>200</w:t>
            </w:r>
          </w:p>
        </w:tc>
        <w:tc>
          <w:tcPr>
            <w:tcW w:w="208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14" w14:textId="00100615">
            <w:pPr>
              <w:spacing w:after="0" w:line="269" w:lineRule="auto"/>
            </w:pPr>
            <w:r>
              <w:rPr>
                <w:b w:val="0"/>
                <w:color w:val="000000"/>
                <w:sz w:val="20"/>
              </w:rPr>
              <w:t>18.21</w:t>
            </w:r>
          </w:p>
        </w:tc>
        <w:tc>
          <w:tcPr>
            <w:tcW w:w="208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16" w14:textId="00100617">
            <w:pPr>
              <w:spacing w:after="0" w:line="269" w:lineRule="auto"/>
            </w:pPr>
            <w:r>
              <w:rPr>
                <w:b w:val="0"/>
                <w:color w:val="000000"/>
                <w:sz w:val="20"/>
              </w:rPr>
              <w:t>1.71</w:t>
            </w:r>
          </w:p>
        </w:tc>
        <w:tc>
          <w:tcPr>
            <w:tcW w:w="144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18" w14:textId="00100619">
            <w:pPr>
              <w:spacing w:after="0" w:line="269" w:lineRule="auto"/>
            </w:pPr>
            <w:r>
              <w:rPr>
                <w:b w:val="0"/>
                <w:color w:val="000000"/>
                <w:sz w:val="20"/>
              </w:rPr>
              <w:t>10.68×</w:t>
            </w:r>
          </w:p>
        </w:tc>
        <w:tc>
          <w:tcPr>
            <w:tcW w:w="25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1A" w14:textId="0010061B">
            <w:pPr>
              <w:spacing w:after="0" w:line="269" w:lineRule="auto"/>
            </w:pPr>
            <w:r>
              <w:rPr>
                <w:b w:val="0"/>
                <w:color w:val="000000"/>
                <w:sz w:val="20"/>
              </w:rPr>
              <w:t>3/3一致</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1C" w14:textId="0010061D">
            <w:pPr>
              <w:spacing w:after="0" w:line="269" w:lineRule="auto"/>
              <w:jc w:val="center"/>
            </w:pPr>
            <w:r>
              <w:rPr>
                <w:b w:val="0"/>
                <w:color w:val="000000"/>
                <w:sz w:val="20"/>
              </w:rPr>
              <w:t>密集</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1E" w14:textId="0010061F">
            <w:pPr>
              <w:spacing w:after="0" w:line="269" w:lineRule="auto"/>
            </w:pPr>
            <w:r>
              <w:rPr>
                <w:b w:val="0"/>
                <w:color w:val="000000"/>
                <w:sz w:val="20"/>
              </w:rPr>
              <w:t>10</w:t>
            </w:r>
          </w:p>
        </w:tc>
        <w:tc>
          <w:tcPr>
            <w:tcW w:w="208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20" w14:textId="00100621">
            <w:pPr>
              <w:spacing w:after="0" w:line="269" w:lineRule="auto"/>
            </w:pPr>
            <w:r>
              <w:rPr>
                <w:b w:val="0"/>
                <w:color w:val="000000"/>
                <w:sz w:val="20"/>
              </w:rPr>
              <w:t>0.02</w:t>
            </w:r>
          </w:p>
        </w:tc>
        <w:tc>
          <w:tcPr>
            <w:tcW w:w="208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22" w14:textId="00100623">
            <w:pPr>
              <w:spacing w:after="0" w:line="269" w:lineRule="auto"/>
            </w:pPr>
            <w:r>
              <w:rPr>
                <w:b w:val="0"/>
                <w:color w:val="000000"/>
                <w:sz w:val="20"/>
              </w:rPr>
              <w:t>0.02</w:t>
            </w:r>
          </w:p>
        </w:tc>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24" w14:textId="00100625">
            <w:pPr>
              <w:spacing w:after="0" w:line="269" w:lineRule="auto"/>
            </w:pPr>
            <w:r>
              <w:rPr>
                <w:b w:val="0"/>
                <w:color w:val="000000"/>
                <w:sz w:val="20"/>
              </w:rPr>
              <w:t>0.73×</w:t>
            </w:r>
          </w:p>
        </w:tc>
        <w:tc>
          <w:tcPr>
            <w:tcW w:w="25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26" w14:textId="00100627">
            <w:pPr>
              <w:spacing w:after="0" w:line="269" w:lineRule="auto"/>
            </w:pPr>
            <w:r>
              <w:rPr>
                <w:b w:val="0"/>
                <w:color w:val="000000"/>
                <w:sz w:val="20"/>
              </w:rPr>
              <w:t>3/3一致</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28" w14:textId="00100629">
            <w:pPr>
              <w:spacing w:after="0" w:line="269" w:lineRule="auto"/>
              <w:jc w:val="center"/>
            </w:pPr>
            <w:r>
              <w:rPr>
                <w:b w:val="0"/>
                <w:color w:val="000000"/>
                <w:sz w:val="20"/>
              </w:rPr>
              <w:t>密集</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2A" w14:textId="0010062B">
            <w:pPr>
              <w:spacing w:after="0" w:line="269" w:lineRule="auto"/>
            </w:pPr>
            <w:r>
              <w:rPr>
                <w:b w:val="0"/>
                <w:color w:val="000000"/>
                <w:sz w:val="20"/>
              </w:rPr>
              <w:t>50</w:t>
            </w:r>
          </w:p>
        </w:tc>
        <w:tc>
          <w:tcPr>
            <w:tcW w:w="208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2C" w14:textId="0010062D">
            <w:pPr>
              <w:spacing w:after="0" w:line="269" w:lineRule="auto"/>
            </w:pPr>
            <w:r>
              <w:rPr>
                <w:b w:val="0"/>
                <w:color w:val="000000"/>
                <w:sz w:val="20"/>
              </w:rPr>
              <w:t>0.13</w:t>
            </w:r>
          </w:p>
        </w:tc>
        <w:tc>
          <w:tcPr>
            <w:tcW w:w="208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2E" w14:textId="0010062F">
            <w:pPr>
              <w:spacing w:after="0" w:line="269" w:lineRule="auto"/>
            </w:pPr>
            <w:r>
              <w:rPr>
                <w:b w:val="0"/>
                <w:color w:val="000000"/>
                <w:sz w:val="20"/>
              </w:rPr>
              <w:t>0.54</w:t>
            </w:r>
          </w:p>
        </w:tc>
        <w:tc>
          <w:tcPr>
            <w:tcW w:w="144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30" w14:textId="00100631">
            <w:pPr>
              <w:spacing w:after="0" w:line="269" w:lineRule="auto"/>
            </w:pPr>
            <w:r>
              <w:rPr>
                <w:b w:val="0"/>
                <w:color w:val="000000"/>
                <w:sz w:val="20"/>
              </w:rPr>
              <w:t>0.24×</w:t>
            </w:r>
          </w:p>
        </w:tc>
        <w:tc>
          <w:tcPr>
            <w:tcW w:w="25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32" w14:textId="00100633">
            <w:pPr>
              <w:spacing w:after="0" w:line="269" w:lineRule="auto"/>
            </w:pPr>
            <w:r>
              <w:rPr>
                <w:b w:val="0"/>
                <w:color w:val="000000"/>
                <w:sz w:val="20"/>
              </w:rPr>
              <w:t>3/3一致</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34" w14:textId="00100635">
            <w:pPr>
              <w:spacing w:after="0" w:line="269" w:lineRule="auto"/>
              <w:jc w:val="center"/>
            </w:pPr>
            <w:r>
              <w:rPr>
                <w:b w:val="0"/>
                <w:color w:val="000000"/>
                <w:sz w:val="20"/>
              </w:rPr>
              <w:t>密集</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36" w14:textId="00100637">
            <w:pPr>
              <w:spacing w:after="0" w:line="269" w:lineRule="auto"/>
            </w:pPr>
            <w:r>
              <w:rPr>
                <w:b w:val="0"/>
                <w:color w:val="000000"/>
                <w:sz w:val="20"/>
              </w:rPr>
              <w:t>100</w:t>
            </w:r>
          </w:p>
        </w:tc>
        <w:tc>
          <w:tcPr>
            <w:tcW w:w="208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38" w14:textId="00100639">
            <w:pPr>
              <w:spacing w:after="0" w:line="269" w:lineRule="auto"/>
            </w:pPr>
            <w:r>
              <w:rPr>
                <w:b w:val="0"/>
                <w:color w:val="000000"/>
                <w:sz w:val="20"/>
              </w:rPr>
              <w:t>0.38</w:t>
            </w:r>
          </w:p>
        </w:tc>
        <w:tc>
          <w:tcPr>
            <w:tcW w:w="208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3A" w14:textId="0010063B">
            <w:pPr>
              <w:spacing w:after="0" w:line="269" w:lineRule="auto"/>
            </w:pPr>
            <w:r>
              <w:rPr>
                <w:b w:val="0"/>
                <w:color w:val="000000"/>
                <w:sz w:val="20"/>
              </w:rPr>
              <w:t>1.26</w:t>
            </w:r>
          </w:p>
        </w:tc>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3C" w14:textId="0010063D">
            <w:pPr>
              <w:spacing w:after="0" w:line="269" w:lineRule="auto"/>
            </w:pPr>
            <w:r>
              <w:rPr>
                <w:b w:val="0"/>
                <w:color w:val="000000"/>
                <w:sz w:val="20"/>
              </w:rPr>
              <w:t>0.30×</w:t>
            </w:r>
          </w:p>
        </w:tc>
        <w:tc>
          <w:tcPr>
            <w:tcW w:w="25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3E" w14:textId="0010063F">
            <w:pPr>
              <w:spacing w:after="0" w:line="269" w:lineRule="auto"/>
            </w:pPr>
            <w:r>
              <w:rPr>
                <w:b w:val="0"/>
                <w:color w:val="000000"/>
                <w:sz w:val="20"/>
              </w:rPr>
              <w:t>3/3一致</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40" w14:textId="00100641">
            <w:pPr>
              <w:spacing w:after="0" w:line="269" w:lineRule="auto"/>
              <w:jc w:val="center"/>
            </w:pPr>
            <w:r>
              <w:rPr>
                <w:b w:val="0"/>
                <w:color w:val="000000"/>
                <w:sz w:val="20"/>
              </w:rPr>
              <w:t>密集</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42" w14:textId="00100643">
            <w:pPr>
              <w:spacing w:after="0" w:line="269" w:lineRule="auto"/>
            </w:pPr>
            <w:r>
              <w:rPr>
                <w:b w:val="0"/>
                <w:color w:val="000000"/>
                <w:sz w:val="20"/>
              </w:rPr>
              <w:t>200</w:t>
            </w:r>
          </w:p>
        </w:tc>
        <w:tc>
          <w:tcPr>
            <w:tcW w:w="208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44" w14:textId="00100645">
            <w:pPr>
              <w:spacing w:after="0" w:line="269" w:lineRule="auto"/>
            </w:pPr>
            <w:r>
              <w:rPr>
                <w:b w:val="0"/>
                <w:color w:val="000000"/>
                <w:sz w:val="20"/>
              </w:rPr>
              <w:t>1.04</w:t>
            </w:r>
          </w:p>
        </w:tc>
        <w:tc>
          <w:tcPr>
            <w:tcW w:w="208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46" w14:textId="00100647">
            <w:pPr>
              <w:spacing w:after="0" w:line="269" w:lineRule="auto"/>
            </w:pPr>
            <w:r>
              <w:rPr>
                <w:b w:val="0"/>
                <w:color w:val="000000"/>
                <w:sz w:val="20"/>
              </w:rPr>
              <w:t>3.28</w:t>
            </w:r>
          </w:p>
        </w:tc>
        <w:tc>
          <w:tcPr>
            <w:tcW w:w="144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48" w14:textId="00100649">
            <w:pPr>
              <w:spacing w:after="0" w:line="269" w:lineRule="auto"/>
            </w:pPr>
            <w:r>
              <w:rPr>
                <w:b w:val="0"/>
                <w:color w:val="000000"/>
                <w:sz w:val="20"/>
              </w:rPr>
              <w:t>0.32×</w:t>
            </w:r>
          </w:p>
        </w:tc>
        <w:tc>
          <w:tcPr>
            <w:tcW w:w="25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4A" w14:textId="0010064B">
            <w:pPr>
              <w:spacing w:after="0" w:line="269" w:lineRule="auto"/>
            </w:pPr>
            <w:r>
              <w:rPr>
                <w:b w:val="0"/>
                <w:color w:val="000000"/>
                <w:sz w:val="20"/>
              </w:rPr>
              <w:t>3/3一致</w:t>
            </w:r>
          </w:p>
        </w:tc>
      </w:tr>
    </w:tbl>
    <w:p w14:paraId="0010064C" w14:textId="0010064D">
      <w:pPr>
        <w:spacing w:after="40"/>
      </w:pPr>
    </w:p>
    <w:p w14:paraId="0010064E" w14:textId="0010064F">
      <w:pPr>
        <w:widowControl/>
      </w:pPr>
      <w:r>
        <w:rPr>
          <w:b w:val="0"/>
        </w:rPr>
        <w:t>三种随机种子各计时20次，表内先对各路径的种子中位数取中位，再计算比值。所有目标航向统一为90度，主要检验空间邻域；24组成员集合全部一致。10目标时当前仍为遍历，不能称为KD-tree收益。</w:t>
      </w:r>
    </w:p>
    <w:p w14:paraId="00100650" w14:textId="00100651">
      <w:pPr>
        <w:widowControl/>
      </w:pPr>
      <w:r>
        <w:rPr>
          <w:b w:val="0"/>
        </w:rPr>
        <w:t>分散布局下200目标约10.68倍；密集布局下当前路径约慢3至4倍，因为朴素搜索可快速访问整组，而KD-tree仍需构树与查询。当前路径还包含簇ID和排序，计时封装略多。正常DBSCAN不使用这条回退路径，不能把收益归给正常聚类。</w:t>
      </w:r>
    </w:p>
    <w:p w14:paraId="00100652" w14:textId="00100653">
      <w:pPr>
        <w:widowControl/>
        <w:spacing w:line="276" w:lineRule="auto"/>
      </w:pPr>
      <w:r>
        <w:rPr>
          <w:b w:val="0"/>
          <w:sz w:val="18"/>
        </w:rPr>
        <w:t>实现与证据  results.json/components/fallback；engine.py/_clusters。 仿真原始记录见E05至E08。</w:t>
      </w:r>
    </w:p>
    <w:p w14:paraId="00100654" w14:textId="00100655">
      <w:r>
        <w:br w:type="page"/>
      </w:r>
    </w:p>
    <w:p w14:paraId="00100656" w14:textId="00100657">
      <w:pPr>
        <w:pStyle w:val="Heading1"/>
      </w:pPr>
      <w:r>
        <w:t>18.7 请求内缓存模型预热与空间复用</w:t>
      </w:r>
    </w:p>
    <w:p w14:paraId="00100658" w14:textId="00100659">
      <w:pPr>
        <w:widowControl/>
      </w:pPr>
      <w:r>
        <w:rPr>
          <w:b w:val="0"/>
        </w:rPr>
        <w:t>引擎以目标ID缓存成员意图特征，缓存仅存在于一次analyze请求内，供集群分析和成员分析复用。这样既减少重复计算，也避免不同请求线程串用特征。测试通过临时补丁禁用该缓存，其余正式接口和输入保持一致，生产源码未被修改。</w:t>
      </w:r>
    </w:p>
    <w:tbl>
      <w:tblPr>
        <w:tblW w:w="0" w:type="auto"/>
        <w:jc w:val="center"/>
        <w:tblLayout w:type="fixed"/>
        <w:tblLook w:val="04A0" w:firstRow="1" w:lastRow="0" w:firstColumn="1" w:lastColumn="0" w:noHBand="0" w:noVBand="1"/>
      </w:tblPr>
      <w:tblGrid>
        <w:gridCol w:w="864"/>
        <w:gridCol w:w="1728"/>
        <w:gridCol w:w="1728"/>
        <w:gridCol w:w="1296"/>
        <w:gridCol w:w="1296"/>
        <w:gridCol w:w="3024"/>
      </w:tblGrid>
      <w:tr>
        <w:trPr>
          <w:tblHeader/>
          <w:cantSplit/>
        </w:trPr>
        <w:tc>
          <w:tcPr>
            <w:tcW w:w="86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65A" w14:textId="0010065B">
            <w:pPr>
              <w:spacing w:after="0" w:line="269" w:lineRule="auto"/>
              <w:jc w:val="center"/>
            </w:pPr>
            <w:r>
              <w:rPr>
                <w:b/>
                <w:color w:val="000000"/>
                <w:sz w:val="20"/>
              </w:rPr>
              <w:t>布局</w:t>
            </w:r>
          </w:p>
        </w:tc>
        <w:tc>
          <w:tcPr>
            <w:tcW w:w="172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65C" w14:textId="0010065D">
            <w:pPr>
              <w:spacing w:after="0" w:line="269" w:lineRule="auto"/>
            </w:pPr>
            <w:r>
              <w:rPr>
                <w:b/>
                <w:color w:val="000000"/>
                <w:sz w:val="20"/>
              </w:rPr>
              <w:t>启用中位 ms</w:t>
            </w:r>
          </w:p>
        </w:tc>
        <w:tc>
          <w:tcPr>
            <w:tcW w:w="172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65E" w14:textId="0010065F">
            <w:pPr>
              <w:spacing w:after="0" w:line="269" w:lineRule="auto"/>
            </w:pPr>
            <w:r>
              <w:rPr>
                <w:b/>
                <w:color w:val="000000"/>
                <w:sz w:val="20"/>
              </w:rPr>
              <w:t>禁用中位 ms</w:t>
            </w:r>
          </w:p>
        </w:tc>
        <w:tc>
          <w:tcPr>
            <w:tcW w:w="129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660" w14:textId="00100661">
            <w:pPr>
              <w:spacing w:after="0" w:line="269" w:lineRule="auto"/>
            </w:pPr>
            <w:r>
              <w:rPr>
                <w:b/>
                <w:color w:val="000000"/>
                <w:sz w:val="20"/>
              </w:rPr>
              <w:t>耗时比</w:t>
            </w:r>
          </w:p>
        </w:tc>
        <w:tc>
          <w:tcPr>
            <w:tcW w:w="129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662" w14:textId="00100663">
            <w:pPr>
              <w:spacing w:after="0" w:line="269" w:lineRule="auto"/>
            </w:pPr>
            <w:r>
              <w:rPr>
                <w:b/>
                <w:color w:val="000000"/>
                <w:sz w:val="20"/>
              </w:rPr>
              <w:t>耗时降低</w:t>
            </w:r>
          </w:p>
        </w:tc>
        <w:tc>
          <w:tcPr>
            <w:tcW w:w="302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664" w14:textId="00100665">
            <w:pPr>
              <w:spacing w:after="0" w:line="269" w:lineRule="auto"/>
            </w:pPr>
            <w:r>
              <w:rPr>
                <w:b/>
                <w:color w:val="000000"/>
                <w:sz w:val="20"/>
              </w:rPr>
              <w:t>计算次数 启用/禁用</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66" w14:textId="00100667">
            <w:pPr>
              <w:spacing w:after="0" w:line="269" w:lineRule="auto"/>
              <w:jc w:val="center"/>
            </w:pPr>
            <w:r>
              <w:rPr>
                <w:b w:val="0"/>
                <w:color w:val="000000"/>
                <w:sz w:val="20"/>
              </w:rPr>
              <w:t>分散</w:t>
            </w:r>
          </w:p>
        </w:tc>
        <w:tc>
          <w:tcPr>
            <w:tcW w:w="172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68" w14:textId="00100669">
            <w:pPr>
              <w:spacing w:after="0" w:line="269" w:lineRule="auto"/>
            </w:pPr>
            <w:r>
              <w:rPr>
                <w:b w:val="0"/>
                <w:color w:val="000000"/>
                <w:sz w:val="20"/>
              </w:rPr>
              <w:t>459.78</w:t>
            </w:r>
          </w:p>
        </w:tc>
        <w:tc>
          <w:tcPr>
            <w:tcW w:w="172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6A" w14:textId="0010066B">
            <w:pPr>
              <w:spacing w:after="0" w:line="269" w:lineRule="auto"/>
            </w:pPr>
            <w:r>
              <w:rPr>
                <w:b w:val="0"/>
                <w:color w:val="000000"/>
                <w:sz w:val="20"/>
              </w:rPr>
              <w:t>548.18</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6C" w14:textId="0010066D">
            <w:pPr>
              <w:spacing w:after="0" w:line="269" w:lineRule="auto"/>
            </w:pPr>
            <w:r>
              <w:rPr>
                <w:b w:val="0"/>
                <w:color w:val="000000"/>
                <w:sz w:val="20"/>
              </w:rPr>
              <w:t>1.19×</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6E" w14:textId="0010066F">
            <w:pPr>
              <w:spacing w:after="0" w:line="269" w:lineRule="auto"/>
            </w:pPr>
            <w:r>
              <w:rPr>
                <w:b w:val="0"/>
                <w:color w:val="000000"/>
                <w:sz w:val="20"/>
              </w:rPr>
              <w:t>16.13%</w:t>
            </w:r>
          </w:p>
        </w:tc>
        <w:tc>
          <w:tcPr>
            <w:tcW w:w="302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70" w14:textId="00100671">
            <w:pPr>
              <w:spacing w:after="0" w:line="269" w:lineRule="auto"/>
            </w:pPr>
            <w:r>
              <w:rPr>
                <w:b w:val="0"/>
                <w:color w:val="000000"/>
                <w:sz w:val="20"/>
              </w:rPr>
              <w:t>1700/3400</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72" w14:textId="00100673">
            <w:pPr>
              <w:spacing w:after="0" w:line="269" w:lineRule="auto"/>
              <w:jc w:val="center"/>
            </w:pPr>
            <w:r>
              <w:rPr>
                <w:b w:val="0"/>
                <w:color w:val="000000"/>
                <w:sz w:val="20"/>
              </w:rPr>
              <w:t>密集</w:t>
            </w:r>
          </w:p>
        </w:tc>
        <w:tc>
          <w:tcPr>
            <w:tcW w:w="172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74" w14:textId="00100675">
            <w:pPr>
              <w:spacing w:after="0" w:line="269" w:lineRule="auto"/>
            </w:pPr>
            <w:r>
              <w:rPr>
                <w:b w:val="0"/>
                <w:color w:val="000000"/>
                <w:sz w:val="20"/>
              </w:rPr>
              <w:t>458.31</w:t>
            </w:r>
          </w:p>
        </w:tc>
        <w:tc>
          <w:tcPr>
            <w:tcW w:w="172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76" w14:textId="00100677">
            <w:pPr>
              <w:spacing w:after="0" w:line="269" w:lineRule="auto"/>
            </w:pPr>
            <w:r>
              <w:rPr>
                <w:b w:val="0"/>
                <w:color w:val="000000"/>
                <w:sz w:val="20"/>
              </w:rPr>
              <w:t>545.92</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78" w14:textId="00100679">
            <w:pPr>
              <w:spacing w:after="0" w:line="269" w:lineRule="auto"/>
            </w:pPr>
            <w:r>
              <w:rPr>
                <w:b w:val="0"/>
                <w:color w:val="000000"/>
                <w:sz w:val="20"/>
              </w:rPr>
              <w:t>1.19×</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7A" w14:textId="0010067B">
            <w:pPr>
              <w:spacing w:after="0" w:line="269" w:lineRule="auto"/>
            </w:pPr>
            <w:r>
              <w:rPr>
                <w:b w:val="0"/>
                <w:color w:val="000000"/>
                <w:sz w:val="20"/>
              </w:rPr>
              <w:t>16.05%</w:t>
            </w:r>
          </w:p>
        </w:tc>
        <w:tc>
          <w:tcPr>
            <w:tcW w:w="302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7C" w14:textId="0010067D">
            <w:pPr>
              <w:spacing w:after="0" w:line="269" w:lineRule="auto"/>
            </w:pPr>
            <w:r>
              <w:rPr>
                <w:b w:val="0"/>
                <w:color w:val="000000"/>
                <w:sz w:val="20"/>
              </w:rPr>
              <w:t>1700/3400</w:t>
            </w:r>
          </w:p>
        </w:tc>
      </w:tr>
    </w:tbl>
    <w:p w14:paraId="0010067E" w14:textId="0010067F">
      <w:pPr>
        <w:spacing w:after="40"/>
      </w:pPr>
    </w:p>
    <w:p w14:paraId="00100680" w14:textId="00100681">
      <w:pPr>
        <w:widowControl/>
      </w:pPr>
      <w:r>
        <w:rPr>
          <w:b w:val="0"/>
        </w:rPr>
        <w:t>每布局100目标、每目标120输入点，两种模式交替运行；每模式预热2次、记录15次，计数包含全部17次。底层特征计算由每请求200次降为100次，路由中位耗时降低约16%。每次使用新requestId，整请求幂等缓存未用于加速该测试。</w:t>
      </w:r>
    </w:p>
    <w:p w14:paraId="00100682" w14:textId="00100683">
      <w:pPr>
        <w:pStyle w:val="Heading2"/>
      </w:pPr>
      <w:r>
        <w:t>输出一致性复核</w:t>
      </w:r>
    </w:p>
    <w:p w14:paraId="00100684" w14:textId="00100685">
      <w:pPr>
        <w:widowControl/>
      </w:pPr>
      <w:r>
        <w:rPr>
          <w:b w:val="0"/>
        </w:rPr>
        <w:t>原始比较仅排除requestId和性能计时，密集布局记录为False。独立复测保存完整响应并递归核对，两种布局差异均仅为debug.generatedAt的墙钟时间。进一步排除此调试时间后，算法data一致；原始False和复核记录均保留，未覆盖原始结果。</w:t>
      </w:r>
    </w:p>
    <w:p w14:paraId="00100686" w14:textId="00100687">
      <w:pPr>
        <w:pStyle w:val="Heading2"/>
      </w:pPr>
      <w:r>
        <w:t>模型缓存与预热</w:t>
      </w:r>
    </w:p>
    <w:p w14:paraId="00100688" w14:textId="00100689">
      <w:pPr>
        <w:widowControl/>
      </w:pPr>
      <w:r>
        <w:rPr>
          <w:b w:val="0"/>
        </w:rPr>
        <w:t>适配器复用已加载的PointNet识别器，并提供warmup_device。启动预热将部分首次推理开销前移。本次显式warmup调用耗时为433.59 ms；此时模块已导入，因此它不是独立进程完整冷启动，也不足以计算冷启动优化倍数。</w:t>
      </w:r>
    </w:p>
    <w:p w14:paraId="0010068A" w14:textId="0010068B">
      <w:pPr>
        <w:pStyle w:val="Heading2"/>
      </w:pPr>
      <w:r>
        <w:t>统一空间上下文复用</w:t>
      </w:r>
    </w:p>
    <w:p w14:paraId="0010068C" w14:textId="0010068D">
      <w:pPr>
        <w:widowControl/>
      </w:pPr>
      <w:r>
        <w:rPr>
          <w:b w:val="0"/>
        </w:rPr>
        <w:t>空间关系在请求前段形成SpatialContext，后续意图、威胁、ETA和防御共享设施与空域依据。它既减少重复分析的机会，也保持语义一致。本次没有单独禁用空间复用测量，故不为其填写独立加速比。地图快照和有界幂等缓存也属于工程状态，不能解释成跨请求轨迹记忆。</w:t>
      </w:r>
    </w:p>
    <w:p w14:paraId="0010068E" w14:textId="0010068F">
      <w:pPr>
        <w:widowControl/>
        <w:spacing w:line="276" w:lineRule="auto"/>
      </w:pPr>
      <w:r>
        <w:rPr>
          <w:b w:val="0"/>
          <w:sz w:val="18"/>
        </w:rPr>
        <w:t>实现与证据  results.json/cacheComparison；cache_difference_audit.json及cache_outputs文件。 仿真原始记录见E05至E08。</w:t>
      </w:r>
    </w:p>
    <w:p w14:paraId="00100690" w14:textId="00100691">
      <w:r>
        <w:br w:type="page"/>
      </w:r>
    </w:p>
    <w:p w14:paraId="00100692" w14:textId="00100693">
      <w:pPr>
        <w:pStyle w:val="Heading1"/>
      </w:pPr>
      <w:r>
        <w:t>18.8 仿真场景与性能测试方法</w:t>
      </w:r>
    </w:p>
    <w:p w14:paraId="00100694" w14:textId="00100695">
      <w:pPr>
        <w:widowControl/>
      </w:pPr>
      <w:r>
        <w:rPr>
          <w:b w:val="0"/>
        </w:rPr>
        <w:t>本次于2026年10月23日09:05至09:11 PDT执行批量测量，UTC为16:05至16:11；后续另行保存缓存差异复核。生成器提供可复现的轨迹输入，不使用目标判读规则自行生成准确率标签。</w:t>
      </w:r>
    </w:p>
    <w:tbl>
      <w:tblPr>
        <w:tblW w:w="0" w:type="auto"/>
        <w:jc w:val="center"/>
        <w:tblLayout w:type="fixed"/>
        <w:tblLook w:val="04A0" w:firstRow="1" w:lastRow="0" w:firstColumn="1" w:lastColumn="0" w:noHBand="0" w:noVBand="1"/>
      </w:tblPr>
      <w:tblGrid>
        <w:gridCol w:w="1872"/>
        <w:gridCol w:w="8064"/>
      </w:tblGrid>
      <w:tr>
        <w:trPr>
          <w:tblHeader/>
          <w:cantSplit/>
        </w:trPr>
        <w:tc>
          <w:tcPr>
            <w:tcW w:w="187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696" w14:textId="00100697">
            <w:pPr>
              <w:spacing w:after="0" w:line="269" w:lineRule="auto"/>
            </w:pPr>
            <w:r>
              <w:rPr>
                <w:b/>
                <w:color w:val="000000"/>
                <w:sz w:val="20"/>
              </w:rPr>
              <w:t>条件</w:t>
            </w:r>
          </w:p>
        </w:tc>
        <w:tc>
          <w:tcPr>
            <w:tcW w:w="806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698" w14:textId="00100699">
            <w:pPr>
              <w:spacing w:after="0" w:line="269" w:lineRule="auto"/>
            </w:pPr>
            <w:r>
              <w:rPr>
                <w:b/>
                <w:color w:val="000000"/>
                <w:sz w:val="20"/>
              </w:rPr>
              <w:t>具体设置</w:t>
            </w:r>
          </w:p>
        </w:tc>
      </w:tr>
      <w:tr>
        <w:trPr>
          <w:cantSplit/>
        </w:trPr>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9A" w14:textId="0010069B">
            <w:pPr>
              <w:spacing w:after="0" w:line="269" w:lineRule="auto"/>
            </w:pPr>
            <w:r>
              <w:rPr>
                <w:b w:val="0"/>
                <w:color w:val="000000"/>
                <w:sz w:val="20"/>
              </w:rPr>
              <w:t>规模与输入长度</w:t>
            </w:r>
          </w:p>
        </w:tc>
        <w:tc>
          <w:tcPr>
            <w:tcW w:w="80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9C" w14:textId="0010069D">
            <w:pPr>
              <w:spacing w:after="0" w:line="269" w:lineRule="auto"/>
            </w:pPr>
            <w:r>
              <w:rPr>
                <w:b w:val="0"/>
                <w:color w:val="000000"/>
                <w:sz w:val="20"/>
              </w:rPr>
              <w:t>10/50/100/200目标；每目标30/120/240点；1秒采样</w:t>
            </w:r>
          </w:p>
        </w:tc>
      </w:tr>
      <w:tr>
        <w:trPr>
          <w:cantSplit/>
        </w:trPr>
        <w:tc>
          <w:tcPr>
            <w:tcW w:w="18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9E" w14:textId="0010069F">
            <w:pPr>
              <w:spacing w:after="0" w:line="269" w:lineRule="auto"/>
            </w:pPr>
            <w:r>
              <w:rPr>
                <w:b w:val="0"/>
                <w:color w:val="000000"/>
                <w:sz w:val="20"/>
              </w:rPr>
              <w:t>分散布局</w:t>
            </w:r>
          </w:p>
        </w:tc>
        <w:tc>
          <w:tcPr>
            <w:tcW w:w="80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A0" w14:textId="001006A1">
            <w:pPr>
              <w:spacing w:after="0" w:line="269" w:lineRule="auto"/>
            </w:pPr>
            <w:r>
              <w:rPr>
                <w:b w:val="0"/>
                <w:color w:val="000000"/>
                <w:sz w:val="20"/>
              </w:rPr>
              <w:t>每5架为几何邻近组，组内十余米，组间约650米</w:t>
            </w:r>
          </w:p>
        </w:tc>
      </w:tr>
      <w:tr>
        <w:trPr>
          <w:cantSplit/>
        </w:trPr>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A2" w14:textId="001006A3">
            <w:pPr>
              <w:spacing w:after="0" w:line="269" w:lineRule="auto"/>
            </w:pPr>
            <w:r>
              <w:rPr>
                <w:b w:val="0"/>
                <w:color w:val="000000"/>
                <w:sz w:val="20"/>
              </w:rPr>
              <w:t>密集布局</w:t>
            </w:r>
          </w:p>
        </w:tc>
        <w:tc>
          <w:tcPr>
            <w:tcW w:w="80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A4" w14:textId="001006A5">
            <w:pPr>
              <w:spacing w:after="0" w:line="269" w:lineRule="auto"/>
            </w:pPr>
            <w:r>
              <w:rPr>
                <w:b w:val="0"/>
                <w:color w:val="000000"/>
                <w:sz w:val="20"/>
              </w:rPr>
              <w:t>全部目标末位置聚集在约几十米内</w:t>
            </w:r>
          </w:p>
        </w:tc>
      </w:tr>
      <w:tr>
        <w:trPr>
          <w:cantSplit/>
        </w:trPr>
        <w:tc>
          <w:tcPr>
            <w:tcW w:w="18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A6" w14:textId="001006A7">
            <w:pPr>
              <w:spacing w:after="0" w:line="269" w:lineRule="auto"/>
            </w:pPr>
            <w:r>
              <w:rPr>
                <w:b w:val="0"/>
                <w:color w:val="000000"/>
                <w:sz w:val="20"/>
              </w:rPr>
              <w:t>运动组成</w:t>
            </w:r>
          </w:p>
        </w:tc>
        <w:tc>
          <w:tcPr>
            <w:tcW w:w="80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A8" w14:textId="001006A9">
            <w:pPr>
              <w:spacing w:after="0" w:line="269" w:lineRule="auto"/>
            </w:pPr>
            <w:r>
              <w:rPr>
                <w:b w:val="0"/>
                <w:color w:val="000000"/>
                <w:sz w:val="20"/>
              </w:rPr>
              <w:t>按组轮换直飞、加速、持续转向、静止、轻微摆动；叠加固定种子噪声</w:t>
            </w:r>
          </w:p>
        </w:tc>
      </w:tr>
      <w:tr>
        <w:trPr>
          <w:cantSplit/>
        </w:trPr>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AA" w14:textId="001006AB">
            <w:pPr>
              <w:spacing w:after="0" w:line="269" w:lineRule="auto"/>
            </w:pPr>
            <w:r>
              <w:rPr>
                <w:b w:val="0"/>
                <w:color w:val="000000"/>
                <w:sz w:val="20"/>
              </w:rPr>
              <w:t>地理与业务</w:t>
            </w:r>
          </w:p>
        </w:tc>
        <w:tc>
          <w:tcPr>
            <w:tcW w:w="80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AC" w14:textId="001006AD">
            <w:pPr>
              <w:spacing w:after="0" w:line="269" w:lineRule="auto"/>
            </w:pPr>
            <w:r>
              <w:rPr>
                <w:b w:val="0"/>
                <w:color w:val="000000"/>
                <w:sz w:val="20"/>
              </w:rPr>
              <w:t>北京附近；固定3设施、3圈层；80米AGL；四类身份业务数组为空</w:t>
            </w:r>
          </w:p>
        </w:tc>
      </w:tr>
      <w:tr>
        <w:trPr>
          <w:cantSplit/>
        </w:trPr>
        <w:tc>
          <w:tcPr>
            <w:tcW w:w="18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AE" w14:textId="001006AF">
            <w:pPr>
              <w:spacing w:after="0" w:line="269" w:lineRule="auto"/>
            </w:pPr>
            <w:r>
              <w:rPr>
                <w:b w:val="0"/>
                <w:color w:val="000000"/>
                <w:sz w:val="20"/>
              </w:rPr>
              <w:t>独立输入</w:t>
            </w:r>
          </w:p>
        </w:tc>
        <w:tc>
          <w:tcPr>
            <w:tcW w:w="80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B0" w14:textId="001006B1">
            <w:pPr>
              <w:spacing w:after="0" w:line="269" w:lineRule="auto"/>
            </w:pPr>
            <w:r>
              <w:rPr>
                <w:b w:val="0"/>
                <w:color w:val="000000"/>
                <w:sz w:val="20"/>
              </w:rPr>
              <w:t>种子20261023/20261024/20261025；72份JSON</w:t>
            </w:r>
          </w:p>
        </w:tc>
      </w:tr>
      <w:tr>
        <w:trPr>
          <w:cantSplit/>
        </w:trPr>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B2" w14:textId="001006B3">
            <w:pPr>
              <w:spacing w:after="0" w:line="269" w:lineRule="auto"/>
            </w:pPr>
            <w:r>
              <w:rPr>
                <w:b w:val="0"/>
                <w:color w:val="000000"/>
                <w:sz w:val="20"/>
              </w:rPr>
              <w:t>重复次数</w:t>
            </w:r>
          </w:p>
        </w:tc>
        <w:tc>
          <w:tcPr>
            <w:tcW w:w="80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B4" w14:textId="001006B5">
            <w:pPr>
              <w:spacing w:after="0" w:line="269" w:lineRule="auto"/>
            </w:pPr>
            <w:r>
              <w:rPr>
                <w:b w:val="0"/>
                <w:color w:val="000000"/>
                <w:sz w:val="20"/>
              </w:rPr>
              <w:t>每种子预热2次、计时8次；每组24次，共576次</w:t>
            </w:r>
          </w:p>
        </w:tc>
      </w:tr>
      <w:tr>
        <w:trPr>
          <w:cantSplit/>
        </w:trPr>
        <w:tc>
          <w:tcPr>
            <w:tcW w:w="18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B6" w14:textId="001006B7">
            <w:pPr>
              <w:spacing w:after="0" w:line="269" w:lineRule="auto"/>
            </w:pPr>
            <w:r>
              <w:rPr>
                <w:b w:val="0"/>
                <w:color w:val="000000"/>
                <w:sz w:val="20"/>
              </w:rPr>
              <w:t>执行环境</w:t>
            </w:r>
          </w:p>
        </w:tc>
        <w:tc>
          <w:tcPr>
            <w:tcW w:w="80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B8" w14:textId="001006B9">
            <w:pPr>
              <w:spacing w:after="0" w:line="269" w:lineRule="auto"/>
            </w:pPr>
            <w:r>
              <w:rPr>
                <w:b w:val="0"/>
                <w:color w:val="000000"/>
                <w:sz w:val="20"/>
              </w:rPr>
              <w:t>Windows 11；CPU32逻辑核；PyTorch16线程；软件版本同第18节</w:t>
            </w:r>
          </w:p>
        </w:tc>
      </w:tr>
    </w:tbl>
    <w:p w14:paraId="001006BA" w14:textId="001006BB">
      <w:pPr>
        <w:spacing w:after="40"/>
      </w:pPr>
    </w:p>
    <w:p w14:paraId="001006BC" w14:textId="001006BD">
      <w:pPr>
        <w:pStyle w:val="Heading2"/>
      </w:pPr>
      <w:r>
        <w:t>正式计时和窗口</w:t>
      </w:r>
    </w:p>
    <w:p w14:paraId="001006BE" w14:textId="001006BF">
      <w:pPr>
        <w:widowControl/>
      </w:pPr>
      <w:r>
        <w:rPr>
          <w:b w:val="0"/>
        </w:rPr>
        <w:t>使用Flask测试客户端调用正式路由，包含请求编码、网关、引擎和响应序列化；生成输入及deepcopy在计时外。每个requestId唯一。实际检查所有目标进入意图分析、适配器输入输出数一致、无跳过或豁免，正常DBSCAN和PointNet均被使用。</w:t>
      </w:r>
    </w:p>
    <w:p w14:paraId="001006C0" w14:textId="001006C1">
      <w:pPr>
        <w:widowControl/>
      </w:pPr>
      <w:r>
        <w:rPr>
          <w:b w:val="0"/>
        </w:rPr>
        <w:t>当前运动窗口为12点，意图窗口保留最近120秒且最多240点。1 Hz的30/120/240输入点分别保留30/120/121个意图点，适配器使用最后12点。240输入点测试包括输入处理开销，不等于正式链路分析240个有效历史点。</w:t>
      </w:r>
    </w:p>
    <w:p w14:paraId="001006C2" w14:textId="001006C3">
      <w:pPr>
        <w:widowControl/>
      </w:pPr>
      <w:r>
        <w:rPr>
          <w:b w:val="0"/>
        </w:rPr>
        <w:t>新增仿真P95使用最近秩，24个样本取有序第23项；原13目标基准脚本使用另一索引定义，不能混用。RSS每5 ms抽样，包含进程、模型、缓存和先前分配保留，可能漏过短暂尖峰，不能当作单算法的独立峰值。</w:t>
      </w:r>
    </w:p>
    <w:p w14:paraId="001006C4" w14:textId="001006C5">
      <w:pPr>
        <w:widowControl/>
        <w:spacing w:line="276" w:lineRule="auto"/>
      </w:pPr>
      <w:r>
        <w:rPr>
          <w:b w:val="0"/>
          <w:sz w:val="18"/>
        </w:rPr>
        <w:t>实现与证据  benchmark_simulated_swarm.py；results.json环境与逐次记录；输入哈希清单。 仿真原始记录见E05至E08。</w:t>
      </w:r>
    </w:p>
    <w:p w14:paraId="001006C6" w14:textId="001006C7">
      <w:r>
        <w:br w:type="page"/>
      </w:r>
    </w:p>
    <w:p w14:paraId="001006C8" w14:textId="001006C9">
      <w:pPr>
        <w:pStyle w:val="Heading1"/>
      </w:pPr>
      <w:r>
        <w:t>18.9 分散布局的完整规模结果</w:t>
      </w:r>
    </w:p>
    <w:p w14:paraId="001006CA" w14:textId="001006CB">
      <w:pPr>
        <w:widowControl/>
      </w:pPr>
      <w:r>
        <w:rPr>
          <w:b w:val="0"/>
        </w:rPr>
        <w:t>下表各行均为3个随机种子合并的24次热态计时。所有时延单位为毫秒；RSS单位为MiB，表示该行测量期间的抽样进程峰值。输入点数与实际意图窗口的关系见第18.8节。</w:t>
      </w:r>
    </w:p>
    <w:tbl>
      <w:tblPr>
        <w:tblW w:w="0" w:type="auto"/>
        <w:jc w:val="center"/>
        <w:tblLayout w:type="fixed"/>
        <w:tblLook w:val="04A0" w:firstRow="1" w:lastRow="0" w:firstColumn="1" w:lastColumn="0" w:noHBand="0" w:noVBand="1"/>
      </w:tblPr>
      <w:tblGrid>
        <w:gridCol w:w="720"/>
        <w:gridCol w:w="792"/>
        <w:gridCol w:w="1267"/>
        <w:gridCol w:w="1368"/>
        <w:gridCol w:w="1267"/>
        <w:gridCol w:w="1267"/>
        <w:gridCol w:w="1267"/>
        <w:gridCol w:w="1987"/>
      </w:tblGrid>
      <w:tr>
        <w:trPr>
          <w:tblHeader/>
          <w:cantSplit/>
        </w:trPr>
        <w:tc>
          <w:tcPr>
            <w:tcW w:w="72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6CC" w14:textId="001006CD">
            <w:pPr>
              <w:spacing w:after="0" w:line="269" w:lineRule="auto"/>
              <w:jc w:val="center"/>
            </w:pPr>
            <w:r>
              <w:rPr>
                <w:b/>
                <w:color w:val="000000"/>
                <w:sz w:val="20"/>
              </w:rPr>
              <w:t>目标数</w:t>
            </w:r>
          </w:p>
        </w:tc>
        <w:tc>
          <w:tcPr>
            <w:tcW w:w="79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6CE" w14:textId="001006CF">
            <w:pPr>
              <w:spacing w:after="0" w:line="269" w:lineRule="auto"/>
            </w:pPr>
            <w:r>
              <w:rPr>
                <w:b/>
                <w:color w:val="000000"/>
                <w:sz w:val="20"/>
              </w:rPr>
              <w:t>输入点</w:t>
            </w:r>
          </w:p>
        </w:tc>
        <w:tc>
          <w:tcPr>
            <w:tcW w:w="1267"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6D0" w14:textId="001006D1">
            <w:pPr>
              <w:spacing w:after="0" w:line="269" w:lineRule="auto"/>
            </w:pPr>
            <w:r>
              <w:rPr>
                <w:b/>
                <w:color w:val="000000"/>
                <w:sz w:val="20"/>
              </w:rPr>
              <w:t>均值</w:t>
            </w:r>
          </w:p>
        </w:tc>
        <w:tc>
          <w:tcPr>
            <w:tcW w:w="136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6D2" w14:textId="001006D3">
            <w:pPr>
              <w:spacing w:after="0" w:line="269" w:lineRule="auto"/>
            </w:pPr>
            <w:r>
              <w:rPr>
                <w:b/>
                <w:color w:val="000000"/>
                <w:sz w:val="20"/>
              </w:rPr>
              <w:t>中位数</w:t>
            </w:r>
          </w:p>
        </w:tc>
        <w:tc>
          <w:tcPr>
            <w:tcW w:w="1267"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6D4" w14:textId="001006D5">
            <w:pPr>
              <w:spacing w:after="0" w:line="269" w:lineRule="auto"/>
            </w:pPr>
            <w:r>
              <w:rPr>
                <w:b/>
                <w:color w:val="000000"/>
                <w:sz w:val="20"/>
              </w:rPr>
              <w:t>P95</w:t>
            </w:r>
          </w:p>
        </w:tc>
        <w:tc>
          <w:tcPr>
            <w:tcW w:w="1267"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6D6" w14:textId="001006D7">
            <w:pPr>
              <w:spacing w:after="0" w:line="269" w:lineRule="auto"/>
            </w:pPr>
            <w:r>
              <w:rPr>
                <w:b/>
                <w:color w:val="000000"/>
                <w:sz w:val="20"/>
              </w:rPr>
              <w:t>最小值</w:t>
            </w:r>
          </w:p>
        </w:tc>
        <w:tc>
          <w:tcPr>
            <w:tcW w:w="1267"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6D8" w14:textId="001006D9">
            <w:pPr>
              <w:spacing w:after="0" w:line="269" w:lineRule="auto"/>
            </w:pPr>
            <w:r>
              <w:rPr>
                <w:b/>
                <w:color w:val="000000"/>
                <w:sz w:val="20"/>
              </w:rPr>
              <w:t>最大值</w:t>
            </w:r>
          </w:p>
        </w:tc>
        <w:tc>
          <w:tcPr>
            <w:tcW w:w="1987"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6DA" w14:textId="001006DB">
            <w:pPr>
              <w:spacing w:after="0" w:line="269" w:lineRule="auto"/>
            </w:pPr>
            <w:r>
              <w:rPr>
                <w:b/>
                <w:color w:val="000000"/>
                <w:sz w:val="20"/>
              </w:rPr>
              <w:t>进程RSS</w:t>
            </w:r>
          </w:p>
        </w:tc>
      </w:tr>
      <w:tr>
        <w:trPr>
          <w:cantSplit/>
        </w:trPr>
        <w:tc>
          <w:tcPr>
            <w:tcW w:w="7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DC" w14:textId="001006DD">
            <w:pPr>
              <w:spacing w:after="0" w:line="269" w:lineRule="auto"/>
              <w:jc w:val="center"/>
            </w:pPr>
            <w:r>
              <w:rPr>
                <w:b w:val="0"/>
                <w:color w:val="000000"/>
                <w:sz w:val="20"/>
              </w:rPr>
              <w:t>10</w:t>
            </w:r>
          </w:p>
        </w:tc>
        <w:tc>
          <w:tcPr>
            <w:tcW w:w="7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DE" w14:textId="001006DF">
            <w:pPr>
              <w:spacing w:after="0" w:line="269" w:lineRule="auto"/>
            </w:pPr>
            <w:r>
              <w:rPr>
                <w:b w:val="0"/>
                <w:color w:val="000000"/>
                <w:sz w:val="20"/>
              </w:rPr>
              <w:t>30</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E0" w14:textId="001006E1">
            <w:pPr>
              <w:spacing w:after="0" w:line="269" w:lineRule="auto"/>
            </w:pPr>
            <w:r>
              <w:rPr>
                <w:b w:val="0"/>
                <w:color w:val="000000"/>
                <w:sz w:val="20"/>
              </w:rPr>
              <w:t>39.59</w:t>
            </w:r>
          </w:p>
        </w:tc>
        <w:tc>
          <w:tcPr>
            <w:tcW w:w="13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E2" w14:textId="001006E3">
            <w:pPr>
              <w:spacing w:after="0" w:line="269" w:lineRule="auto"/>
            </w:pPr>
            <w:r>
              <w:rPr>
                <w:b w:val="0"/>
                <w:color w:val="000000"/>
                <w:sz w:val="20"/>
              </w:rPr>
              <w:t>39.69</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E4" w14:textId="001006E5">
            <w:pPr>
              <w:spacing w:after="0" w:line="269" w:lineRule="auto"/>
            </w:pPr>
            <w:r>
              <w:rPr>
                <w:b w:val="0"/>
                <w:color w:val="000000"/>
                <w:sz w:val="20"/>
              </w:rPr>
              <w:t>40.93</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E6" w14:textId="001006E7">
            <w:pPr>
              <w:spacing w:after="0" w:line="269" w:lineRule="auto"/>
            </w:pPr>
            <w:r>
              <w:rPr>
                <w:b w:val="0"/>
                <w:color w:val="000000"/>
                <w:sz w:val="20"/>
              </w:rPr>
              <w:t>36.59</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E8" w14:textId="001006E9">
            <w:pPr>
              <w:spacing w:after="0" w:line="269" w:lineRule="auto"/>
            </w:pPr>
            <w:r>
              <w:rPr>
                <w:b w:val="0"/>
                <w:color w:val="000000"/>
                <w:sz w:val="20"/>
              </w:rPr>
              <w:t>44.82</w:t>
            </w:r>
          </w:p>
        </w:tc>
        <w:tc>
          <w:tcPr>
            <w:tcW w:w="198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EA" w14:textId="001006EB">
            <w:pPr>
              <w:spacing w:after="0" w:line="269" w:lineRule="auto"/>
            </w:pPr>
            <w:r>
              <w:rPr>
                <w:b w:val="0"/>
                <w:color w:val="000000"/>
                <w:sz w:val="20"/>
              </w:rPr>
              <w:t>572.07</w:t>
            </w:r>
          </w:p>
        </w:tc>
      </w:tr>
      <w:tr>
        <w:trPr>
          <w:cantSplit/>
        </w:trPr>
        <w:tc>
          <w:tcPr>
            <w:tcW w:w="7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EC" w14:textId="001006ED">
            <w:pPr>
              <w:spacing w:after="0" w:line="269" w:lineRule="auto"/>
              <w:jc w:val="center"/>
            </w:pPr>
            <w:r>
              <w:rPr>
                <w:b w:val="0"/>
                <w:color w:val="000000"/>
                <w:sz w:val="20"/>
              </w:rPr>
              <w:t>50</w:t>
            </w:r>
          </w:p>
        </w:tc>
        <w:tc>
          <w:tcPr>
            <w:tcW w:w="7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EE" w14:textId="001006EF">
            <w:pPr>
              <w:spacing w:after="0" w:line="269" w:lineRule="auto"/>
            </w:pPr>
            <w:r>
              <w:rPr>
                <w:b w:val="0"/>
                <w:color w:val="000000"/>
                <w:sz w:val="20"/>
              </w:rPr>
              <w:t>30</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F0" w14:textId="001006F1">
            <w:pPr>
              <w:spacing w:after="0" w:line="269" w:lineRule="auto"/>
            </w:pPr>
            <w:r>
              <w:rPr>
                <w:b w:val="0"/>
                <w:color w:val="000000"/>
                <w:sz w:val="20"/>
              </w:rPr>
              <w:t>179.98</w:t>
            </w:r>
          </w:p>
        </w:tc>
        <w:tc>
          <w:tcPr>
            <w:tcW w:w="13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F2" w14:textId="001006F3">
            <w:pPr>
              <w:spacing w:after="0" w:line="269" w:lineRule="auto"/>
            </w:pPr>
            <w:r>
              <w:rPr>
                <w:b w:val="0"/>
                <w:color w:val="000000"/>
                <w:sz w:val="20"/>
              </w:rPr>
              <w:t>177.24</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F4" w14:textId="001006F5">
            <w:pPr>
              <w:spacing w:after="0" w:line="269" w:lineRule="auto"/>
            </w:pPr>
            <w:r>
              <w:rPr>
                <w:b w:val="0"/>
                <w:color w:val="000000"/>
                <w:sz w:val="20"/>
              </w:rPr>
              <w:t>180.21</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F6" w14:textId="001006F7">
            <w:pPr>
              <w:spacing w:after="0" w:line="269" w:lineRule="auto"/>
            </w:pPr>
            <w:r>
              <w:rPr>
                <w:b w:val="0"/>
                <w:color w:val="000000"/>
                <w:sz w:val="20"/>
              </w:rPr>
              <w:t>162.95</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F8" w14:textId="001006F9">
            <w:pPr>
              <w:spacing w:after="0" w:line="269" w:lineRule="auto"/>
            </w:pPr>
            <w:r>
              <w:rPr>
                <w:b w:val="0"/>
                <w:color w:val="000000"/>
                <w:sz w:val="20"/>
              </w:rPr>
              <w:t>267.85</w:t>
            </w:r>
          </w:p>
        </w:tc>
        <w:tc>
          <w:tcPr>
            <w:tcW w:w="198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6FA" w14:textId="001006FB">
            <w:pPr>
              <w:spacing w:after="0" w:line="269" w:lineRule="auto"/>
            </w:pPr>
            <w:r>
              <w:rPr>
                <w:b w:val="0"/>
                <w:color w:val="000000"/>
                <w:sz w:val="20"/>
              </w:rPr>
              <w:t>589.77</w:t>
            </w:r>
          </w:p>
        </w:tc>
      </w:tr>
      <w:tr>
        <w:trPr>
          <w:cantSplit/>
        </w:trPr>
        <w:tc>
          <w:tcPr>
            <w:tcW w:w="7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FC" w14:textId="001006FD">
            <w:pPr>
              <w:spacing w:after="0" w:line="269" w:lineRule="auto"/>
              <w:jc w:val="center"/>
            </w:pPr>
            <w:r>
              <w:rPr>
                <w:b w:val="0"/>
                <w:color w:val="000000"/>
                <w:sz w:val="20"/>
              </w:rPr>
              <w:t>100</w:t>
            </w:r>
          </w:p>
        </w:tc>
        <w:tc>
          <w:tcPr>
            <w:tcW w:w="7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6FE" w14:textId="001006FF">
            <w:pPr>
              <w:spacing w:after="0" w:line="269" w:lineRule="auto"/>
            </w:pPr>
            <w:r>
              <w:rPr>
                <w:b w:val="0"/>
                <w:color w:val="000000"/>
                <w:sz w:val="20"/>
              </w:rPr>
              <w:t>30</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00" w14:textId="00100701">
            <w:pPr>
              <w:spacing w:after="0" w:line="269" w:lineRule="auto"/>
            </w:pPr>
            <w:r>
              <w:rPr>
                <w:b w:val="0"/>
                <w:color w:val="000000"/>
                <w:sz w:val="20"/>
              </w:rPr>
              <w:t>354.35</w:t>
            </w:r>
          </w:p>
        </w:tc>
        <w:tc>
          <w:tcPr>
            <w:tcW w:w="13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02" w14:textId="00100703">
            <w:pPr>
              <w:spacing w:after="0" w:line="269" w:lineRule="auto"/>
            </w:pPr>
            <w:r>
              <w:rPr>
                <w:b w:val="0"/>
                <w:color w:val="000000"/>
                <w:sz w:val="20"/>
              </w:rPr>
              <w:t>342.42</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04" w14:textId="00100705">
            <w:pPr>
              <w:spacing w:after="0" w:line="269" w:lineRule="auto"/>
            </w:pPr>
            <w:r>
              <w:rPr>
                <w:b w:val="0"/>
                <w:color w:val="000000"/>
                <w:sz w:val="20"/>
              </w:rPr>
              <w:t>453.55</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06" w14:textId="00100707">
            <w:pPr>
              <w:spacing w:after="0" w:line="269" w:lineRule="auto"/>
            </w:pPr>
            <w:r>
              <w:rPr>
                <w:b w:val="0"/>
                <w:color w:val="000000"/>
                <w:sz w:val="20"/>
              </w:rPr>
              <w:t>314.41</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08" w14:textId="00100709">
            <w:pPr>
              <w:spacing w:after="0" w:line="269" w:lineRule="auto"/>
            </w:pPr>
            <w:r>
              <w:rPr>
                <w:b w:val="0"/>
                <w:color w:val="000000"/>
                <w:sz w:val="20"/>
              </w:rPr>
              <w:t>458.68</w:t>
            </w:r>
          </w:p>
        </w:tc>
        <w:tc>
          <w:tcPr>
            <w:tcW w:w="198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0A" w14:textId="0010070B">
            <w:pPr>
              <w:spacing w:after="0" w:line="269" w:lineRule="auto"/>
            </w:pPr>
            <w:r>
              <w:rPr>
                <w:b w:val="0"/>
                <w:color w:val="000000"/>
                <w:sz w:val="20"/>
              </w:rPr>
              <w:t>619.74</w:t>
            </w:r>
          </w:p>
        </w:tc>
      </w:tr>
      <w:tr>
        <w:trPr>
          <w:cantSplit/>
        </w:trPr>
        <w:tc>
          <w:tcPr>
            <w:tcW w:w="7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0C" w14:textId="0010070D">
            <w:pPr>
              <w:spacing w:after="0" w:line="269" w:lineRule="auto"/>
              <w:jc w:val="center"/>
            </w:pPr>
            <w:r>
              <w:rPr>
                <w:b w:val="0"/>
                <w:color w:val="000000"/>
                <w:sz w:val="20"/>
              </w:rPr>
              <w:t>200</w:t>
            </w:r>
          </w:p>
        </w:tc>
        <w:tc>
          <w:tcPr>
            <w:tcW w:w="7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0E" w14:textId="0010070F">
            <w:pPr>
              <w:spacing w:after="0" w:line="269" w:lineRule="auto"/>
            </w:pPr>
            <w:r>
              <w:rPr>
                <w:b w:val="0"/>
                <w:color w:val="000000"/>
                <w:sz w:val="20"/>
              </w:rPr>
              <w:t>30</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10" w14:textId="00100711">
            <w:pPr>
              <w:spacing w:after="0" w:line="269" w:lineRule="auto"/>
            </w:pPr>
            <w:r>
              <w:rPr>
                <w:b w:val="0"/>
                <w:color w:val="000000"/>
                <w:sz w:val="20"/>
              </w:rPr>
              <w:t>658.31</w:t>
            </w:r>
          </w:p>
        </w:tc>
        <w:tc>
          <w:tcPr>
            <w:tcW w:w="13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12" w14:textId="00100713">
            <w:pPr>
              <w:spacing w:after="0" w:line="269" w:lineRule="auto"/>
            </w:pPr>
            <w:r>
              <w:rPr>
                <w:b w:val="0"/>
                <w:color w:val="000000"/>
                <w:sz w:val="20"/>
              </w:rPr>
              <w:t>644.89</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14" w14:textId="00100715">
            <w:pPr>
              <w:spacing w:after="0" w:line="269" w:lineRule="auto"/>
            </w:pPr>
            <w:r>
              <w:rPr>
                <w:b w:val="0"/>
                <w:color w:val="000000"/>
                <w:sz w:val="20"/>
              </w:rPr>
              <w:t>776.91</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16" w14:textId="00100717">
            <w:pPr>
              <w:spacing w:after="0" w:line="269" w:lineRule="auto"/>
            </w:pPr>
            <w:r>
              <w:rPr>
                <w:b w:val="0"/>
                <w:color w:val="000000"/>
                <w:sz w:val="20"/>
              </w:rPr>
              <w:t>573.08</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18" w14:textId="00100719">
            <w:pPr>
              <w:spacing w:after="0" w:line="269" w:lineRule="auto"/>
            </w:pPr>
            <w:r>
              <w:rPr>
                <w:b w:val="0"/>
                <w:color w:val="000000"/>
                <w:sz w:val="20"/>
              </w:rPr>
              <w:t>810.61</w:t>
            </w:r>
          </w:p>
        </w:tc>
        <w:tc>
          <w:tcPr>
            <w:tcW w:w="198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1A" w14:textId="0010071B">
            <w:pPr>
              <w:spacing w:after="0" w:line="269" w:lineRule="auto"/>
            </w:pPr>
            <w:r>
              <w:rPr>
                <w:b w:val="0"/>
                <w:color w:val="000000"/>
                <w:sz w:val="20"/>
              </w:rPr>
              <w:t>675.80</w:t>
            </w:r>
          </w:p>
        </w:tc>
      </w:tr>
      <w:tr>
        <w:trPr>
          <w:cantSplit/>
        </w:trPr>
        <w:tc>
          <w:tcPr>
            <w:tcW w:w="7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1C" w14:textId="0010071D">
            <w:pPr>
              <w:spacing w:after="0" w:line="269" w:lineRule="auto"/>
              <w:jc w:val="center"/>
            </w:pPr>
            <w:r>
              <w:rPr>
                <w:b w:val="0"/>
                <w:color w:val="000000"/>
                <w:sz w:val="20"/>
              </w:rPr>
              <w:t>10</w:t>
            </w:r>
          </w:p>
        </w:tc>
        <w:tc>
          <w:tcPr>
            <w:tcW w:w="7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1E" w14:textId="0010071F">
            <w:pPr>
              <w:spacing w:after="0" w:line="269" w:lineRule="auto"/>
            </w:pPr>
            <w:r>
              <w:rPr>
                <w:b w:val="0"/>
                <w:color w:val="000000"/>
                <w:sz w:val="20"/>
              </w:rPr>
              <w:t>120</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20" w14:textId="00100721">
            <w:pPr>
              <w:spacing w:after="0" w:line="269" w:lineRule="auto"/>
            </w:pPr>
            <w:r>
              <w:rPr>
                <w:b w:val="0"/>
                <w:color w:val="000000"/>
                <w:sz w:val="20"/>
              </w:rPr>
              <w:t>56.67</w:t>
            </w:r>
          </w:p>
        </w:tc>
        <w:tc>
          <w:tcPr>
            <w:tcW w:w="13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22" w14:textId="00100723">
            <w:pPr>
              <w:spacing w:after="0" w:line="269" w:lineRule="auto"/>
            </w:pPr>
            <w:r>
              <w:rPr>
                <w:b w:val="0"/>
                <w:color w:val="000000"/>
                <w:sz w:val="20"/>
              </w:rPr>
              <w:t>56.07</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24" w14:textId="00100725">
            <w:pPr>
              <w:spacing w:after="0" w:line="269" w:lineRule="auto"/>
            </w:pPr>
            <w:r>
              <w:rPr>
                <w:b w:val="0"/>
                <w:color w:val="000000"/>
                <w:sz w:val="20"/>
              </w:rPr>
              <w:t>65.82</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26" w14:textId="00100727">
            <w:pPr>
              <w:spacing w:after="0" w:line="269" w:lineRule="auto"/>
            </w:pPr>
            <w:r>
              <w:rPr>
                <w:b w:val="0"/>
                <w:color w:val="000000"/>
                <w:sz w:val="20"/>
              </w:rPr>
              <w:t>48.72</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28" w14:textId="00100729">
            <w:pPr>
              <w:spacing w:after="0" w:line="269" w:lineRule="auto"/>
            </w:pPr>
            <w:r>
              <w:rPr>
                <w:b w:val="0"/>
                <w:color w:val="000000"/>
                <w:sz w:val="20"/>
              </w:rPr>
              <w:t>66.36</w:t>
            </w:r>
          </w:p>
        </w:tc>
        <w:tc>
          <w:tcPr>
            <w:tcW w:w="198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2A" w14:textId="0010072B">
            <w:pPr>
              <w:spacing w:after="0" w:line="269" w:lineRule="auto"/>
            </w:pPr>
            <w:r>
              <w:rPr>
                <w:b w:val="0"/>
                <w:color w:val="000000"/>
                <w:sz w:val="20"/>
              </w:rPr>
              <w:t>675.82</w:t>
            </w:r>
          </w:p>
        </w:tc>
      </w:tr>
      <w:tr>
        <w:trPr>
          <w:cantSplit/>
        </w:trPr>
        <w:tc>
          <w:tcPr>
            <w:tcW w:w="7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2C" w14:textId="0010072D">
            <w:pPr>
              <w:spacing w:after="0" w:line="269" w:lineRule="auto"/>
              <w:jc w:val="center"/>
            </w:pPr>
            <w:r>
              <w:rPr>
                <w:b w:val="0"/>
                <w:color w:val="000000"/>
                <w:sz w:val="20"/>
              </w:rPr>
              <w:t>50</w:t>
            </w:r>
          </w:p>
        </w:tc>
        <w:tc>
          <w:tcPr>
            <w:tcW w:w="7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2E" w14:textId="0010072F">
            <w:pPr>
              <w:spacing w:after="0" w:line="269" w:lineRule="auto"/>
            </w:pPr>
            <w:r>
              <w:rPr>
                <w:b w:val="0"/>
                <w:color w:val="000000"/>
                <w:sz w:val="20"/>
              </w:rPr>
              <w:t>120</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30" w14:textId="00100731">
            <w:pPr>
              <w:spacing w:after="0" w:line="269" w:lineRule="auto"/>
            </w:pPr>
            <w:r>
              <w:rPr>
                <w:b w:val="0"/>
                <w:color w:val="000000"/>
                <w:sz w:val="20"/>
              </w:rPr>
              <w:t>253.10</w:t>
            </w:r>
          </w:p>
        </w:tc>
        <w:tc>
          <w:tcPr>
            <w:tcW w:w="13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32" w14:textId="00100733">
            <w:pPr>
              <w:spacing w:after="0" w:line="269" w:lineRule="auto"/>
            </w:pPr>
            <w:r>
              <w:rPr>
                <w:b w:val="0"/>
                <w:color w:val="000000"/>
                <w:sz w:val="20"/>
              </w:rPr>
              <w:t>246.25</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34" w14:textId="00100735">
            <w:pPr>
              <w:spacing w:after="0" w:line="269" w:lineRule="auto"/>
            </w:pPr>
            <w:r>
              <w:rPr>
                <w:b w:val="0"/>
                <w:color w:val="000000"/>
                <w:sz w:val="20"/>
              </w:rPr>
              <w:t>280.91</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36" w14:textId="00100737">
            <w:pPr>
              <w:spacing w:after="0" w:line="269" w:lineRule="auto"/>
            </w:pPr>
            <w:r>
              <w:rPr>
                <w:b w:val="0"/>
                <w:color w:val="000000"/>
                <w:sz w:val="20"/>
              </w:rPr>
              <w:t>230.51</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38" w14:textId="00100739">
            <w:pPr>
              <w:spacing w:after="0" w:line="269" w:lineRule="auto"/>
            </w:pPr>
            <w:r>
              <w:rPr>
                <w:b w:val="0"/>
                <w:color w:val="000000"/>
                <w:sz w:val="20"/>
              </w:rPr>
              <w:t>384.56</w:t>
            </w:r>
          </w:p>
        </w:tc>
        <w:tc>
          <w:tcPr>
            <w:tcW w:w="198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3A" w14:textId="0010073B">
            <w:pPr>
              <w:spacing w:after="0" w:line="269" w:lineRule="auto"/>
            </w:pPr>
            <w:r>
              <w:rPr>
                <w:b w:val="0"/>
                <w:color w:val="000000"/>
                <w:sz w:val="20"/>
              </w:rPr>
              <w:t>690.62</w:t>
            </w:r>
          </w:p>
        </w:tc>
      </w:tr>
      <w:tr>
        <w:trPr>
          <w:cantSplit/>
        </w:trPr>
        <w:tc>
          <w:tcPr>
            <w:tcW w:w="7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3C" w14:textId="0010073D">
            <w:pPr>
              <w:spacing w:after="0" w:line="269" w:lineRule="auto"/>
              <w:jc w:val="center"/>
            </w:pPr>
            <w:r>
              <w:rPr>
                <w:b w:val="0"/>
                <w:color w:val="000000"/>
                <w:sz w:val="20"/>
              </w:rPr>
              <w:t>100</w:t>
            </w:r>
          </w:p>
        </w:tc>
        <w:tc>
          <w:tcPr>
            <w:tcW w:w="7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3E" w14:textId="0010073F">
            <w:pPr>
              <w:spacing w:after="0" w:line="269" w:lineRule="auto"/>
            </w:pPr>
            <w:r>
              <w:rPr>
                <w:b w:val="0"/>
                <w:color w:val="000000"/>
                <w:sz w:val="20"/>
              </w:rPr>
              <w:t>120</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40" w14:textId="00100741">
            <w:pPr>
              <w:spacing w:after="0" w:line="269" w:lineRule="auto"/>
            </w:pPr>
            <w:r>
              <w:rPr>
                <w:b w:val="0"/>
                <w:color w:val="000000"/>
                <w:sz w:val="20"/>
              </w:rPr>
              <w:t>483.97</w:t>
            </w:r>
          </w:p>
        </w:tc>
        <w:tc>
          <w:tcPr>
            <w:tcW w:w="13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42" w14:textId="00100743">
            <w:pPr>
              <w:spacing w:after="0" w:line="269" w:lineRule="auto"/>
            </w:pPr>
            <w:r>
              <w:rPr>
                <w:b w:val="0"/>
                <w:color w:val="000000"/>
                <w:sz w:val="20"/>
              </w:rPr>
              <w:t>461.26</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44" w14:textId="00100745">
            <w:pPr>
              <w:spacing w:after="0" w:line="269" w:lineRule="auto"/>
            </w:pPr>
            <w:r>
              <w:rPr>
                <w:b w:val="0"/>
                <w:color w:val="000000"/>
                <w:sz w:val="20"/>
              </w:rPr>
              <w:t>579.88</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46" w14:textId="00100747">
            <w:pPr>
              <w:spacing w:after="0" w:line="269" w:lineRule="auto"/>
            </w:pPr>
            <w:r>
              <w:rPr>
                <w:b w:val="0"/>
                <w:color w:val="000000"/>
                <w:sz w:val="20"/>
              </w:rPr>
              <w:t>418.07</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48" w14:textId="00100749">
            <w:pPr>
              <w:spacing w:after="0" w:line="269" w:lineRule="auto"/>
            </w:pPr>
            <w:r>
              <w:rPr>
                <w:b w:val="0"/>
                <w:color w:val="000000"/>
                <w:sz w:val="20"/>
              </w:rPr>
              <w:t>752.57</w:t>
            </w:r>
          </w:p>
        </w:tc>
        <w:tc>
          <w:tcPr>
            <w:tcW w:w="198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4A" w14:textId="0010074B">
            <w:pPr>
              <w:spacing w:after="0" w:line="269" w:lineRule="auto"/>
            </w:pPr>
            <w:r>
              <w:rPr>
                <w:b w:val="0"/>
                <w:color w:val="000000"/>
                <w:sz w:val="20"/>
              </w:rPr>
              <w:t>721.14</w:t>
            </w:r>
          </w:p>
        </w:tc>
      </w:tr>
      <w:tr>
        <w:trPr>
          <w:cantSplit/>
        </w:trPr>
        <w:tc>
          <w:tcPr>
            <w:tcW w:w="7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4C" w14:textId="0010074D">
            <w:pPr>
              <w:spacing w:after="0" w:line="269" w:lineRule="auto"/>
              <w:jc w:val="center"/>
            </w:pPr>
            <w:r>
              <w:rPr>
                <w:b w:val="0"/>
                <w:color w:val="000000"/>
                <w:sz w:val="20"/>
              </w:rPr>
              <w:t>200</w:t>
            </w:r>
          </w:p>
        </w:tc>
        <w:tc>
          <w:tcPr>
            <w:tcW w:w="7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4E" w14:textId="0010074F">
            <w:pPr>
              <w:spacing w:after="0" w:line="269" w:lineRule="auto"/>
            </w:pPr>
            <w:r>
              <w:rPr>
                <w:b w:val="0"/>
                <w:color w:val="000000"/>
                <w:sz w:val="20"/>
              </w:rPr>
              <w:t>120</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50" w14:textId="00100751">
            <w:pPr>
              <w:spacing w:after="0" w:line="269" w:lineRule="auto"/>
            </w:pPr>
            <w:r>
              <w:rPr>
                <w:b w:val="0"/>
                <w:color w:val="000000"/>
                <w:sz w:val="20"/>
              </w:rPr>
              <w:t>937.85</w:t>
            </w:r>
          </w:p>
        </w:tc>
        <w:tc>
          <w:tcPr>
            <w:tcW w:w="13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52" w14:textId="00100753">
            <w:pPr>
              <w:spacing w:after="0" w:line="269" w:lineRule="auto"/>
            </w:pPr>
            <w:r>
              <w:rPr>
                <w:b w:val="0"/>
                <w:color w:val="000000"/>
                <w:sz w:val="20"/>
              </w:rPr>
              <w:t>911.64</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54" w14:textId="00100755">
            <w:pPr>
              <w:spacing w:after="0" w:line="269" w:lineRule="auto"/>
            </w:pPr>
            <w:r>
              <w:rPr>
                <w:b w:val="0"/>
                <w:color w:val="000000"/>
                <w:sz w:val="20"/>
              </w:rPr>
              <w:t>1181.71</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56" w14:textId="00100757">
            <w:pPr>
              <w:spacing w:after="0" w:line="269" w:lineRule="auto"/>
            </w:pPr>
            <w:r>
              <w:rPr>
                <w:b w:val="0"/>
                <w:color w:val="000000"/>
                <w:sz w:val="20"/>
              </w:rPr>
              <w:t>809.60</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58" w14:textId="00100759">
            <w:pPr>
              <w:spacing w:after="0" w:line="269" w:lineRule="auto"/>
            </w:pPr>
            <w:r>
              <w:rPr>
                <w:b w:val="0"/>
                <w:color w:val="000000"/>
                <w:sz w:val="20"/>
              </w:rPr>
              <w:t>1188.28</w:t>
            </w:r>
          </w:p>
        </w:tc>
        <w:tc>
          <w:tcPr>
            <w:tcW w:w="198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5A" w14:textId="0010075B">
            <w:pPr>
              <w:spacing w:after="0" w:line="269" w:lineRule="auto"/>
            </w:pPr>
            <w:r>
              <w:rPr>
                <w:b w:val="0"/>
                <w:color w:val="000000"/>
                <w:sz w:val="20"/>
              </w:rPr>
              <w:t>784.46</w:t>
            </w:r>
          </w:p>
        </w:tc>
      </w:tr>
      <w:tr>
        <w:trPr>
          <w:cantSplit/>
        </w:trPr>
        <w:tc>
          <w:tcPr>
            <w:tcW w:w="7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5C" w14:textId="0010075D">
            <w:pPr>
              <w:spacing w:after="0" w:line="269" w:lineRule="auto"/>
              <w:jc w:val="center"/>
            </w:pPr>
            <w:r>
              <w:rPr>
                <w:b w:val="0"/>
                <w:color w:val="000000"/>
                <w:sz w:val="20"/>
              </w:rPr>
              <w:t>10</w:t>
            </w:r>
          </w:p>
        </w:tc>
        <w:tc>
          <w:tcPr>
            <w:tcW w:w="7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5E" w14:textId="0010075F">
            <w:pPr>
              <w:spacing w:after="0" w:line="269" w:lineRule="auto"/>
            </w:pPr>
            <w:r>
              <w:rPr>
                <w:b w:val="0"/>
                <w:color w:val="000000"/>
                <w:sz w:val="20"/>
              </w:rPr>
              <w:t>240</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60" w14:textId="00100761">
            <w:pPr>
              <w:spacing w:after="0" w:line="269" w:lineRule="auto"/>
            </w:pPr>
            <w:r>
              <w:rPr>
                <w:b w:val="0"/>
                <w:color w:val="000000"/>
                <w:sz w:val="20"/>
              </w:rPr>
              <w:t>57.22</w:t>
            </w:r>
          </w:p>
        </w:tc>
        <w:tc>
          <w:tcPr>
            <w:tcW w:w="13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62" w14:textId="00100763">
            <w:pPr>
              <w:spacing w:after="0" w:line="269" w:lineRule="auto"/>
            </w:pPr>
            <w:r>
              <w:rPr>
                <w:b w:val="0"/>
                <w:color w:val="000000"/>
                <w:sz w:val="20"/>
              </w:rPr>
              <w:t>57.45</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64" w14:textId="00100765">
            <w:pPr>
              <w:spacing w:after="0" w:line="269" w:lineRule="auto"/>
            </w:pPr>
            <w:r>
              <w:rPr>
                <w:b w:val="0"/>
                <w:color w:val="000000"/>
                <w:sz w:val="20"/>
              </w:rPr>
              <w:t>61.05</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66" w14:textId="00100767">
            <w:pPr>
              <w:spacing w:after="0" w:line="269" w:lineRule="auto"/>
            </w:pPr>
            <w:r>
              <w:rPr>
                <w:b w:val="0"/>
                <w:color w:val="000000"/>
                <w:sz w:val="20"/>
              </w:rPr>
              <w:t>51.17</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68" w14:textId="00100769">
            <w:pPr>
              <w:spacing w:after="0" w:line="269" w:lineRule="auto"/>
            </w:pPr>
            <w:r>
              <w:rPr>
                <w:b w:val="0"/>
                <w:color w:val="000000"/>
                <w:sz w:val="20"/>
              </w:rPr>
              <w:t>61.94</w:t>
            </w:r>
          </w:p>
        </w:tc>
        <w:tc>
          <w:tcPr>
            <w:tcW w:w="198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6A" w14:textId="0010076B">
            <w:pPr>
              <w:spacing w:after="0" w:line="269" w:lineRule="auto"/>
            </w:pPr>
            <w:r>
              <w:rPr>
                <w:b w:val="0"/>
                <w:color w:val="000000"/>
                <w:sz w:val="20"/>
              </w:rPr>
              <w:t>783.33</w:t>
            </w:r>
          </w:p>
        </w:tc>
      </w:tr>
      <w:tr>
        <w:trPr>
          <w:cantSplit/>
        </w:trPr>
        <w:tc>
          <w:tcPr>
            <w:tcW w:w="7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6C" w14:textId="0010076D">
            <w:pPr>
              <w:spacing w:after="0" w:line="269" w:lineRule="auto"/>
              <w:jc w:val="center"/>
            </w:pPr>
            <w:r>
              <w:rPr>
                <w:b w:val="0"/>
                <w:color w:val="000000"/>
                <w:sz w:val="20"/>
              </w:rPr>
              <w:t>50</w:t>
            </w:r>
          </w:p>
        </w:tc>
        <w:tc>
          <w:tcPr>
            <w:tcW w:w="7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6E" w14:textId="0010076F">
            <w:pPr>
              <w:spacing w:after="0" w:line="269" w:lineRule="auto"/>
            </w:pPr>
            <w:r>
              <w:rPr>
                <w:b w:val="0"/>
                <w:color w:val="000000"/>
                <w:sz w:val="20"/>
              </w:rPr>
              <w:t>240</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70" w14:textId="00100771">
            <w:pPr>
              <w:spacing w:after="0" w:line="269" w:lineRule="auto"/>
            </w:pPr>
            <w:r>
              <w:rPr>
                <w:b w:val="0"/>
                <w:color w:val="000000"/>
                <w:sz w:val="20"/>
              </w:rPr>
              <w:t>257.61</w:t>
            </w:r>
          </w:p>
        </w:tc>
        <w:tc>
          <w:tcPr>
            <w:tcW w:w="13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72" w14:textId="00100773">
            <w:pPr>
              <w:spacing w:after="0" w:line="269" w:lineRule="auto"/>
            </w:pPr>
            <w:r>
              <w:rPr>
                <w:b w:val="0"/>
                <w:color w:val="000000"/>
                <w:sz w:val="20"/>
              </w:rPr>
              <w:t>258.94</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74" w14:textId="00100775">
            <w:pPr>
              <w:spacing w:after="0" w:line="269" w:lineRule="auto"/>
            </w:pPr>
            <w:r>
              <w:rPr>
                <w:b w:val="0"/>
                <w:color w:val="000000"/>
                <w:sz w:val="20"/>
              </w:rPr>
              <w:t>272.12</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76" w14:textId="00100777">
            <w:pPr>
              <w:spacing w:after="0" w:line="269" w:lineRule="auto"/>
            </w:pPr>
            <w:r>
              <w:rPr>
                <w:b w:val="0"/>
                <w:color w:val="000000"/>
                <w:sz w:val="20"/>
              </w:rPr>
              <w:t>239.09</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78" w14:textId="00100779">
            <w:pPr>
              <w:spacing w:after="0" w:line="269" w:lineRule="auto"/>
            </w:pPr>
            <w:r>
              <w:rPr>
                <w:b w:val="0"/>
                <w:color w:val="000000"/>
                <w:sz w:val="20"/>
              </w:rPr>
              <w:t>279.60</w:t>
            </w:r>
          </w:p>
        </w:tc>
        <w:tc>
          <w:tcPr>
            <w:tcW w:w="198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7A" w14:textId="0010077B">
            <w:pPr>
              <w:spacing w:after="0" w:line="269" w:lineRule="auto"/>
            </w:pPr>
            <w:r>
              <w:rPr>
                <w:b w:val="0"/>
                <w:color w:val="000000"/>
                <w:sz w:val="20"/>
              </w:rPr>
              <w:t>801.80</w:t>
            </w:r>
          </w:p>
        </w:tc>
      </w:tr>
      <w:tr>
        <w:trPr>
          <w:cantSplit/>
        </w:trPr>
        <w:tc>
          <w:tcPr>
            <w:tcW w:w="7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7C" w14:textId="0010077D">
            <w:pPr>
              <w:spacing w:after="0" w:line="269" w:lineRule="auto"/>
              <w:jc w:val="center"/>
            </w:pPr>
            <w:r>
              <w:rPr>
                <w:b w:val="0"/>
                <w:color w:val="000000"/>
                <w:sz w:val="20"/>
              </w:rPr>
              <w:t>100</w:t>
            </w:r>
          </w:p>
        </w:tc>
        <w:tc>
          <w:tcPr>
            <w:tcW w:w="7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7E" w14:textId="0010077F">
            <w:pPr>
              <w:spacing w:after="0" w:line="269" w:lineRule="auto"/>
            </w:pPr>
            <w:r>
              <w:rPr>
                <w:b w:val="0"/>
                <w:color w:val="000000"/>
                <w:sz w:val="20"/>
              </w:rPr>
              <w:t>240</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80" w14:textId="00100781">
            <w:pPr>
              <w:spacing w:after="0" w:line="269" w:lineRule="auto"/>
            </w:pPr>
            <w:r>
              <w:rPr>
                <w:b w:val="0"/>
                <w:color w:val="000000"/>
                <w:sz w:val="20"/>
              </w:rPr>
              <w:t>520.95</w:t>
            </w:r>
          </w:p>
        </w:tc>
        <w:tc>
          <w:tcPr>
            <w:tcW w:w="13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82" w14:textId="00100783">
            <w:pPr>
              <w:spacing w:after="0" w:line="269" w:lineRule="auto"/>
            </w:pPr>
            <w:r>
              <w:rPr>
                <w:b w:val="0"/>
                <w:color w:val="000000"/>
                <w:sz w:val="20"/>
              </w:rPr>
              <w:t>506.79</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84" w14:textId="00100785">
            <w:pPr>
              <w:spacing w:after="0" w:line="269" w:lineRule="auto"/>
            </w:pPr>
            <w:r>
              <w:rPr>
                <w:b w:val="0"/>
                <w:color w:val="000000"/>
                <w:sz w:val="20"/>
              </w:rPr>
              <w:t>578.46</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86" w14:textId="00100787">
            <w:pPr>
              <w:spacing w:after="0" w:line="269" w:lineRule="auto"/>
            </w:pPr>
            <w:r>
              <w:rPr>
                <w:b w:val="0"/>
                <w:color w:val="000000"/>
                <w:sz w:val="20"/>
              </w:rPr>
              <w:t>472.93</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88" w14:textId="00100789">
            <w:pPr>
              <w:spacing w:after="0" w:line="269" w:lineRule="auto"/>
            </w:pPr>
            <w:r>
              <w:rPr>
                <w:b w:val="0"/>
                <w:color w:val="000000"/>
                <w:sz w:val="20"/>
              </w:rPr>
              <w:t>777.92</w:t>
            </w:r>
          </w:p>
        </w:tc>
        <w:tc>
          <w:tcPr>
            <w:tcW w:w="198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8A" w14:textId="0010078B">
            <w:pPr>
              <w:spacing w:after="0" w:line="269" w:lineRule="auto"/>
            </w:pPr>
            <w:r>
              <w:rPr>
                <w:b w:val="0"/>
                <w:color w:val="000000"/>
                <w:sz w:val="20"/>
              </w:rPr>
              <w:t>831.01</w:t>
            </w:r>
          </w:p>
        </w:tc>
      </w:tr>
      <w:tr>
        <w:trPr>
          <w:cantSplit/>
        </w:trPr>
        <w:tc>
          <w:tcPr>
            <w:tcW w:w="7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8C" w14:textId="0010078D">
            <w:pPr>
              <w:spacing w:after="0" w:line="269" w:lineRule="auto"/>
              <w:jc w:val="center"/>
            </w:pPr>
            <w:r>
              <w:rPr>
                <w:b w:val="0"/>
                <w:color w:val="000000"/>
                <w:sz w:val="20"/>
              </w:rPr>
              <w:t>200</w:t>
            </w:r>
          </w:p>
        </w:tc>
        <w:tc>
          <w:tcPr>
            <w:tcW w:w="7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8E" w14:textId="0010078F">
            <w:pPr>
              <w:spacing w:after="0" w:line="269" w:lineRule="auto"/>
            </w:pPr>
            <w:r>
              <w:rPr>
                <w:b w:val="0"/>
                <w:color w:val="000000"/>
                <w:sz w:val="20"/>
              </w:rPr>
              <w:t>240</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90" w14:textId="00100791">
            <w:pPr>
              <w:spacing w:after="0" w:line="269" w:lineRule="auto"/>
            </w:pPr>
            <w:r>
              <w:rPr>
                <w:b w:val="0"/>
                <w:color w:val="000000"/>
                <w:sz w:val="20"/>
              </w:rPr>
              <w:t>1044.43</w:t>
            </w:r>
          </w:p>
        </w:tc>
        <w:tc>
          <w:tcPr>
            <w:tcW w:w="13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92" w14:textId="00100793">
            <w:pPr>
              <w:spacing w:after="0" w:line="269" w:lineRule="auto"/>
            </w:pPr>
            <w:r>
              <w:rPr>
                <w:b w:val="0"/>
                <w:color w:val="000000"/>
                <w:sz w:val="20"/>
              </w:rPr>
              <w:t>1003.80</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94" w14:textId="00100795">
            <w:pPr>
              <w:spacing w:after="0" w:line="269" w:lineRule="auto"/>
            </w:pPr>
            <w:r>
              <w:rPr>
                <w:b w:val="0"/>
                <w:color w:val="000000"/>
                <w:sz w:val="20"/>
              </w:rPr>
              <w:t>1308.94</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96" w14:textId="00100797">
            <w:pPr>
              <w:spacing w:after="0" w:line="269" w:lineRule="auto"/>
            </w:pPr>
            <w:r>
              <w:rPr>
                <w:b w:val="0"/>
                <w:color w:val="000000"/>
                <w:sz w:val="20"/>
              </w:rPr>
              <w:t>959.56</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98" w14:textId="00100799">
            <w:pPr>
              <w:spacing w:after="0" w:line="269" w:lineRule="auto"/>
            </w:pPr>
            <w:r>
              <w:rPr>
                <w:b w:val="0"/>
                <w:color w:val="000000"/>
                <w:sz w:val="20"/>
              </w:rPr>
              <w:t>1315.03</w:t>
            </w:r>
          </w:p>
        </w:tc>
        <w:tc>
          <w:tcPr>
            <w:tcW w:w="198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9A" w14:textId="0010079B">
            <w:pPr>
              <w:spacing w:after="0" w:line="269" w:lineRule="auto"/>
            </w:pPr>
            <w:r>
              <w:rPr>
                <w:b w:val="0"/>
                <w:color w:val="000000"/>
                <w:sz w:val="20"/>
              </w:rPr>
              <w:t>901.02</w:t>
            </w:r>
          </w:p>
        </w:tc>
      </w:tr>
    </w:tbl>
    <w:p w14:paraId="0010079C" w14:textId="0010079D">
      <w:pPr>
        <w:spacing w:after="40"/>
      </w:pPr>
    </w:p>
    <w:p w14:paraId="0010079E" w14:textId="0010079F">
      <w:pPr>
        <w:widowControl/>
      </w:pPr>
      <w:r>
        <w:rPr>
          <w:b w:val="0"/>
        </w:rPr>
        <w:t>每目标120输入点时，100目标的中位耗时461.26 ms、P95为579.88 ms；200目标中位911.64 ms、P95为1181.71 ms。目标数增加时请求成本上升，不能只根据小规模样本承诺大规模时延。</w:t>
      </w:r>
    </w:p>
    <w:p w14:paraId="001007A0" w14:textId="001007A1">
      <w:pPr>
        <w:widowControl/>
      </w:pPr>
      <w:r>
        <w:rPr>
          <w:b w:val="0"/>
        </w:rPr>
        <w:t>均值、中位数、尾部与最大值共同保留。当前未设置公司验收阈值，不把某一行直接判为达标。24次样本的P95属于初步估计，仍需长时间和更大样本量检查尾部稳定性。</w:t>
      </w:r>
    </w:p>
    <w:p w14:paraId="001007A2" w14:textId="001007A3">
      <w:pPr>
        <w:widowControl/>
      </w:pPr>
      <w:r>
        <w:rPr>
          <w:b w:val="0"/>
        </w:rPr>
        <w:t>进程RSS受连续场景测试和有界请求缓存保留影响；不能把两行RSS之差理解为两种输入独立的增量内存。串行耗时也不能直接换算生产并发QPS。</w:t>
      </w:r>
    </w:p>
    <w:p w14:paraId="001007A4" w14:textId="001007A5">
      <w:pPr>
        <w:widowControl/>
        <w:spacing w:line="276" w:lineRule="auto"/>
      </w:pPr>
      <w:r>
        <w:rPr>
          <w:b w:val="0"/>
          <w:sz w:val="18"/>
        </w:rPr>
        <w:t>实现与证据  results.json/api中separated布局记录；完整逐次耗时可按seed追溯。 仿真原始记录见E05至E08。</w:t>
      </w:r>
    </w:p>
    <w:p w14:paraId="001007A6" w14:textId="001007A7">
      <w:r>
        <w:br w:type="page"/>
      </w:r>
    </w:p>
    <w:p w14:paraId="001007A8" w14:textId="001007A9">
      <w:pPr>
        <w:pStyle w:val="Heading1"/>
      </w:pPr>
      <w:r>
        <w:t>18.10 密集布局的完整规模结果</w:t>
      </w:r>
    </w:p>
    <w:p w14:paraId="001007AA" w14:textId="001007AB">
      <w:pPr>
        <w:widowControl/>
      </w:pPr>
      <w:r>
        <w:rPr>
          <w:b w:val="0"/>
        </w:rPr>
        <w:t>下表各行均为3个随机种子合并的24次热态计时。所有时延单位为毫秒；RSS单位为MiB，表示该行测量期间的抽样进程峰值。输入点数与实际意图窗口的关系见第18.8节。</w:t>
      </w:r>
    </w:p>
    <w:tbl>
      <w:tblPr>
        <w:tblW w:w="0" w:type="auto"/>
        <w:jc w:val="center"/>
        <w:tblLayout w:type="fixed"/>
        <w:tblLook w:val="04A0" w:firstRow="1" w:lastRow="0" w:firstColumn="1" w:lastColumn="0" w:noHBand="0" w:noVBand="1"/>
      </w:tblPr>
      <w:tblGrid>
        <w:gridCol w:w="720"/>
        <w:gridCol w:w="792"/>
        <w:gridCol w:w="1267"/>
        <w:gridCol w:w="1368"/>
        <w:gridCol w:w="1267"/>
        <w:gridCol w:w="1267"/>
        <w:gridCol w:w="1267"/>
        <w:gridCol w:w="1987"/>
      </w:tblGrid>
      <w:tr>
        <w:trPr>
          <w:tblHeader/>
          <w:cantSplit/>
        </w:trPr>
        <w:tc>
          <w:tcPr>
            <w:tcW w:w="72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7AC" w14:textId="001007AD">
            <w:pPr>
              <w:spacing w:after="0" w:line="269" w:lineRule="auto"/>
              <w:jc w:val="center"/>
            </w:pPr>
            <w:r>
              <w:rPr>
                <w:b/>
                <w:color w:val="000000"/>
                <w:sz w:val="20"/>
              </w:rPr>
              <w:t>目标数</w:t>
            </w:r>
          </w:p>
        </w:tc>
        <w:tc>
          <w:tcPr>
            <w:tcW w:w="79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7AE" w14:textId="001007AF">
            <w:pPr>
              <w:spacing w:after="0" w:line="269" w:lineRule="auto"/>
            </w:pPr>
            <w:r>
              <w:rPr>
                <w:b/>
                <w:color w:val="000000"/>
                <w:sz w:val="20"/>
              </w:rPr>
              <w:t>输入点</w:t>
            </w:r>
          </w:p>
        </w:tc>
        <w:tc>
          <w:tcPr>
            <w:tcW w:w="1267"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7B0" w14:textId="001007B1">
            <w:pPr>
              <w:spacing w:after="0" w:line="269" w:lineRule="auto"/>
            </w:pPr>
            <w:r>
              <w:rPr>
                <w:b/>
                <w:color w:val="000000"/>
                <w:sz w:val="20"/>
              </w:rPr>
              <w:t>均值</w:t>
            </w:r>
          </w:p>
        </w:tc>
        <w:tc>
          <w:tcPr>
            <w:tcW w:w="136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7B2" w14:textId="001007B3">
            <w:pPr>
              <w:spacing w:after="0" w:line="269" w:lineRule="auto"/>
            </w:pPr>
            <w:r>
              <w:rPr>
                <w:b/>
                <w:color w:val="000000"/>
                <w:sz w:val="20"/>
              </w:rPr>
              <w:t>中位数</w:t>
            </w:r>
          </w:p>
        </w:tc>
        <w:tc>
          <w:tcPr>
            <w:tcW w:w="1267"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7B4" w14:textId="001007B5">
            <w:pPr>
              <w:spacing w:after="0" w:line="269" w:lineRule="auto"/>
            </w:pPr>
            <w:r>
              <w:rPr>
                <w:b/>
                <w:color w:val="000000"/>
                <w:sz w:val="20"/>
              </w:rPr>
              <w:t>P95</w:t>
            </w:r>
          </w:p>
        </w:tc>
        <w:tc>
          <w:tcPr>
            <w:tcW w:w="1267"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7B6" w14:textId="001007B7">
            <w:pPr>
              <w:spacing w:after="0" w:line="269" w:lineRule="auto"/>
            </w:pPr>
            <w:r>
              <w:rPr>
                <w:b/>
                <w:color w:val="000000"/>
                <w:sz w:val="20"/>
              </w:rPr>
              <w:t>最小值</w:t>
            </w:r>
          </w:p>
        </w:tc>
        <w:tc>
          <w:tcPr>
            <w:tcW w:w="1267"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7B8" w14:textId="001007B9">
            <w:pPr>
              <w:spacing w:after="0" w:line="269" w:lineRule="auto"/>
            </w:pPr>
            <w:r>
              <w:rPr>
                <w:b/>
                <w:color w:val="000000"/>
                <w:sz w:val="20"/>
              </w:rPr>
              <w:t>最大值</w:t>
            </w:r>
          </w:p>
        </w:tc>
        <w:tc>
          <w:tcPr>
            <w:tcW w:w="1987"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7BA" w14:textId="001007BB">
            <w:pPr>
              <w:spacing w:after="0" w:line="269" w:lineRule="auto"/>
            </w:pPr>
            <w:r>
              <w:rPr>
                <w:b/>
                <w:color w:val="000000"/>
                <w:sz w:val="20"/>
              </w:rPr>
              <w:t>进程RSS</w:t>
            </w:r>
          </w:p>
        </w:tc>
      </w:tr>
      <w:tr>
        <w:trPr>
          <w:cantSplit/>
        </w:trPr>
        <w:tc>
          <w:tcPr>
            <w:tcW w:w="7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BC" w14:textId="001007BD">
            <w:pPr>
              <w:spacing w:after="0" w:line="269" w:lineRule="auto"/>
              <w:jc w:val="center"/>
            </w:pPr>
            <w:r>
              <w:rPr>
                <w:b w:val="0"/>
                <w:color w:val="000000"/>
                <w:sz w:val="20"/>
              </w:rPr>
              <w:t>10</w:t>
            </w:r>
          </w:p>
        </w:tc>
        <w:tc>
          <w:tcPr>
            <w:tcW w:w="7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BE" w14:textId="001007BF">
            <w:pPr>
              <w:spacing w:after="0" w:line="269" w:lineRule="auto"/>
            </w:pPr>
            <w:r>
              <w:rPr>
                <w:b w:val="0"/>
                <w:color w:val="000000"/>
                <w:sz w:val="20"/>
              </w:rPr>
              <w:t>30</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C0" w14:textId="001007C1">
            <w:pPr>
              <w:spacing w:after="0" w:line="269" w:lineRule="auto"/>
            </w:pPr>
            <w:r>
              <w:rPr>
                <w:b w:val="0"/>
                <w:color w:val="000000"/>
                <w:sz w:val="20"/>
              </w:rPr>
              <w:t>40.90</w:t>
            </w:r>
          </w:p>
        </w:tc>
        <w:tc>
          <w:tcPr>
            <w:tcW w:w="13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C2" w14:textId="001007C3">
            <w:pPr>
              <w:spacing w:after="0" w:line="269" w:lineRule="auto"/>
            </w:pPr>
            <w:r>
              <w:rPr>
                <w:b w:val="0"/>
                <w:color w:val="000000"/>
                <w:sz w:val="20"/>
              </w:rPr>
              <w:t>40.84</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C4" w14:textId="001007C5">
            <w:pPr>
              <w:spacing w:after="0" w:line="269" w:lineRule="auto"/>
            </w:pPr>
            <w:r>
              <w:rPr>
                <w:b w:val="0"/>
                <w:color w:val="000000"/>
                <w:sz w:val="20"/>
              </w:rPr>
              <w:t>45.43</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C6" w14:textId="001007C7">
            <w:pPr>
              <w:spacing w:after="0" w:line="269" w:lineRule="auto"/>
            </w:pPr>
            <w:r>
              <w:rPr>
                <w:b w:val="0"/>
                <w:color w:val="000000"/>
                <w:sz w:val="20"/>
              </w:rPr>
              <w:t>37.03</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C8" w14:textId="001007C9">
            <w:pPr>
              <w:spacing w:after="0" w:line="269" w:lineRule="auto"/>
            </w:pPr>
            <w:r>
              <w:rPr>
                <w:b w:val="0"/>
                <w:color w:val="000000"/>
                <w:sz w:val="20"/>
              </w:rPr>
              <w:t>45.87</w:t>
            </w:r>
          </w:p>
        </w:tc>
        <w:tc>
          <w:tcPr>
            <w:tcW w:w="198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CA" w14:textId="001007CB">
            <w:pPr>
              <w:spacing w:after="0" w:line="269" w:lineRule="auto"/>
            </w:pPr>
            <w:r>
              <w:rPr>
                <w:b w:val="0"/>
                <w:color w:val="000000"/>
                <w:sz w:val="20"/>
              </w:rPr>
              <w:t>884.95</w:t>
            </w:r>
          </w:p>
        </w:tc>
      </w:tr>
      <w:tr>
        <w:trPr>
          <w:cantSplit/>
        </w:trPr>
        <w:tc>
          <w:tcPr>
            <w:tcW w:w="7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CC" w14:textId="001007CD">
            <w:pPr>
              <w:spacing w:after="0" w:line="269" w:lineRule="auto"/>
              <w:jc w:val="center"/>
            </w:pPr>
            <w:r>
              <w:rPr>
                <w:b w:val="0"/>
                <w:color w:val="000000"/>
                <w:sz w:val="20"/>
              </w:rPr>
              <w:t>50</w:t>
            </w:r>
          </w:p>
        </w:tc>
        <w:tc>
          <w:tcPr>
            <w:tcW w:w="7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CE" w14:textId="001007CF">
            <w:pPr>
              <w:spacing w:after="0" w:line="269" w:lineRule="auto"/>
            </w:pPr>
            <w:r>
              <w:rPr>
                <w:b w:val="0"/>
                <w:color w:val="000000"/>
                <w:sz w:val="20"/>
              </w:rPr>
              <w:t>30</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D0" w14:textId="001007D1">
            <w:pPr>
              <w:spacing w:after="0" w:line="269" w:lineRule="auto"/>
            </w:pPr>
            <w:r>
              <w:rPr>
                <w:b w:val="0"/>
                <w:color w:val="000000"/>
                <w:sz w:val="20"/>
              </w:rPr>
              <w:t>187.53</w:t>
            </w:r>
          </w:p>
        </w:tc>
        <w:tc>
          <w:tcPr>
            <w:tcW w:w="13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D2" w14:textId="001007D3">
            <w:pPr>
              <w:spacing w:after="0" w:line="269" w:lineRule="auto"/>
            </w:pPr>
            <w:r>
              <w:rPr>
                <w:b w:val="0"/>
                <w:color w:val="000000"/>
                <w:sz w:val="20"/>
              </w:rPr>
              <w:t>173.57</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D4" w14:textId="001007D5">
            <w:pPr>
              <w:spacing w:after="0" w:line="269" w:lineRule="auto"/>
            </w:pPr>
            <w:r>
              <w:rPr>
                <w:b w:val="0"/>
                <w:color w:val="000000"/>
                <w:sz w:val="20"/>
              </w:rPr>
              <w:t>183.72</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D6" w14:textId="001007D7">
            <w:pPr>
              <w:spacing w:after="0" w:line="269" w:lineRule="auto"/>
            </w:pPr>
            <w:r>
              <w:rPr>
                <w:b w:val="0"/>
                <w:color w:val="000000"/>
                <w:sz w:val="20"/>
              </w:rPr>
              <w:t>164.59</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D8" w14:textId="001007D9">
            <w:pPr>
              <w:spacing w:after="0" w:line="269" w:lineRule="auto"/>
            </w:pPr>
            <w:r>
              <w:rPr>
                <w:b w:val="0"/>
                <w:color w:val="000000"/>
                <w:sz w:val="20"/>
              </w:rPr>
              <w:t>506.37</w:t>
            </w:r>
          </w:p>
        </w:tc>
        <w:tc>
          <w:tcPr>
            <w:tcW w:w="198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DA" w14:textId="001007DB">
            <w:pPr>
              <w:spacing w:after="0" w:line="269" w:lineRule="auto"/>
            </w:pPr>
            <w:r>
              <w:rPr>
                <w:b w:val="0"/>
                <w:color w:val="000000"/>
                <w:sz w:val="20"/>
              </w:rPr>
              <w:t>887.48</w:t>
            </w:r>
          </w:p>
        </w:tc>
      </w:tr>
      <w:tr>
        <w:trPr>
          <w:cantSplit/>
        </w:trPr>
        <w:tc>
          <w:tcPr>
            <w:tcW w:w="7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DC" w14:textId="001007DD">
            <w:pPr>
              <w:spacing w:after="0" w:line="269" w:lineRule="auto"/>
              <w:jc w:val="center"/>
            </w:pPr>
            <w:r>
              <w:rPr>
                <w:b w:val="0"/>
                <w:color w:val="000000"/>
                <w:sz w:val="20"/>
              </w:rPr>
              <w:t>100</w:t>
            </w:r>
          </w:p>
        </w:tc>
        <w:tc>
          <w:tcPr>
            <w:tcW w:w="7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DE" w14:textId="001007DF">
            <w:pPr>
              <w:spacing w:after="0" w:line="269" w:lineRule="auto"/>
            </w:pPr>
            <w:r>
              <w:rPr>
                <w:b w:val="0"/>
                <w:color w:val="000000"/>
                <w:sz w:val="20"/>
              </w:rPr>
              <w:t>30</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E0" w14:textId="001007E1">
            <w:pPr>
              <w:spacing w:after="0" w:line="269" w:lineRule="auto"/>
            </w:pPr>
            <w:r>
              <w:rPr>
                <w:b w:val="0"/>
                <w:color w:val="000000"/>
                <w:sz w:val="20"/>
              </w:rPr>
              <w:t>331.10</w:t>
            </w:r>
          </w:p>
        </w:tc>
        <w:tc>
          <w:tcPr>
            <w:tcW w:w="13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E2" w14:textId="001007E3">
            <w:pPr>
              <w:spacing w:after="0" w:line="269" w:lineRule="auto"/>
            </w:pPr>
            <w:r>
              <w:rPr>
                <w:b w:val="0"/>
                <w:color w:val="000000"/>
                <w:sz w:val="20"/>
              </w:rPr>
              <w:t>316.76</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E4" w14:textId="001007E5">
            <w:pPr>
              <w:spacing w:after="0" w:line="269" w:lineRule="auto"/>
            </w:pPr>
            <w:r>
              <w:rPr>
                <w:b w:val="0"/>
                <w:color w:val="000000"/>
                <w:sz w:val="20"/>
              </w:rPr>
              <w:t>362.24</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E6" w14:textId="001007E7">
            <w:pPr>
              <w:spacing w:after="0" w:line="269" w:lineRule="auto"/>
            </w:pPr>
            <w:r>
              <w:rPr>
                <w:b w:val="0"/>
                <w:color w:val="000000"/>
                <w:sz w:val="20"/>
              </w:rPr>
              <w:t>291.96</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E8" w14:textId="001007E9">
            <w:pPr>
              <w:spacing w:after="0" w:line="269" w:lineRule="auto"/>
            </w:pPr>
            <w:r>
              <w:rPr>
                <w:b w:val="0"/>
                <w:color w:val="000000"/>
                <w:sz w:val="20"/>
              </w:rPr>
              <w:t>650.86</w:t>
            </w:r>
          </w:p>
        </w:tc>
        <w:tc>
          <w:tcPr>
            <w:tcW w:w="198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EA" w14:textId="001007EB">
            <w:pPr>
              <w:spacing w:after="0" w:line="269" w:lineRule="auto"/>
            </w:pPr>
            <w:r>
              <w:rPr>
                <w:b w:val="0"/>
                <w:color w:val="000000"/>
                <w:sz w:val="20"/>
              </w:rPr>
              <w:t>889.98</w:t>
            </w:r>
          </w:p>
        </w:tc>
      </w:tr>
      <w:tr>
        <w:trPr>
          <w:cantSplit/>
        </w:trPr>
        <w:tc>
          <w:tcPr>
            <w:tcW w:w="7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EC" w14:textId="001007ED">
            <w:pPr>
              <w:spacing w:after="0" w:line="269" w:lineRule="auto"/>
              <w:jc w:val="center"/>
            </w:pPr>
            <w:r>
              <w:rPr>
                <w:b w:val="0"/>
                <w:color w:val="000000"/>
                <w:sz w:val="20"/>
              </w:rPr>
              <w:t>200</w:t>
            </w:r>
          </w:p>
        </w:tc>
        <w:tc>
          <w:tcPr>
            <w:tcW w:w="7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EE" w14:textId="001007EF">
            <w:pPr>
              <w:spacing w:after="0" w:line="269" w:lineRule="auto"/>
            </w:pPr>
            <w:r>
              <w:rPr>
                <w:b w:val="0"/>
                <w:color w:val="000000"/>
                <w:sz w:val="20"/>
              </w:rPr>
              <w:t>30</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F0" w14:textId="001007F1">
            <w:pPr>
              <w:spacing w:after="0" w:line="269" w:lineRule="auto"/>
            </w:pPr>
            <w:r>
              <w:rPr>
                <w:b w:val="0"/>
                <w:color w:val="000000"/>
                <w:sz w:val="20"/>
              </w:rPr>
              <w:t>603.19</w:t>
            </w:r>
          </w:p>
        </w:tc>
        <w:tc>
          <w:tcPr>
            <w:tcW w:w="13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F2" w14:textId="001007F3">
            <w:pPr>
              <w:spacing w:after="0" w:line="269" w:lineRule="auto"/>
            </w:pPr>
            <w:r>
              <w:rPr>
                <w:b w:val="0"/>
                <w:color w:val="000000"/>
                <w:sz w:val="20"/>
              </w:rPr>
              <w:t>595.16</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F4" w14:textId="001007F5">
            <w:pPr>
              <w:spacing w:after="0" w:line="269" w:lineRule="auto"/>
            </w:pPr>
            <w:r>
              <w:rPr>
                <w:b w:val="0"/>
                <w:color w:val="000000"/>
                <w:sz w:val="20"/>
              </w:rPr>
              <w:t>628.59</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F6" w14:textId="001007F7">
            <w:pPr>
              <w:spacing w:after="0" w:line="269" w:lineRule="auto"/>
            </w:pPr>
            <w:r>
              <w:rPr>
                <w:b w:val="0"/>
                <w:color w:val="000000"/>
                <w:sz w:val="20"/>
              </w:rPr>
              <w:t>559.91</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F8" w14:textId="001007F9">
            <w:pPr>
              <w:spacing w:after="0" w:line="269" w:lineRule="auto"/>
            </w:pPr>
            <w:r>
              <w:rPr>
                <w:b w:val="0"/>
                <w:color w:val="000000"/>
                <w:sz w:val="20"/>
              </w:rPr>
              <w:t>896.19</w:t>
            </w:r>
          </w:p>
        </w:tc>
        <w:tc>
          <w:tcPr>
            <w:tcW w:w="198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7FA" w14:textId="001007FB">
            <w:pPr>
              <w:spacing w:after="0" w:line="269" w:lineRule="auto"/>
            </w:pPr>
            <w:r>
              <w:rPr>
                <w:b w:val="0"/>
                <w:color w:val="000000"/>
                <w:sz w:val="20"/>
              </w:rPr>
              <w:t>932.79</w:t>
            </w:r>
          </w:p>
        </w:tc>
      </w:tr>
      <w:tr>
        <w:trPr>
          <w:cantSplit/>
        </w:trPr>
        <w:tc>
          <w:tcPr>
            <w:tcW w:w="7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FC" w14:textId="001007FD">
            <w:pPr>
              <w:spacing w:after="0" w:line="269" w:lineRule="auto"/>
              <w:jc w:val="center"/>
            </w:pPr>
            <w:r>
              <w:rPr>
                <w:b w:val="0"/>
                <w:color w:val="000000"/>
                <w:sz w:val="20"/>
              </w:rPr>
              <w:t>10</w:t>
            </w:r>
          </w:p>
        </w:tc>
        <w:tc>
          <w:tcPr>
            <w:tcW w:w="7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7FE" w14:textId="001007FF">
            <w:pPr>
              <w:spacing w:after="0" w:line="269" w:lineRule="auto"/>
            </w:pPr>
            <w:r>
              <w:rPr>
                <w:b w:val="0"/>
                <w:color w:val="000000"/>
                <w:sz w:val="20"/>
              </w:rPr>
              <w:t>120</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00" w14:textId="00100801">
            <w:pPr>
              <w:spacing w:after="0" w:line="269" w:lineRule="auto"/>
            </w:pPr>
            <w:r>
              <w:rPr>
                <w:b w:val="0"/>
                <w:color w:val="000000"/>
                <w:sz w:val="20"/>
              </w:rPr>
              <w:t>58.91</w:t>
            </w:r>
          </w:p>
        </w:tc>
        <w:tc>
          <w:tcPr>
            <w:tcW w:w="13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02" w14:textId="00100803">
            <w:pPr>
              <w:spacing w:after="0" w:line="269" w:lineRule="auto"/>
            </w:pPr>
            <w:r>
              <w:rPr>
                <w:b w:val="0"/>
                <w:color w:val="000000"/>
                <w:sz w:val="20"/>
              </w:rPr>
              <w:t>58.52</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04" w14:textId="00100805">
            <w:pPr>
              <w:spacing w:after="0" w:line="269" w:lineRule="auto"/>
            </w:pPr>
            <w:r>
              <w:rPr>
                <w:b w:val="0"/>
                <w:color w:val="000000"/>
                <w:sz w:val="20"/>
              </w:rPr>
              <w:t>67.78</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06" w14:textId="00100807">
            <w:pPr>
              <w:spacing w:after="0" w:line="269" w:lineRule="auto"/>
            </w:pPr>
            <w:r>
              <w:rPr>
                <w:b w:val="0"/>
                <w:color w:val="000000"/>
                <w:sz w:val="20"/>
              </w:rPr>
              <w:t>51.42</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08" w14:textId="00100809">
            <w:pPr>
              <w:spacing w:after="0" w:line="269" w:lineRule="auto"/>
            </w:pPr>
            <w:r>
              <w:rPr>
                <w:b w:val="0"/>
                <w:color w:val="000000"/>
                <w:sz w:val="20"/>
              </w:rPr>
              <w:t>77.45</w:t>
            </w:r>
          </w:p>
        </w:tc>
        <w:tc>
          <w:tcPr>
            <w:tcW w:w="198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0A" w14:textId="0010080B">
            <w:pPr>
              <w:spacing w:after="0" w:line="269" w:lineRule="auto"/>
            </w:pPr>
            <w:r>
              <w:rPr>
                <w:b w:val="0"/>
                <w:color w:val="000000"/>
                <w:sz w:val="20"/>
              </w:rPr>
              <w:t>932.80</w:t>
            </w:r>
          </w:p>
        </w:tc>
      </w:tr>
      <w:tr>
        <w:trPr>
          <w:cantSplit/>
        </w:trPr>
        <w:tc>
          <w:tcPr>
            <w:tcW w:w="7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0C" w14:textId="0010080D">
            <w:pPr>
              <w:spacing w:after="0" w:line="269" w:lineRule="auto"/>
              <w:jc w:val="center"/>
            </w:pPr>
            <w:r>
              <w:rPr>
                <w:b w:val="0"/>
                <w:color w:val="000000"/>
                <w:sz w:val="20"/>
              </w:rPr>
              <w:t>50</w:t>
            </w:r>
          </w:p>
        </w:tc>
        <w:tc>
          <w:tcPr>
            <w:tcW w:w="7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0E" w14:textId="0010080F">
            <w:pPr>
              <w:spacing w:after="0" w:line="269" w:lineRule="auto"/>
            </w:pPr>
            <w:r>
              <w:rPr>
                <w:b w:val="0"/>
                <w:color w:val="000000"/>
                <w:sz w:val="20"/>
              </w:rPr>
              <w:t>120</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10" w14:textId="00100811">
            <w:pPr>
              <w:spacing w:after="0" w:line="269" w:lineRule="auto"/>
            </w:pPr>
            <w:r>
              <w:rPr>
                <w:b w:val="0"/>
                <w:color w:val="000000"/>
                <w:sz w:val="20"/>
              </w:rPr>
              <w:t>239.35</w:t>
            </w:r>
          </w:p>
        </w:tc>
        <w:tc>
          <w:tcPr>
            <w:tcW w:w="13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12" w14:textId="00100813">
            <w:pPr>
              <w:spacing w:after="0" w:line="269" w:lineRule="auto"/>
            </w:pPr>
            <w:r>
              <w:rPr>
                <w:b w:val="0"/>
                <w:color w:val="000000"/>
                <w:sz w:val="20"/>
              </w:rPr>
              <w:t>240.32</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14" w14:textId="00100815">
            <w:pPr>
              <w:spacing w:after="0" w:line="269" w:lineRule="auto"/>
            </w:pPr>
            <w:r>
              <w:rPr>
                <w:b w:val="0"/>
                <w:color w:val="000000"/>
                <w:sz w:val="20"/>
              </w:rPr>
              <w:t>247.18</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16" w14:textId="00100817">
            <w:pPr>
              <w:spacing w:after="0" w:line="269" w:lineRule="auto"/>
            </w:pPr>
            <w:r>
              <w:rPr>
                <w:b w:val="0"/>
                <w:color w:val="000000"/>
                <w:sz w:val="20"/>
              </w:rPr>
              <w:t>227.40</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18" w14:textId="00100819">
            <w:pPr>
              <w:spacing w:after="0" w:line="269" w:lineRule="auto"/>
            </w:pPr>
            <w:r>
              <w:rPr>
                <w:b w:val="0"/>
                <w:color w:val="000000"/>
                <w:sz w:val="20"/>
              </w:rPr>
              <w:t>248.96</w:t>
            </w:r>
          </w:p>
        </w:tc>
        <w:tc>
          <w:tcPr>
            <w:tcW w:w="198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1A" w14:textId="0010081B">
            <w:pPr>
              <w:spacing w:after="0" w:line="269" w:lineRule="auto"/>
            </w:pPr>
            <w:r>
              <w:rPr>
                <w:b w:val="0"/>
                <w:color w:val="000000"/>
                <w:sz w:val="20"/>
              </w:rPr>
              <w:t>939.29</w:t>
            </w:r>
          </w:p>
        </w:tc>
      </w:tr>
      <w:tr>
        <w:trPr>
          <w:cantSplit/>
        </w:trPr>
        <w:tc>
          <w:tcPr>
            <w:tcW w:w="7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1C" w14:textId="0010081D">
            <w:pPr>
              <w:spacing w:after="0" w:line="269" w:lineRule="auto"/>
              <w:jc w:val="center"/>
            </w:pPr>
            <w:r>
              <w:rPr>
                <w:b w:val="0"/>
                <w:color w:val="000000"/>
                <w:sz w:val="20"/>
              </w:rPr>
              <w:t>100</w:t>
            </w:r>
          </w:p>
        </w:tc>
        <w:tc>
          <w:tcPr>
            <w:tcW w:w="7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1E" w14:textId="0010081F">
            <w:pPr>
              <w:spacing w:after="0" w:line="269" w:lineRule="auto"/>
            </w:pPr>
            <w:r>
              <w:rPr>
                <w:b w:val="0"/>
                <w:color w:val="000000"/>
                <w:sz w:val="20"/>
              </w:rPr>
              <w:t>120</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20" w14:textId="00100821">
            <w:pPr>
              <w:spacing w:after="0" w:line="269" w:lineRule="auto"/>
            </w:pPr>
            <w:r>
              <w:rPr>
                <w:b w:val="0"/>
                <w:color w:val="000000"/>
                <w:sz w:val="20"/>
              </w:rPr>
              <w:t>432.26</w:t>
            </w:r>
          </w:p>
        </w:tc>
        <w:tc>
          <w:tcPr>
            <w:tcW w:w="13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22" w14:textId="00100823">
            <w:pPr>
              <w:spacing w:after="0" w:line="269" w:lineRule="auto"/>
            </w:pPr>
            <w:r>
              <w:rPr>
                <w:b w:val="0"/>
                <w:color w:val="000000"/>
                <w:sz w:val="20"/>
              </w:rPr>
              <w:t>430.90</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24" w14:textId="00100825">
            <w:pPr>
              <w:spacing w:after="0" w:line="269" w:lineRule="auto"/>
            </w:pPr>
            <w:r>
              <w:rPr>
                <w:b w:val="0"/>
                <w:color w:val="000000"/>
                <w:sz w:val="20"/>
              </w:rPr>
              <w:t>466.34</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26" w14:textId="00100827">
            <w:pPr>
              <w:spacing w:after="0" w:line="269" w:lineRule="auto"/>
            </w:pPr>
            <w:r>
              <w:rPr>
                <w:b w:val="0"/>
                <w:color w:val="000000"/>
                <w:sz w:val="20"/>
              </w:rPr>
              <w:t>398.89</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28" w14:textId="00100829">
            <w:pPr>
              <w:spacing w:after="0" w:line="269" w:lineRule="auto"/>
            </w:pPr>
            <w:r>
              <w:rPr>
                <w:b w:val="0"/>
                <w:color w:val="000000"/>
                <w:sz w:val="20"/>
              </w:rPr>
              <w:t>469.56</w:t>
            </w:r>
          </w:p>
        </w:tc>
        <w:tc>
          <w:tcPr>
            <w:tcW w:w="198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2A" w14:textId="0010082B">
            <w:pPr>
              <w:spacing w:after="0" w:line="269" w:lineRule="auto"/>
            </w:pPr>
            <w:r>
              <w:rPr>
                <w:b w:val="0"/>
                <w:color w:val="000000"/>
                <w:sz w:val="20"/>
              </w:rPr>
              <w:t>966.17</w:t>
            </w:r>
          </w:p>
        </w:tc>
      </w:tr>
      <w:tr>
        <w:trPr>
          <w:cantSplit/>
        </w:trPr>
        <w:tc>
          <w:tcPr>
            <w:tcW w:w="7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2C" w14:textId="0010082D">
            <w:pPr>
              <w:spacing w:after="0" w:line="269" w:lineRule="auto"/>
              <w:jc w:val="center"/>
            </w:pPr>
            <w:r>
              <w:rPr>
                <w:b w:val="0"/>
                <w:color w:val="000000"/>
                <w:sz w:val="20"/>
              </w:rPr>
              <w:t>200</w:t>
            </w:r>
          </w:p>
        </w:tc>
        <w:tc>
          <w:tcPr>
            <w:tcW w:w="7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2E" w14:textId="0010082F">
            <w:pPr>
              <w:spacing w:after="0" w:line="269" w:lineRule="auto"/>
            </w:pPr>
            <w:r>
              <w:rPr>
                <w:b w:val="0"/>
                <w:color w:val="000000"/>
                <w:sz w:val="20"/>
              </w:rPr>
              <w:t>120</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30" w14:textId="00100831">
            <w:pPr>
              <w:spacing w:after="0" w:line="269" w:lineRule="auto"/>
            </w:pPr>
            <w:r>
              <w:rPr>
                <w:b w:val="0"/>
                <w:color w:val="000000"/>
                <w:sz w:val="20"/>
              </w:rPr>
              <w:t>884.40</w:t>
            </w:r>
          </w:p>
        </w:tc>
        <w:tc>
          <w:tcPr>
            <w:tcW w:w="13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32" w14:textId="00100833">
            <w:pPr>
              <w:spacing w:after="0" w:line="269" w:lineRule="auto"/>
            </w:pPr>
            <w:r>
              <w:rPr>
                <w:b w:val="0"/>
                <w:color w:val="000000"/>
                <w:sz w:val="20"/>
              </w:rPr>
              <w:t>859.13</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34" w14:textId="00100835">
            <w:pPr>
              <w:spacing w:after="0" w:line="269" w:lineRule="auto"/>
            </w:pPr>
            <w:r>
              <w:rPr>
                <w:b w:val="0"/>
                <w:color w:val="000000"/>
                <w:sz w:val="20"/>
              </w:rPr>
              <w:t>935.11</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36" w14:textId="00100837">
            <w:pPr>
              <w:spacing w:after="0" w:line="269" w:lineRule="auto"/>
            </w:pPr>
            <w:r>
              <w:rPr>
                <w:b w:val="0"/>
                <w:color w:val="000000"/>
                <w:sz w:val="20"/>
              </w:rPr>
              <w:t>820.51</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38" w14:textId="00100839">
            <w:pPr>
              <w:spacing w:after="0" w:line="269" w:lineRule="auto"/>
            </w:pPr>
            <w:r>
              <w:rPr>
                <w:b w:val="0"/>
                <w:color w:val="000000"/>
                <w:sz w:val="20"/>
              </w:rPr>
              <w:t>1268.78</w:t>
            </w:r>
          </w:p>
        </w:tc>
        <w:tc>
          <w:tcPr>
            <w:tcW w:w="198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3A" w14:textId="0010083B">
            <w:pPr>
              <w:spacing w:after="0" w:line="269" w:lineRule="auto"/>
            </w:pPr>
            <w:r>
              <w:rPr>
                <w:b w:val="0"/>
                <w:color w:val="000000"/>
                <w:sz w:val="20"/>
              </w:rPr>
              <w:t>993.61</w:t>
            </w:r>
          </w:p>
        </w:tc>
      </w:tr>
      <w:tr>
        <w:trPr>
          <w:cantSplit/>
        </w:trPr>
        <w:tc>
          <w:tcPr>
            <w:tcW w:w="7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3C" w14:textId="0010083D">
            <w:pPr>
              <w:spacing w:after="0" w:line="269" w:lineRule="auto"/>
              <w:jc w:val="center"/>
            </w:pPr>
            <w:r>
              <w:rPr>
                <w:b w:val="0"/>
                <w:color w:val="000000"/>
                <w:sz w:val="20"/>
              </w:rPr>
              <w:t>10</w:t>
            </w:r>
          </w:p>
        </w:tc>
        <w:tc>
          <w:tcPr>
            <w:tcW w:w="7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3E" w14:textId="0010083F">
            <w:pPr>
              <w:spacing w:after="0" w:line="269" w:lineRule="auto"/>
            </w:pPr>
            <w:r>
              <w:rPr>
                <w:b w:val="0"/>
                <w:color w:val="000000"/>
                <w:sz w:val="20"/>
              </w:rPr>
              <w:t>240</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40" w14:textId="00100841">
            <w:pPr>
              <w:spacing w:after="0" w:line="269" w:lineRule="auto"/>
            </w:pPr>
            <w:r>
              <w:rPr>
                <w:b w:val="0"/>
                <w:color w:val="000000"/>
                <w:sz w:val="20"/>
              </w:rPr>
              <w:t>62.93</w:t>
            </w:r>
          </w:p>
        </w:tc>
        <w:tc>
          <w:tcPr>
            <w:tcW w:w="13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42" w14:textId="00100843">
            <w:pPr>
              <w:spacing w:after="0" w:line="269" w:lineRule="auto"/>
            </w:pPr>
            <w:r>
              <w:rPr>
                <w:b w:val="0"/>
                <w:color w:val="000000"/>
                <w:sz w:val="20"/>
              </w:rPr>
              <w:t>63.23</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44" w14:textId="00100845">
            <w:pPr>
              <w:spacing w:after="0" w:line="269" w:lineRule="auto"/>
            </w:pPr>
            <w:r>
              <w:rPr>
                <w:b w:val="0"/>
                <w:color w:val="000000"/>
                <w:sz w:val="20"/>
              </w:rPr>
              <w:t>66.40</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46" w14:textId="00100847">
            <w:pPr>
              <w:spacing w:after="0" w:line="269" w:lineRule="auto"/>
            </w:pPr>
            <w:r>
              <w:rPr>
                <w:b w:val="0"/>
                <w:color w:val="000000"/>
                <w:sz w:val="20"/>
              </w:rPr>
              <w:t>58.33</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48" w14:textId="00100849">
            <w:pPr>
              <w:spacing w:after="0" w:line="269" w:lineRule="auto"/>
            </w:pPr>
            <w:r>
              <w:rPr>
                <w:b w:val="0"/>
                <w:color w:val="000000"/>
                <w:sz w:val="20"/>
              </w:rPr>
              <w:t>66.57</w:t>
            </w:r>
          </w:p>
        </w:tc>
        <w:tc>
          <w:tcPr>
            <w:tcW w:w="198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4A" w14:textId="0010084B">
            <w:pPr>
              <w:spacing w:after="0" w:line="269" w:lineRule="auto"/>
            </w:pPr>
            <w:r>
              <w:rPr>
                <w:b w:val="0"/>
                <w:color w:val="000000"/>
                <w:sz w:val="20"/>
              </w:rPr>
              <w:t>988.26</w:t>
            </w:r>
          </w:p>
        </w:tc>
      </w:tr>
      <w:tr>
        <w:trPr>
          <w:cantSplit/>
        </w:trPr>
        <w:tc>
          <w:tcPr>
            <w:tcW w:w="7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4C" w14:textId="0010084D">
            <w:pPr>
              <w:spacing w:after="0" w:line="269" w:lineRule="auto"/>
              <w:jc w:val="center"/>
            </w:pPr>
            <w:r>
              <w:rPr>
                <w:b w:val="0"/>
                <w:color w:val="000000"/>
                <w:sz w:val="20"/>
              </w:rPr>
              <w:t>50</w:t>
            </w:r>
          </w:p>
        </w:tc>
        <w:tc>
          <w:tcPr>
            <w:tcW w:w="7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4E" w14:textId="0010084F">
            <w:pPr>
              <w:spacing w:after="0" w:line="269" w:lineRule="auto"/>
            </w:pPr>
            <w:r>
              <w:rPr>
                <w:b w:val="0"/>
                <w:color w:val="000000"/>
                <w:sz w:val="20"/>
              </w:rPr>
              <w:t>240</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50" w14:textId="00100851">
            <w:pPr>
              <w:spacing w:after="0" w:line="269" w:lineRule="auto"/>
            </w:pPr>
            <w:r>
              <w:rPr>
                <w:b w:val="0"/>
                <w:color w:val="000000"/>
                <w:sz w:val="20"/>
              </w:rPr>
              <w:t>293.41</w:t>
            </w:r>
          </w:p>
        </w:tc>
        <w:tc>
          <w:tcPr>
            <w:tcW w:w="13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52" w14:textId="00100853">
            <w:pPr>
              <w:spacing w:after="0" w:line="269" w:lineRule="auto"/>
            </w:pPr>
            <w:r>
              <w:rPr>
                <w:b w:val="0"/>
                <w:color w:val="000000"/>
                <w:sz w:val="20"/>
              </w:rPr>
              <w:t>278.64</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54" w14:textId="00100855">
            <w:pPr>
              <w:spacing w:after="0" w:line="269" w:lineRule="auto"/>
            </w:pPr>
            <w:r>
              <w:rPr>
                <w:b w:val="0"/>
                <w:color w:val="000000"/>
                <w:sz w:val="20"/>
              </w:rPr>
              <w:t>334.01</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56" w14:textId="00100857">
            <w:pPr>
              <w:spacing w:after="0" w:line="269" w:lineRule="auto"/>
            </w:pPr>
            <w:r>
              <w:rPr>
                <w:b w:val="0"/>
                <w:color w:val="000000"/>
                <w:sz w:val="20"/>
              </w:rPr>
              <w:t>239.94</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58" w14:textId="00100859">
            <w:pPr>
              <w:spacing w:after="0" w:line="269" w:lineRule="auto"/>
            </w:pPr>
            <w:r>
              <w:rPr>
                <w:b w:val="0"/>
                <w:color w:val="000000"/>
                <w:sz w:val="20"/>
              </w:rPr>
              <w:t>579.88</w:t>
            </w:r>
          </w:p>
        </w:tc>
        <w:tc>
          <w:tcPr>
            <w:tcW w:w="198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5A" w14:textId="0010085B">
            <w:pPr>
              <w:spacing w:after="0" w:line="269" w:lineRule="auto"/>
            </w:pPr>
            <w:r>
              <w:rPr>
                <w:b w:val="0"/>
                <w:color w:val="000000"/>
                <w:sz w:val="20"/>
              </w:rPr>
              <w:t>998.02</w:t>
            </w:r>
          </w:p>
        </w:tc>
      </w:tr>
      <w:tr>
        <w:trPr>
          <w:cantSplit/>
        </w:trPr>
        <w:tc>
          <w:tcPr>
            <w:tcW w:w="7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5C" w14:textId="0010085D">
            <w:pPr>
              <w:spacing w:after="0" w:line="269" w:lineRule="auto"/>
              <w:jc w:val="center"/>
            </w:pPr>
            <w:r>
              <w:rPr>
                <w:b w:val="0"/>
                <w:color w:val="000000"/>
                <w:sz w:val="20"/>
              </w:rPr>
              <w:t>100</w:t>
            </w:r>
          </w:p>
        </w:tc>
        <w:tc>
          <w:tcPr>
            <w:tcW w:w="7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5E" w14:textId="0010085F">
            <w:pPr>
              <w:spacing w:after="0" w:line="269" w:lineRule="auto"/>
            </w:pPr>
            <w:r>
              <w:rPr>
                <w:b w:val="0"/>
                <w:color w:val="000000"/>
                <w:sz w:val="20"/>
              </w:rPr>
              <w:t>240</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60" w14:textId="00100861">
            <w:pPr>
              <w:spacing w:after="0" w:line="269" w:lineRule="auto"/>
            </w:pPr>
            <w:r>
              <w:rPr>
                <w:b w:val="0"/>
                <w:color w:val="000000"/>
                <w:sz w:val="20"/>
              </w:rPr>
              <w:t>510.57</w:t>
            </w:r>
          </w:p>
        </w:tc>
        <w:tc>
          <w:tcPr>
            <w:tcW w:w="136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62" w14:textId="00100863">
            <w:pPr>
              <w:spacing w:after="0" w:line="269" w:lineRule="auto"/>
            </w:pPr>
            <w:r>
              <w:rPr>
                <w:b w:val="0"/>
                <w:color w:val="000000"/>
                <w:sz w:val="20"/>
              </w:rPr>
              <w:t>507.25</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64" w14:textId="00100865">
            <w:pPr>
              <w:spacing w:after="0" w:line="269" w:lineRule="auto"/>
            </w:pPr>
            <w:r>
              <w:rPr>
                <w:b w:val="0"/>
                <w:color w:val="000000"/>
                <w:sz w:val="20"/>
              </w:rPr>
              <w:t>550.78</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66" w14:textId="00100867">
            <w:pPr>
              <w:spacing w:after="0" w:line="269" w:lineRule="auto"/>
            </w:pPr>
            <w:r>
              <w:rPr>
                <w:b w:val="0"/>
                <w:color w:val="000000"/>
                <w:sz w:val="20"/>
              </w:rPr>
              <w:t>480.48</w:t>
            </w:r>
          </w:p>
        </w:tc>
        <w:tc>
          <w:tcPr>
            <w:tcW w:w="126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68" w14:textId="00100869">
            <w:pPr>
              <w:spacing w:after="0" w:line="269" w:lineRule="auto"/>
            </w:pPr>
            <w:r>
              <w:rPr>
                <w:b w:val="0"/>
                <w:color w:val="000000"/>
                <w:sz w:val="20"/>
              </w:rPr>
              <w:t>567.13</w:t>
            </w:r>
          </w:p>
        </w:tc>
        <w:tc>
          <w:tcPr>
            <w:tcW w:w="1987"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6A" w14:textId="0010086B">
            <w:pPr>
              <w:spacing w:after="0" w:line="269" w:lineRule="auto"/>
            </w:pPr>
            <w:r>
              <w:rPr>
                <w:b w:val="0"/>
                <w:color w:val="000000"/>
                <w:sz w:val="20"/>
              </w:rPr>
              <w:t>1010.22</w:t>
            </w:r>
          </w:p>
        </w:tc>
      </w:tr>
      <w:tr>
        <w:trPr>
          <w:cantSplit/>
        </w:trPr>
        <w:tc>
          <w:tcPr>
            <w:tcW w:w="7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6C" w14:textId="0010086D">
            <w:pPr>
              <w:spacing w:after="0" w:line="269" w:lineRule="auto"/>
              <w:jc w:val="center"/>
            </w:pPr>
            <w:r>
              <w:rPr>
                <w:b w:val="0"/>
                <w:color w:val="000000"/>
                <w:sz w:val="20"/>
              </w:rPr>
              <w:t>200</w:t>
            </w:r>
          </w:p>
        </w:tc>
        <w:tc>
          <w:tcPr>
            <w:tcW w:w="7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6E" w14:textId="0010086F">
            <w:pPr>
              <w:spacing w:after="0" w:line="269" w:lineRule="auto"/>
            </w:pPr>
            <w:r>
              <w:rPr>
                <w:b w:val="0"/>
                <w:color w:val="000000"/>
                <w:sz w:val="20"/>
              </w:rPr>
              <w:t>240</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70" w14:textId="00100871">
            <w:pPr>
              <w:spacing w:after="0" w:line="269" w:lineRule="auto"/>
            </w:pPr>
            <w:r>
              <w:rPr>
                <w:b w:val="0"/>
                <w:color w:val="000000"/>
                <w:sz w:val="20"/>
              </w:rPr>
              <w:t>967.27</w:t>
            </w:r>
          </w:p>
        </w:tc>
        <w:tc>
          <w:tcPr>
            <w:tcW w:w="136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72" w14:textId="00100873">
            <w:pPr>
              <w:spacing w:after="0" w:line="269" w:lineRule="auto"/>
            </w:pPr>
            <w:r>
              <w:rPr>
                <w:b w:val="0"/>
                <w:color w:val="000000"/>
                <w:sz w:val="20"/>
              </w:rPr>
              <w:t>964.60</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74" w14:textId="00100875">
            <w:pPr>
              <w:spacing w:after="0" w:line="269" w:lineRule="auto"/>
            </w:pPr>
            <w:r>
              <w:rPr>
                <w:b w:val="0"/>
                <w:color w:val="000000"/>
                <w:sz w:val="20"/>
              </w:rPr>
              <w:t>1006.75</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76" w14:textId="00100877">
            <w:pPr>
              <w:spacing w:after="0" w:line="269" w:lineRule="auto"/>
            </w:pPr>
            <w:r>
              <w:rPr>
                <w:b w:val="0"/>
                <w:color w:val="000000"/>
                <w:sz w:val="20"/>
              </w:rPr>
              <w:t>898.49</w:t>
            </w:r>
          </w:p>
        </w:tc>
        <w:tc>
          <w:tcPr>
            <w:tcW w:w="126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78" w14:textId="00100879">
            <w:pPr>
              <w:spacing w:after="0" w:line="269" w:lineRule="auto"/>
            </w:pPr>
            <w:r>
              <w:rPr>
                <w:b w:val="0"/>
                <w:color w:val="000000"/>
                <w:sz w:val="20"/>
              </w:rPr>
              <w:t>1283.18</w:t>
            </w:r>
          </w:p>
        </w:tc>
        <w:tc>
          <w:tcPr>
            <w:tcW w:w="1987"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7A" w14:textId="0010087B">
            <w:pPr>
              <w:spacing w:after="0" w:line="269" w:lineRule="auto"/>
            </w:pPr>
            <w:r>
              <w:rPr>
                <w:b w:val="0"/>
                <w:color w:val="000000"/>
                <w:sz w:val="20"/>
              </w:rPr>
              <w:t>1020.18</w:t>
            </w:r>
          </w:p>
        </w:tc>
      </w:tr>
    </w:tbl>
    <w:p w14:paraId="0010087C" w14:textId="0010087D">
      <w:pPr>
        <w:spacing w:after="40"/>
      </w:pPr>
    </w:p>
    <w:p w14:paraId="0010087E" w14:textId="0010087F">
      <w:pPr>
        <w:widowControl/>
      </w:pPr>
      <w:r>
        <w:rPr>
          <w:b w:val="0"/>
        </w:rPr>
        <w:t>每目标120输入点时，100目标的中位耗时430.90 ms、P95为466.34 ms；200目标中位859.13 ms、P95为935.11 ms。密集布局的正式路由不一定更慢，因为实际集群数量和后续评估工作也随布局变化。</w:t>
      </w:r>
    </w:p>
    <w:p w14:paraId="00100880" w14:textId="00100881">
      <w:pPr>
        <w:widowControl/>
      </w:pPr>
      <w:r>
        <w:rPr>
          <w:b w:val="0"/>
        </w:rPr>
        <w:t>均值、中位数、尾部与最大值共同保留。当前未设置公司验收阈值，不把某一行直接判为达标。24次样本的P95属于初步估计，仍需长时间和更大样本量检查尾部稳定性。</w:t>
      </w:r>
    </w:p>
    <w:p w14:paraId="00100882" w14:textId="00100883">
      <w:pPr>
        <w:widowControl/>
      </w:pPr>
      <w:r>
        <w:rPr>
          <w:b w:val="0"/>
        </w:rPr>
        <w:t>进程RSS受连续场景测试和有界请求缓存保留影响；不能把两行RSS之差理解为两种输入独立的增量内存。串行耗时也不能直接换算生产并发QPS。</w:t>
      </w:r>
    </w:p>
    <w:p w14:paraId="00100884" w14:textId="00100885">
      <w:pPr>
        <w:widowControl/>
        <w:spacing w:line="276" w:lineRule="auto"/>
      </w:pPr>
      <w:r>
        <w:rPr>
          <w:b w:val="0"/>
          <w:sz w:val="18"/>
        </w:rPr>
        <w:t>实现与证据  results.json/api中dense布局记录；完整逐次耗时可按seed追溯。 仿真原始记录见E05至E08。</w:t>
      </w:r>
    </w:p>
    <w:p w14:paraId="00100886" w14:textId="00100887">
      <w:r>
        <w:br w:type="page"/>
      </w:r>
    </w:p>
    <w:p w14:paraId="00100888" w14:textId="00100889">
      <w:pPr>
        <w:pStyle w:val="Heading1"/>
      </w:pPr>
      <w:r>
        <w:t>18.11 规模趋势与阶段耗时</w:t>
      </w:r>
    </w:p>
    <w:p w14:paraId="0010088A" w14:textId="0010088B">
      <w:pPr>
        <w:keepNext/>
        <w:jc w:val="center"/>
      </w:pPr>
      <w:r>
        <w:drawing>
          <wp:inline xmlns:a="http://schemas.openxmlformats.org/drawingml/2006/main" xmlns:pic="http://schemas.openxmlformats.org/drawingml/2006/picture">
            <wp:extent cx="6263640" cy="2391572"/>
            <wp:docPr id="3" name="Picture 3" descr="图3 仿真输入下正式路由P95随目标数变化"/>
            <wp:cNvGraphicFramePr>
              <a:graphicFrameLocks noChangeAspect="1"/>
            </wp:cNvGraphicFramePr>
            <a:graphic>
              <a:graphicData uri="http://schemas.openxmlformats.org/drawingml/2006/picture">
                <pic:pic>
                  <pic:nvPicPr>
                    <pic:cNvPr id="0" name="route_p95.png"/>
                    <pic:cNvPicPr/>
                  </pic:nvPicPr>
                  <pic:blipFill>
                    <a:blip r:embed="rId12"/>
                    <a:stretch>
                      <a:fillRect/>
                    </a:stretch>
                  </pic:blipFill>
                  <pic:spPr>
                    <a:xfrm>
                      <a:off x="0" y="0"/>
                      <a:ext cx="6263640" cy="2391572"/>
                    </a:xfrm>
                    <a:prstGeom prst="rect"/>
                  </pic:spPr>
                </pic:pic>
              </a:graphicData>
            </a:graphic>
          </wp:inline>
        </w:drawing>
      </w:r>
    </w:p>
    <w:p w14:paraId="0010088C" w14:textId="0010088D">
      <w:pPr>
        <w:pStyle w:val="Caption"/>
        <w:keepNext w:val="0"/>
        <w:jc w:val="center"/>
      </w:pPr>
      <w:r>
        <w:t>图3 仿真输入下正式路由P95随目标数变化</w:t>
      </w:r>
    </w:p>
    <w:p w14:paraId="0010088E" w14:textId="0010088F">
      <w:pPr>
        <w:widowControl/>
      </w:pPr>
      <w:r>
        <w:rPr>
          <w:b w:val="0"/>
        </w:rPr>
        <w:t>曲线表示当前CPU与固定场景下的初步趋势。两种布局分别绘图，纵轴范围不同，跨图比较应读取数值。240输入点对应121个有效意图点；输入解析与序列化仍处理全部输入。</w:t>
      </w:r>
    </w:p>
    <w:tbl>
      <w:tblPr>
        <w:tblW w:w="0" w:type="auto"/>
        <w:jc w:val="center"/>
        <w:tblLayout w:type="fixed"/>
        <w:tblLook w:val="04A0" w:firstRow="1" w:lastRow="0" w:firstColumn="1" w:lastColumn="0" w:noHBand="0" w:noVBand="1"/>
      </w:tblPr>
      <w:tblGrid>
        <w:gridCol w:w="792"/>
        <w:gridCol w:w="936"/>
        <w:gridCol w:w="1440"/>
        <w:gridCol w:w="1656"/>
        <w:gridCol w:w="1656"/>
        <w:gridCol w:w="1656"/>
        <w:gridCol w:w="1800"/>
      </w:tblGrid>
      <w:tr>
        <w:trPr>
          <w:tblHeader/>
          <w:cantSplit/>
        </w:trPr>
        <w:tc>
          <w:tcPr>
            <w:tcW w:w="79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890" w14:textId="00100891">
            <w:pPr>
              <w:spacing w:after="0" w:line="269" w:lineRule="auto"/>
              <w:jc w:val="center"/>
            </w:pPr>
            <w:r>
              <w:rPr>
                <w:b/>
                <w:color w:val="000000"/>
                <w:sz w:val="20"/>
              </w:rPr>
              <w:t>布局</w:t>
            </w:r>
          </w:p>
        </w:tc>
        <w:tc>
          <w:tcPr>
            <w:tcW w:w="93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892" w14:textId="00100893">
            <w:pPr>
              <w:spacing w:after="0" w:line="269" w:lineRule="auto"/>
            </w:pPr>
            <w:r>
              <w:rPr>
                <w:b/>
                <w:color w:val="000000"/>
                <w:sz w:val="20"/>
              </w:rPr>
              <w:t>目标数</w:t>
            </w:r>
          </w:p>
        </w:tc>
        <w:tc>
          <w:tcPr>
            <w:tcW w:w="144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894" w14:textId="00100895">
            <w:pPr>
              <w:spacing w:after="0" w:line="269" w:lineRule="auto"/>
            </w:pPr>
            <w:r>
              <w:rPr>
                <w:b/>
                <w:color w:val="000000"/>
                <w:sz w:val="20"/>
              </w:rPr>
              <w:t>空间分析</w:t>
            </w:r>
          </w:p>
        </w:tc>
        <w:tc>
          <w:tcPr>
            <w:tcW w:w="165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896" w14:textId="00100897">
            <w:pPr>
              <w:spacing w:after="0" w:line="269" w:lineRule="auto"/>
            </w:pPr>
            <w:r>
              <w:rPr>
                <w:b/>
                <w:color w:val="000000"/>
                <w:sz w:val="20"/>
              </w:rPr>
              <w:t>旧适配器</w:t>
            </w:r>
          </w:p>
        </w:tc>
        <w:tc>
          <w:tcPr>
            <w:tcW w:w="165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898" w14:textId="00100899">
            <w:pPr>
              <w:spacing w:after="0" w:line="269" w:lineRule="auto"/>
            </w:pPr>
            <w:r>
              <w:rPr>
                <w:b/>
                <w:color w:val="000000"/>
                <w:sz w:val="20"/>
              </w:rPr>
              <w:t>集群评估</w:t>
            </w:r>
          </w:p>
        </w:tc>
        <w:tc>
          <w:tcPr>
            <w:tcW w:w="165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89A" w14:textId="0010089B">
            <w:pPr>
              <w:spacing w:after="0" w:line="269" w:lineRule="auto"/>
            </w:pPr>
            <w:r>
              <w:rPr>
                <w:b/>
                <w:color w:val="000000"/>
                <w:sz w:val="20"/>
              </w:rPr>
              <w:t>引擎总计</w:t>
            </w:r>
          </w:p>
        </w:tc>
        <w:tc>
          <w:tcPr>
            <w:tcW w:w="180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89C" w14:textId="0010089D">
            <w:pPr>
              <w:spacing w:after="0" w:line="269" w:lineRule="auto"/>
            </w:pPr>
            <w:r>
              <w:rPr>
                <w:b/>
                <w:color w:val="000000"/>
                <w:sz w:val="20"/>
              </w:rPr>
              <w:t>路由总计</w:t>
            </w:r>
          </w:p>
        </w:tc>
      </w:tr>
      <w:tr>
        <w:trPr>
          <w:cantSplit/>
        </w:trPr>
        <w:tc>
          <w:tcPr>
            <w:tcW w:w="7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9E" w14:textId="0010089F">
            <w:pPr>
              <w:spacing w:after="0" w:line="269" w:lineRule="auto"/>
              <w:jc w:val="center"/>
            </w:pPr>
            <w:r>
              <w:rPr>
                <w:b w:val="0"/>
                <w:color w:val="000000"/>
                <w:sz w:val="20"/>
              </w:rPr>
              <w:t>分散</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A0" w14:textId="001008A1">
            <w:pPr>
              <w:spacing w:after="0" w:line="269" w:lineRule="auto"/>
            </w:pPr>
            <w:r>
              <w:rPr>
                <w:b w:val="0"/>
                <w:color w:val="000000"/>
                <w:sz w:val="20"/>
              </w:rPr>
              <w:t>10</w:t>
            </w:r>
          </w:p>
        </w:tc>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A2" w14:textId="001008A3">
            <w:pPr>
              <w:spacing w:after="0" w:line="269" w:lineRule="auto"/>
            </w:pPr>
            <w:r>
              <w:rPr>
                <w:b w:val="0"/>
                <w:color w:val="000000"/>
                <w:sz w:val="20"/>
              </w:rPr>
              <w:t>9.00</w:t>
            </w:r>
          </w:p>
        </w:tc>
        <w:tc>
          <w:tcPr>
            <w:tcW w:w="165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A4" w14:textId="001008A5">
            <w:pPr>
              <w:spacing w:after="0" w:line="269" w:lineRule="auto"/>
            </w:pPr>
            <w:r>
              <w:rPr>
                <w:b w:val="0"/>
                <w:color w:val="000000"/>
                <w:sz w:val="20"/>
              </w:rPr>
              <w:t>23.00</w:t>
            </w:r>
          </w:p>
        </w:tc>
        <w:tc>
          <w:tcPr>
            <w:tcW w:w="165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A6" w14:textId="001008A7">
            <w:pPr>
              <w:spacing w:after="0" w:line="269" w:lineRule="auto"/>
            </w:pPr>
            <w:r>
              <w:rPr>
                <w:b w:val="0"/>
                <w:color w:val="000000"/>
                <w:sz w:val="20"/>
              </w:rPr>
              <w:t>11.00</w:t>
            </w:r>
          </w:p>
        </w:tc>
        <w:tc>
          <w:tcPr>
            <w:tcW w:w="165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A8" w14:textId="001008A9">
            <w:pPr>
              <w:spacing w:after="0" w:line="269" w:lineRule="auto"/>
            </w:pPr>
            <w:r>
              <w:rPr>
                <w:b w:val="0"/>
                <w:color w:val="000000"/>
                <w:sz w:val="20"/>
              </w:rPr>
              <w:t>48.00</w:t>
            </w:r>
          </w:p>
        </w:tc>
        <w:tc>
          <w:tcPr>
            <w:tcW w:w="180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AA" w14:textId="001008AB">
            <w:pPr>
              <w:spacing w:after="0" w:line="269" w:lineRule="auto"/>
            </w:pPr>
            <w:r>
              <w:rPr>
                <w:b w:val="0"/>
                <w:color w:val="000000"/>
                <w:sz w:val="20"/>
              </w:rPr>
              <w:t>56.07</w:t>
            </w:r>
          </w:p>
        </w:tc>
      </w:tr>
      <w:tr>
        <w:trPr>
          <w:cantSplit/>
        </w:trPr>
        <w:tc>
          <w:tcPr>
            <w:tcW w:w="7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AC" w14:textId="001008AD">
            <w:pPr>
              <w:spacing w:after="0" w:line="269" w:lineRule="auto"/>
              <w:jc w:val="center"/>
            </w:pPr>
            <w:r>
              <w:rPr>
                <w:b w:val="0"/>
                <w:color w:val="000000"/>
                <w:sz w:val="20"/>
              </w:rPr>
              <w:t>分散</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AE" w14:textId="001008AF">
            <w:pPr>
              <w:spacing w:after="0" w:line="269" w:lineRule="auto"/>
            </w:pPr>
            <w:r>
              <w:rPr>
                <w:b w:val="0"/>
                <w:color w:val="000000"/>
                <w:sz w:val="20"/>
              </w:rPr>
              <w:t>50</w:t>
            </w:r>
          </w:p>
        </w:tc>
        <w:tc>
          <w:tcPr>
            <w:tcW w:w="144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B0" w14:textId="001008B1">
            <w:pPr>
              <w:spacing w:after="0" w:line="269" w:lineRule="auto"/>
            </w:pPr>
            <w:r>
              <w:rPr>
                <w:b w:val="0"/>
                <w:color w:val="000000"/>
                <w:sz w:val="20"/>
              </w:rPr>
              <w:t>42.00</w:t>
            </w:r>
          </w:p>
        </w:tc>
        <w:tc>
          <w:tcPr>
            <w:tcW w:w="165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B2" w14:textId="001008B3">
            <w:pPr>
              <w:spacing w:after="0" w:line="269" w:lineRule="auto"/>
            </w:pPr>
            <w:r>
              <w:rPr>
                <w:b w:val="0"/>
                <w:color w:val="000000"/>
                <w:sz w:val="20"/>
              </w:rPr>
              <w:t>93.50</w:t>
            </w:r>
          </w:p>
        </w:tc>
        <w:tc>
          <w:tcPr>
            <w:tcW w:w="165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B4" w14:textId="001008B5">
            <w:pPr>
              <w:spacing w:after="0" w:line="269" w:lineRule="auto"/>
            </w:pPr>
            <w:r>
              <w:rPr>
                <w:b w:val="0"/>
                <w:color w:val="000000"/>
                <w:sz w:val="20"/>
              </w:rPr>
              <w:t>51.00</w:t>
            </w:r>
          </w:p>
        </w:tc>
        <w:tc>
          <w:tcPr>
            <w:tcW w:w="165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B6" w14:textId="001008B7">
            <w:pPr>
              <w:spacing w:after="0" w:line="269" w:lineRule="auto"/>
            </w:pPr>
            <w:r>
              <w:rPr>
                <w:b w:val="0"/>
                <w:color w:val="000000"/>
                <w:sz w:val="20"/>
              </w:rPr>
              <w:t>209.50</w:t>
            </w:r>
          </w:p>
        </w:tc>
        <w:tc>
          <w:tcPr>
            <w:tcW w:w="180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B8" w14:textId="001008B9">
            <w:pPr>
              <w:spacing w:after="0" w:line="269" w:lineRule="auto"/>
            </w:pPr>
            <w:r>
              <w:rPr>
                <w:b w:val="0"/>
                <w:color w:val="000000"/>
                <w:sz w:val="20"/>
              </w:rPr>
              <w:t>246.25</w:t>
            </w:r>
          </w:p>
        </w:tc>
      </w:tr>
      <w:tr>
        <w:trPr>
          <w:cantSplit/>
        </w:trPr>
        <w:tc>
          <w:tcPr>
            <w:tcW w:w="7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BA" w14:textId="001008BB">
            <w:pPr>
              <w:spacing w:after="0" w:line="269" w:lineRule="auto"/>
              <w:jc w:val="center"/>
            </w:pPr>
            <w:r>
              <w:rPr>
                <w:b w:val="0"/>
                <w:color w:val="000000"/>
                <w:sz w:val="20"/>
              </w:rPr>
              <w:t>分散</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BC" w14:textId="001008BD">
            <w:pPr>
              <w:spacing w:after="0" w:line="269" w:lineRule="auto"/>
            </w:pPr>
            <w:r>
              <w:rPr>
                <w:b w:val="0"/>
                <w:color w:val="000000"/>
                <w:sz w:val="20"/>
              </w:rPr>
              <w:t>100</w:t>
            </w:r>
          </w:p>
        </w:tc>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BE" w14:textId="001008BF">
            <w:pPr>
              <w:spacing w:after="0" w:line="269" w:lineRule="auto"/>
            </w:pPr>
            <w:r>
              <w:rPr>
                <w:b w:val="0"/>
                <w:color w:val="000000"/>
                <w:sz w:val="20"/>
              </w:rPr>
              <w:t>76.50</w:t>
            </w:r>
          </w:p>
        </w:tc>
        <w:tc>
          <w:tcPr>
            <w:tcW w:w="165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C0" w14:textId="001008C1">
            <w:pPr>
              <w:spacing w:after="0" w:line="269" w:lineRule="auto"/>
            </w:pPr>
            <w:r>
              <w:rPr>
                <w:b w:val="0"/>
                <w:color w:val="000000"/>
                <w:sz w:val="20"/>
              </w:rPr>
              <w:t>179.50</w:t>
            </w:r>
          </w:p>
        </w:tc>
        <w:tc>
          <w:tcPr>
            <w:tcW w:w="165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C2" w14:textId="001008C3">
            <w:pPr>
              <w:spacing w:after="0" w:line="269" w:lineRule="auto"/>
            </w:pPr>
            <w:r>
              <w:rPr>
                <w:b w:val="0"/>
                <w:color w:val="000000"/>
                <w:sz w:val="20"/>
              </w:rPr>
              <w:t>99.50</w:t>
            </w:r>
          </w:p>
        </w:tc>
        <w:tc>
          <w:tcPr>
            <w:tcW w:w="165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C4" w14:textId="001008C5">
            <w:pPr>
              <w:spacing w:after="0" w:line="269" w:lineRule="auto"/>
            </w:pPr>
            <w:r>
              <w:rPr>
                <w:b w:val="0"/>
                <w:color w:val="000000"/>
                <w:sz w:val="20"/>
              </w:rPr>
              <w:t>398.50</w:t>
            </w:r>
          </w:p>
        </w:tc>
        <w:tc>
          <w:tcPr>
            <w:tcW w:w="180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C6" w14:textId="001008C7">
            <w:pPr>
              <w:spacing w:after="0" w:line="269" w:lineRule="auto"/>
            </w:pPr>
            <w:r>
              <w:rPr>
                <w:b w:val="0"/>
                <w:color w:val="000000"/>
                <w:sz w:val="20"/>
              </w:rPr>
              <w:t>461.26</w:t>
            </w:r>
          </w:p>
        </w:tc>
      </w:tr>
      <w:tr>
        <w:trPr>
          <w:cantSplit/>
        </w:trPr>
        <w:tc>
          <w:tcPr>
            <w:tcW w:w="7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C8" w14:textId="001008C9">
            <w:pPr>
              <w:spacing w:after="0" w:line="269" w:lineRule="auto"/>
              <w:jc w:val="center"/>
            </w:pPr>
            <w:r>
              <w:rPr>
                <w:b w:val="0"/>
                <w:color w:val="000000"/>
                <w:sz w:val="20"/>
              </w:rPr>
              <w:t>分散</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CA" w14:textId="001008CB">
            <w:pPr>
              <w:spacing w:after="0" w:line="269" w:lineRule="auto"/>
            </w:pPr>
            <w:r>
              <w:rPr>
                <w:b w:val="0"/>
                <w:color w:val="000000"/>
                <w:sz w:val="20"/>
              </w:rPr>
              <w:t>200</w:t>
            </w:r>
          </w:p>
        </w:tc>
        <w:tc>
          <w:tcPr>
            <w:tcW w:w="144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CC" w14:textId="001008CD">
            <w:pPr>
              <w:spacing w:after="0" w:line="269" w:lineRule="auto"/>
            </w:pPr>
            <w:r>
              <w:rPr>
                <w:b w:val="0"/>
                <w:color w:val="000000"/>
                <w:sz w:val="20"/>
              </w:rPr>
              <w:t>146.00</w:t>
            </w:r>
          </w:p>
        </w:tc>
        <w:tc>
          <w:tcPr>
            <w:tcW w:w="165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CE" w14:textId="001008CF">
            <w:pPr>
              <w:spacing w:after="0" w:line="269" w:lineRule="auto"/>
            </w:pPr>
            <w:r>
              <w:rPr>
                <w:b w:val="0"/>
                <w:color w:val="000000"/>
                <w:sz w:val="20"/>
              </w:rPr>
              <w:t>371.50</w:t>
            </w:r>
          </w:p>
        </w:tc>
        <w:tc>
          <w:tcPr>
            <w:tcW w:w="165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D0" w14:textId="001008D1">
            <w:pPr>
              <w:spacing w:after="0" w:line="269" w:lineRule="auto"/>
            </w:pPr>
            <w:r>
              <w:rPr>
                <w:b w:val="0"/>
                <w:color w:val="000000"/>
                <w:sz w:val="20"/>
              </w:rPr>
              <w:t>196.50</w:t>
            </w:r>
          </w:p>
        </w:tc>
        <w:tc>
          <w:tcPr>
            <w:tcW w:w="165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D2" w14:textId="001008D3">
            <w:pPr>
              <w:spacing w:after="0" w:line="269" w:lineRule="auto"/>
            </w:pPr>
            <w:r>
              <w:rPr>
                <w:b w:val="0"/>
                <w:color w:val="000000"/>
                <w:sz w:val="20"/>
              </w:rPr>
              <w:t>792.00</w:t>
            </w:r>
          </w:p>
        </w:tc>
        <w:tc>
          <w:tcPr>
            <w:tcW w:w="180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D4" w14:textId="001008D5">
            <w:pPr>
              <w:spacing w:after="0" w:line="269" w:lineRule="auto"/>
            </w:pPr>
            <w:r>
              <w:rPr>
                <w:b w:val="0"/>
                <w:color w:val="000000"/>
                <w:sz w:val="20"/>
              </w:rPr>
              <w:t>911.64</w:t>
            </w:r>
          </w:p>
        </w:tc>
      </w:tr>
      <w:tr>
        <w:trPr>
          <w:cantSplit/>
        </w:trPr>
        <w:tc>
          <w:tcPr>
            <w:tcW w:w="7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D6" w14:textId="001008D7">
            <w:pPr>
              <w:spacing w:after="0" w:line="269" w:lineRule="auto"/>
              <w:jc w:val="center"/>
            </w:pPr>
            <w:r>
              <w:rPr>
                <w:b w:val="0"/>
                <w:color w:val="000000"/>
                <w:sz w:val="20"/>
              </w:rPr>
              <w:t>密集</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D8" w14:textId="001008D9">
            <w:pPr>
              <w:spacing w:after="0" w:line="269" w:lineRule="auto"/>
            </w:pPr>
            <w:r>
              <w:rPr>
                <w:b w:val="0"/>
                <w:color w:val="000000"/>
                <w:sz w:val="20"/>
              </w:rPr>
              <w:t>10</w:t>
            </w:r>
          </w:p>
        </w:tc>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DA" w14:textId="001008DB">
            <w:pPr>
              <w:spacing w:after="0" w:line="269" w:lineRule="auto"/>
            </w:pPr>
            <w:r>
              <w:rPr>
                <w:b w:val="0"/>
                <w:color w:val="000000"/>
                <w:sz w:val="20"/>
              </w:rPr>
              <w:t>9.00</w:t>
            </w:r>
          </w:p>
        </w:tc>
        <w:tc>
          <w:tcPr>
            <w:tcW w:w="165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DC" w14:textId="001008DD">
            <w:pPr>
              <w:spacing w:after="0" w:line="269" w:lineRule="auto"/>
            </w:pPr>
            <w:r>
              <w:rPr>
                <w:b w:val="0"/>
                <w:color w:val="000000"/>
                <w:sz w:val="20"/>
              </w:rPr>
              <w:t>24.00</w:t>
            </w:r>
          </w:p>
        </w:tc>
        <w:tc>
          <w:tcPr>
            <w:tcW w:w="165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DE" w14:textId="001008DF">
            <w:pPr>
              <w:spacing w:after="0" w:line="269" w:lineRule="auto"/>
            </w:pPr>
            <w:r>
              <w:rPr>
                <w:b w:val="0"/>
                <w:color w:val="000000"/>
                <w:sz w:val="20"/>
              </w:rPr>
              <w:t>11.00</w:t>
            </w:r>
          </w:p>
        </w:tc>
        <w:tc>
          <w:tcPr>
            <w:tcW w:w="165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E0" w14:textId="001008E1">
            <w:pPr>
              <w:spacing w:after="0" w:line="269" w:lineRule="auto"/>
            </w:pPr>
            <w:r>
              <w:rPr>
                <w:b w:val="0"/>
                <w:color w:val="000000"/>
                <w:sz w:val="20"/>
              </w:rPr>
              <w:t>50.00</w:t>
            </w:r>
          </w:p>
        </w:tc>
        <w:tc>
          <w:tcPr>
            <w:tcW w:w="180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E2" w14:textId="001008E3">
            <w:pPr>
              <w:spacing w:after="0" w:line="269" w:lineRule="auto"/>
            </w:pPr>
            <w:r>
              <w:rPr>
                <w:b w:val="0"/>
                <w:color w:val="000000"/>
                <w:sz w:val="20"/>
              </w:rPr>
              <w:t>58.52</w:t>
            </w:r>
          </w:p>
        </w:tc>
      </w:tr>
      <w:tr>
        <w:trPr>
          <w:cantSplit/>
        </w:trPr>
        <w:tc>
          <w:tcPr>
            <w:tcW w:w="7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E4" w14:textId="001008E5">
            <w:pPr>
              <w:spacing w:after="0" w:line="269" w:lineRule="auto"/>
              <w:jc w:val="center"/>
            </w:pPr>
            <w:r>
              <w:rPr>
                <w:b w:val="0"/>
                <w:color w:val="000000"/>
                <w:sz w:val="20"/>
              </w:rPr>
              <w:t>密集</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E6" w14:textId="001008E7">
            <w:pPr>
              <w:spacing w:after="0" w:line="269" w:lineRule="auto"/>
            </w:pPr>
            <w:r>
              <w:rPr>
                <w:b w:val="0"/>
                <w:color w:val="000000"/>
                <w:sz w:val="20"/>
              </w:rPr>
              <w:t>50</w:t>
            </w:r>
          </w:p>
        </w:tc>
        <w:tc>
          <w:tcPr>
            <w:tcW w:w="144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E8" w14:textId="001008E9">
            <w:pPr>
              <w:spacing w:after="0" w:line="269" w:lineRule="auto"/>
            </w:pPr>
            <w:r>
              <w:rPr>
                <w:b w:val="0"/>
                <w:color w:val="000000"/>
                <w:sz w:val="20"/>
              </w:rPr>
              <w:t>39.00</w:t>
            </w:r>
          </w:p>
        </w:tc>
        <w:tc>
          <w:tcPr>
            <w:tcW w:w="165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EA" w14:textId="001008EB">
            <w:pPr>
              <w:spacing w:after="0" w:line="269" w:lineRule="auto"/>
            </w:pPr>
            <w:r>
              <w:rPr>
                <w:b w:val="0"/>
                <w:color w:val="000000"/>
                <w:sz w:val="20"/>
              </w:rPr>
              <w:t>85.00</w:t>
            </w:r>
          </w:p>
        </w:tc>
        <w:tc>
          <w:tcPr>
            <w:tcW w:w="165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EC" w14:textId="001008ED">
            <w:pPr>
              <w:spacing w:after="0" w:line="269" w:lineRule="auto"/>
            </w:pPr>
            <w:r>
              <w:rPr>
                <w:b w:val="0"/>
                <w:color w:val="000000"/>
                <w:sz w:val="20"/>
              </w:rPr>
              <w:t>51.50</w:t>
            </w:r>
          </w:p>
        </w:tc>
        <w:tc>
          <w:tcPr>
            <w:tcW w:w="165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EE" w14:textId="001008EF">
            <w:pPr>
              <w:spacing w:after="0" w:line="269" w:lineRule="auto"/>
            </w:pPr>
            <w:r>
              <w:rPr>
                <w:b w:val="0"/>
                <w:color w:val="000000"/>
                <w:sz w:val="20"/>
              </w:rPr>
              <w:t>206.00</w:t>
            </w:r>
          </w:p>
        </w:tc>
        <w:tc>
          <w:tcPr>
            <w:tcW w:w="180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8F0" w14:textId="001008F1">
            <w:pPr>
              <w:spacing w:after="0" w:line="269" w:lineRule="auto"/>
            </w:pPr>
            <w:r>
              <w:rPr>
                <w:b w:val="0"/>
                <w:color w:val="000000"/>
                <w:sz w:val="20"/>
              </w:rPr>
              <w:t>240.32</w:t>
            </w:r>
          </w:p>
        </w:tc>
      </w:tr>
      <w:tr>
        <w:trPr>
          <w:cantSplit/>
        </w:trPr>
        <w:tc>
          <w:tcPr>
            <w:tcW w:w="7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F2" w14:textId="001008F3">
            <w:pPr>
              <w:spacing w:after="0" w:line="269" w:lineRule="auto"/>
              <w:jc w:val="center"/>
            </w:pPr>
            <w:r>
              <w:rPr>
                <w:b w:val="0"/>
                <w:color w:val="000000"/>
                <w:sz w:val="20"/>
              </w:rPr>
              <w:t>密集</w:t>
            </w:r>
          </w:p>
        </w:tc>
        <w:tc>
          <w:tcPr>
            <w:tcW w:w="93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F4" w14:textId="001008F5">
            <w:pPr>
              <w:spacing w:after="0" w:line="269" w:lineRule="auto"/>
            </w:pPr>
            <w:r>
              <w:rPr>
                <w:b w:val="0"/>
                <w:color w:val="000000"/>
                <w:sz w:val="20"/>
              </w:rPr>
              <w:t>100</w:t>
            </w:r>
          </w:p>
        </w:tc>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F6" w14:textId="001008F7">
            <w:pPr>
              <w:spacing w:after="0" w:line="269" w:lineRule="auto"/>
            </w:pPr>
            <w:r>
              <w:rPr>
                <w:b w:val="0"/>
                <w:color w:val="000000"/>
                <w:sz w:val="20"/>
              </w:rPr>
              <w:t>70.50</w:t>
            </w:r>
          </w:p>
        </w:tc>
        <w:tc>
          <w:tcPr>
            <w:tcW w:w="165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F8" w14:textId="001008F9">
            <w:pPr>
              <w:spacing w:after="0" w:line="269" w:lineRule="auto"/>
            </w:pPr>
            <w:r>
              <w:rPr>
                <w:b w:val="0"/>
                <w:color w:val="000000"/>
                <w:sz w:val="20"/>
              </w:rPr>
              <w:t>160.00</w:t>
            </w:r>
          </w:p>
        </w:tc>
        <w:tc>
          <w:tcPr>
            <w:tcW w:w="165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FA" w14:textId="001008FB">
            <w:pPr>
              <w:spacing w:after="0" w:line="269" w:lineRule="auto"/>
            </w:pPr>
            <w:r>
              <w:rPr>
                <w:b w:val="0"/>
                <w:color w:val="000000"/>
                <w:sz w:val="20"/>
              </w:rPr>
              <w:t>98.50</w:t>
            </w:r>
          </w:p>
        </w:tc>
        <w:tc>
          <w:tcPr>
            <w:tcW w:w="165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FC" w14:textId="001008FD">
            <w:pPr>
              <w:spacing w:after="0" w:line="269" w:lineRule="auto"/>
            </w:pPr>
            <w:r>
              <w:rPr>
                <w:b w:val="0"/>
                <w:color w:val="000000"/>
                <w:sz w:val="20"/>
              </w:rPr>
              <w:t>373.50</w:t>
            </w:r>
          </w:p>
        </w:tc>
        <w:tc>
          <w:tcPr>
            <w:tcW w:w="180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8FE" w14:textId="001008FF">
            <w:pPr>
              <w:spacing w:after="0" w:line="269" w:lineRule="auto"/>
            </w:pPr>
            <w:r>
              <w:rPr>
                <w:b w:val="0"/>
                <w:color w:val="000000"/>
                <w:sz w:val="20"/>
              </w:rPr>
              <w:t>430.90</w:t>
            </w:r>
          </w:p>
        </w:tc>
      </w:tr>
      <w:tr>
        <w:trPr>
          <w:cantSplit/>
        </w:trPr>
        <w:tc>
          <w:tcPr>
            <w:tcW w:w="7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00" w14:textId="00100901">
            <w:pPr>
              <w:spacing w:after="0" w:line="269" w:lineRule="auto"/>
              <w:jc w:val="center"/>
            </w:pPr>
            <w:r>
              <w:rPr>
                <w:b w:val="0"/>
                <w:color w:val="000000"/>
                <w:sz w:val="20"/>
              </w:rPr>
              <w:t>密集</w:t>
            </w:r>
          </w:p>
        </w:tc>
        <w:tc>
          <w:tcPr>
            <w:tcW w:w="93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02" w14:textId="00100903">
            <w:pPr>
              <w:spacing w:after="0" w:line="269" w:lineRule="auto"/>
            </w:pPr>
            <w:r>
              <w:rPr>
                <w:b w:val="0"/>
                <w:color w:val="000000"/>
                <w:sz w:val="20"/>
              </w:rPr>
              <w:t>200</w:t>
            </w:r>
          </w:p>
        </w:tc>
        <w:tc>
          <w:tcPr>
            <w:tcW w:w="144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04" w14:textId="00100905">
            <w:pPr>
              <w:spacing w:after="0" w:line="269" w:lineRule="auto"/>
            </w:pPr>
            <w:r>
              <w:rPr>
                <w:b w:val="0"/>
                <w:color w:val="000000"/>
                <w:sz w:val="20"/>
              </w:rPr>
              <w:t>144.00</w:t>
            </w:r>
          </w:p>
        </w:tc>
        <w:tc>
          <w:tcPr>
            <w:tcW w:w="165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06" w14:textId="00100907">
            <w:pPr>
              <w:spacing w:after="0" w:line="269" w:lineRule="auto"/>
            </w:pPr>
            <w:r>
              <w:rPr>
                <w:b w:val="0"/>
                <w:color w:val="000000"/>
                <w:sz w:val="20"/>
              </w:rPr>
              <w:t>330.50</w:t>
            </w:r>
          </w:p>
        </w:tc>
        <w:tc>
          <w:tcPr>
            <w:tcW w:w="165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08" w14:textId="00100909">
            <w:pPr>
              <w:spacing w:after="0" w:line="269" w:lineRule="auto"/>
            </w:pPr>
            <w:r>
              <w:rPr>
                <w:b w:val="0"/>
                <w:color w:val="000000"/>
                <w:sz w:val="20"/>
              </w:rPr>
              <w:t>179.50</w:t>
            </w:r>
          </w:p>
        </w:tc>
        <w:tc>
          <w:tcPr>
            <w:tcW w:w="165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0A" w14:textId="0010090B">
            <w:pPr>
              <w:spacing w:after="0" w:line="269" w:lineRule="auto"/>
            </w:pPr>
            <w:r>
              <w:rPr>
                <w:b w:val="0"/>
                <w:color w:val="000000"/>
                <w:sz w:val="20"/>
              </w:rPr>
              <w:t>747.50</w:t>
            </w:r>
          </w:p>
        </w:tc>
        <w:tc>
          <w:tcPr>
            <w:tcW w:w="180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0C" w14:textId="0010090D">
            <w:pPr>
              <w:spacing w:after="0" w:line="269" w:lineRule="auto"/>
            </w:pPr>
            <w:r>
              <w:rPr>
                <w:b w:val="0"/>
                <w:color w:val="000000"/>
                <w:sz w:val="20"/>
              </w:rPr>
              <w:t>859.13</w:t>
            </w:r>
          </w:p>
        </w:tc>
      </w:tr>
    </w:tbl>
    <w:p w14:paraId="0010090E" w14:textId="0010090F">
      <w:pPr>
        <w:spacing w:after="40"/>
      </w:pPr>
    </w:p>
    <w:p w14:paraId="00100910" w14:textId="00100911">
      <w:pPr>
        <w:widowControl/>
        <w:spacing w:line="276" w:lineRule="auto"/>
      </w:pPr>
      <w:r>
        <w:rPr>
          <w:b w:val="0"/>
          <w:sz w:val="18"/>
        </w:rPr>
        <w:t>本表每目标输入120点，单位毫秒。阶段值来自服务诊断，按秒保留三位，精度约1 ms；路由用perf_counter。旧适配器包括DBSCAN、队形、行为和ETA；集群评估包含规则与成员处理，不能直接称为DBSCAN耗时。各段中位数相加不必等于总时长中位数。</w:t>
      </w:r>
    </w:p>
    <w:p w14:paraId="00100912" w14:textId="00100913">
      <w:pPr>
        <w:widowControl/>
        <w:spacing w:line="276" w:lineRule="auto"/>
      </w:pPr>
      <w:r>
        <w:rPr>
          <w:b w:val="0"/>
          <w:sz w:val="18"/>
        </w:rPr>
        <w:t>实现与证据  results.json/api/stages；route_p95.png由逐次测量汇总生成。 仿真原始记录见E05至E08。</w:t>
      </w:r>
    </w:p>
    <w:p w14:paraId="00100914" w14:textId="00100915">
      <w:r>
        <w:br w:type="page"/>
      </w:r>
    </w:p>
    <w:p w14:paraId="00100916" w14:textId="00100917">
      <w:pPr>
        <w:pStyle w:val="Heading1"/>
      </w:pPr>
      <w:r>
        <w:t>18.12 正常DBSCAN路径的独立测量</w:t>
      </w:r>
    </w:p>
    <w:p w14:paraId="00100918" w14:textId="00100919">
      <w:pPr>
        <w:widowControl/>
      </w:pPr>
      <w:r>
        <w:rPr>
          <w:b w:val="0"/>
        </w:rPr>
        <w:t>为区分聚类本身和整条适配器链路，另行直接调用当前SplitClusters。计时包括运动特征准备、位置方向速度标准化、可靠度成对距离矩阵与DBSCAN。每组使用一个固定种子，预热一次后计时20次。</w:t>
      </w:r>
    </w:p>
    <w:tbl>
      <w:tblPr>
        <w:tblW w:w="0" w:type="auto"/>
        <w:jc w:val="center"/>
        <w:tblLayout w:type="fixed"/>
        <w:tblLook w:val="04A0" w:firstRow="1" w:lastRow="0" w:firstColumn="1" w:lastColumn="0" w:noHBand="0" w:noVBand="1"/>
      </w:tblPr>
      <w:tblGrid>
        <w:gridCol w:w="1080"/>
        <w:gridCol w:w="1152"/>
        <w:gridCol w:w="2376"/>
        <w:gridCol w:w="2376"/>
        <w:gridCol w:w="2952"/>
      </w:tblGrid>
      <w:tr>
        <w:trPr>
          <w:tblHeader/>
          <w:cantSplit/>
        </w:trPr>
        <w:tc>
          <w:tcPr>
            <w:tcW w:w="108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91A" w14:textId="0010091B">
            <w:pPr>
              <w:spacing w:after="0" w:line="269" w:lineRule="auto"/>
              <w:jc w:val="center"/>
            </w:pPr>
            <w:r>
              <w:rPr>
                <w:b/>
                <w:color w:val="000000"/>
                <w:sz w:val="20"/>
              </w:rPr>
              <w:t>布局</w:t>
            </w:r>
          </w:p>
        </w:tc>
        <w:tc>
          <w:tcPr>
            <w:tcW w:w="115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91C" w14:textId="0010091D">
            <w:pPr>
              <w:spacing w:after="0" w:line="269" w:lineRule="auto"/>
            </w:pPr>
            <w:r>
              <w:rPr>
                <w:b/>
                <w:color w:val="000000"/>
                <w:sz w:val="20"/>
              </w:rPr>
              <w:t>目标数</w:t>
            </w:r>
          </w:p>
        </w:tc>
        <w:tc>
          <w:tcPr>
            <w:tcW w:w="237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91E" w14:textId="0010091F">
            <w:pPr>
              <w:spacing w:after="0" w:line="269" w:lineRule="auto"/>
            </w:pPr>
            <w:r>
              <w:rPr>
                <w:b/>
                <w:color w:val="000000"/>
                <w:sz w:val="20"/>
              </w:rPr>
              <w:t>中位数 ms</w:t>
            </w:r>
          </w:p>
        </w:tc>
        <w:tc>
          <w:tcPr>
            <w:tcW w:w="237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920" w14:textId="00100921">
            <w:pPr>
              <w:spacing w:after="0" w:line="269" w:lineRule="auto"/>
            </w:pPr>
            <w:r>
              <w:rPr>
                <w:b/>
                <w:color w:val="000000"/>
                <w:sz w:val="20"/>
              </w:rPr>
              <w:t>P95 ms</w:t>
            </w:r>
          </w:p>
        </w:tc>
        <w:tc>
          <w:tcPr>
            <w:tcW w:w="295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922" w14:textId="00100923">
            <w:pPr>
              <w:spacing w:after="0" w:line="269" w:lineRule="auto"/>
            </w:pPr>
            <w:r>
              <w:rPr>
                <w:b/>
                <w:color w:val="000000"/>
                <w:sz w:val="20"/>
              </w:rPr>
              <w:t>实际簇数</w:t>
            </w:r>
          </w:p>
        </w:tc>
      </w:tr>
      <w:tr>
        <w:trPr>
          <w:cantSplit/>
        </w:trPr>
        <w:tc>
          <w:tcPr>
            <w:tcW w:w="108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24" w14:textId="00100925">
            <w:pPr>
              <w:spacing w:after="0" w:line="269" w:lineRule="auto"/>
              <w:jc w:val="center"/>
            </w:pPr>
            <w:r>
              <w:rPr>
                <w:b w:val="0"/>
                <w:color w:val="000000"/>
                <w:sz w:val="20"/>
              </w:rPr>
              <w:t>分散</w:t>
            </w:r>
          </w:p>
        </w:tc>
        <w:tc>
          <w:tcPr>
            <w:tcW w:w="115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26" w14:textId="00100927">
            <w:pPr>
              <w:spacing w:after="0" w:line="269" w:lineRule="auto"/>
            </w:pPr>
            <w:r>
              <w:rPr>
                <w:b w:val="0"/>
                <w:color w:val="000000"/>
                <w:sz w:val="20"/>
              </w:rPr>
              <w:t>10</w:t>
            </w:r>
          </w:p>
        </w:tc>
        <w:tc>
          <w:tcPr>
            <w:tcW w:w="237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28" w14:textId="00100929">
            <w:pPr>
              <w:spacing w:after="0" w:line="269" w:lineRule="auto"/>
            </w:pPr>
            <w:r>
              <w:rPr>
                <w:b w:val="0"/>
                <w:color w:val="000000"/>
                <w:sz w:val="20"/>
              </w:rPr>
              <w:t>2.61</w:t>
            </w:r>
          </w:p>
        </w:tc>
        <w:tc>
          <w:tcPr>
            <w:tcW w:w="237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2A" w14:textId="0010092B">
            <w:pPr>
              <w:spacing w:after="0" w:line="269" w:lineRule="auto"/>
            </w:pPr>
            <w:r>
              <w:rPr>
                <w:b w:val="0"/>
                <w:color w:val="000000"/>
                <w:sz w:val="20"/>
              </w:rPr>
              <w:t>3.49</w:t>
            </w:r>
          </w:p>
        </w:tc>
        <w:tc>
          <w:tcPr>
            <w:tcW w:w="295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2C" w14:textId="0010092D">
            <w:pPr>
              <w:spacing w:after="0" w:line="269" w:lineRule="auto"/>
            </w:pPr>
            <w:r>
              <w:rPr>
                <w:b w:val="0"/>
                <w:color w:val="000000"/>
                <w:sz w:val="20"/>
              </w:rPr>
              <w:t>2</w:t>
            </w:r>
          </w:p>
        </w:tc>
      </w:tr>
      <w:tr>
        <w:trPr>
          <w:cantSplit/>
        </w:trPr>
        <w:tc>
          <w:tcPr>
            <w:tcW w:w="108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2E" w14:textId="0010092F">
            <w:pPr>
              <w:spacing w:after="0" w:line="269" w:lineRule="auto"/>
              <w:jc w:val="center"/>
            </w:pPr>
            <w:r>
              <w:rPr>
                <w:b w:val="0"/>
                <w:color w:val="000000"/>
                <w:sz w:val="20"/>
              </w:rPr>
              <w:t>分散</w:t>
            </w:r>
          </w:p>
        </w:tc>
        <w:tc>
          <w:tcPr>
            <w:tcW w:w="115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30" w14:textId="00100931">
            <w:pPr>
              <w:spacing w:after="0" w:line="269" w:lineRule="auto"/>
            </w:pPr>
            <w:r>
              <w:rPr>
                <w:b w:val="0"/>
                <w:color w:val="000000"/>
                <w:sz w:val="20"/>
              </w:rPr>
              <w:t>50</w:t>
            </w:r>
          </w:p>
        </w:tc>
        <w:tc>
          <w:tcPr>
            <w:tcW w:w="237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32" w14:textId="00100933">
            <w:pPr>
              <w:spacing w:after="0" w:line="269" w:lineRule="auto"/>
            </w:pPr>
            <w:r>
              <w:rPr>
                <w:b w:val="0"/>
                <w:color w:val="000000"/>
                <w:sz w:val="20"/>
              </w:rPr>
              <w:t>7.02</w:t>
            </w:r>
          </w:p>
        </w:tc>
        <w:tc>
          <w:tcPr>
            <w:tcW w:w="237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34" w14:textId="00100935">
            <w:pPr>
              <w:spacing w:after="0" w:line="269" w:lineRule="auto"/>
            </w:pPr>
            <w:r>
              <w:rPr>
                <w:b w:val="0"/>
                <w:color w:val="000000"/>
                <w:sz w:val="20"/>
              </w:rPr>
              <w:t>7.74</w:t>
            </w:r>
          </w:p>
        </w:tc>
        <w:tc>
          <w:tcPr>
            <w:tcW w:w="295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36" w14:textId="00100937">
            <w:pPr>
              <w:spacing w:after="0" w:line="269" w:lineRule="auto"/>
            </w:pPr>
            <w:r>
              <w:rPr>
                <w:b w:val="0"/>
                <w:color w:val="000000"/>
                <w:sz w:val="20"/>
              </w:rPr>
              <w:t>10</w:t>
            </w:r>
          </w:p>
        </w:tc>
      </w:tr>
      <w:tr>
        <w:trPr>
          <w:cantSplit/>
        </w:trPr>
        <w:tc>
          <w:tcPr>
            <w:tcW w:w="108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38" w14:textId="00100939">
            <w:pPr>
              <w:spacing w:after="0" w:line="269" w:lineRule="auto"/>
              <w:jc w:val="center"/>
            </w:pPr>
            <w:r>
              <w:rPr>
                <w:b w:val="0"/>
                <w:color w:val="000000"/>
                <w:sz w:val="20"/>
              </w:rPr>
              <w:t>分散</w:t>
            </w:r>
          </w:p>
        </w:tc>
        <w:tc>
          <w:tcPr>
            <w:tcW w:w="115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3A" w14:textId="0010093B">
            <w:pPr>
              <w:spacing w:after="0" w:line="269" w:lineRule="auto"/>
            </w:pPr>
            <w:r>
              <w:rPr>
                <w:b w:val="0"/>
                <w:color w:val="000000"/>
                <w:sz w:val="20"/>
              </w:rPr>
              <w:t>100</w:t>
            </w:r>
          </w:p>
        </w:tc>
        <w:tc>
          <w:tcPr>
            <w:tcW w:w="237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3C" w14:textId="0010093D">
            <w:pPr>
              <w:spacing w:after="0" w:line="269" w:lineRule="auto"/>
            </w:pPr>
            <w:r>
              <w:rPr>
                <w:b w:val="0"/>
                <w:color w:val="000000"/>
                <w:sz w:val="20"/>
              </w:rPr>
              <w:t>12.72</w:t>
            </w:r>
          </w:p>
        </w:tc>
        <w:tc>
          <w:tcPr>
            <w:tcW w:w="237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3E" w14:textId="0010093F">
            <w:pPr>
              <w:spacing w:after="0" w:line="269" w:lineRule="auto"/>
            </w:pPr>
            <w:r>
              <w:rPr>
                <w:b w:val="0"/>
                <w:color w:val="000000"/>
                <w:sz w:val="20"/>
              </w:rPr>
              <w:t>14.47</w:t>
            </w:r>
          </w:p>
        </w:tc>
        <w:tc>
          <w:tcPr>
            <w:tcW w:w="295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40" w14:textId="00100941">
            <w:pPr>
              <w:spacing w:after="0" w:line="269" w:lineRule="auto"/>
            </w:pPr>
            <w:r>
              <w:rPr>
                <w:b w:val="0"/>
                <w:color w:val="000000"/>
                <w:sz w:val="20"/>
              </w:rPr>
              <w:t>20</w:t>
            </w:r>
          </w:p>
        </w:tc>
      </w:tr>
      <w:tr>
        <w:trPr>
          <w:cantSplit/>
        </w:trPr>
        <w:tc>
          <w:tcPr>
            <w:tcW w:w="108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42" w14:textId="00100943">
            <w:pPr>
              <w:spacing w:after="0" w:line="269" w:lineRule="auto"/>
              <w:jc w:val="center"/>
            </w:pPr>
            <w:r>
              <w:rPr>
                <w:b w:val="0"/>
                <w:color w:val="000000"/>
                <w:sz w:val="20"/>
              </w:rPr>
              <w:t>分散</w:t>
            </w:r>
          </w:p>
        </w:tc>
        <w:tc>
          <w:tcPr>
            <w:tcW w:w="115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44" w14:textId="00100945">
            <w:pPr>
              <w:spacing w:after="0" w:line="269" w:lineRule="auto"/>
            </w:pPr>
            <w:r>
              <w:rPr>
                <w:b w:val="0"/>
                <w:color w:val="000000"/>
                <w:sz w:val="20"/>
              </w:rPr>
              <w:t>200</w:t>
            </w:r>
          </w:p>
        </w:tc>
        <w:tc>
          <w:tcPr>
            <w:tcW w:w="237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46" w14:textId="00100947">
            <w:pPr>
              <w:spacing w:after="0" w:line="269" w:lineRule="auto"/>
            </w:pPr>
            <w:r>
              <w:rPr>
                <w:b w:val="0"/>
                <w:color w:val="000000"/>
                <w:sz w:val="20"/>
              </w:rPr>
              <w:t>22.77</w:t>
            </w:r>
          </w:p>
        </w:tc>
        <w:tc>
          <w:tcPr>
            <w:tcW w:w="237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48" w14:textId="00100949">
            <w:pPr>
              <w:spacing w:after="0" w:line="269" w:lineRule="auto"/>
            </w:pPr>
            <w:r>
              <w:rPr>
                <w:b w:val="0"/>
                <w:color w:val="000000"/>
                <w:sz w:val="20"/>
              </w:rPr>
              <w:t>25.71</w:t>
            </w:r>
          </w:p>
        </w:tc>
        <w:tc>
          <w:tcPr>
            <w:tcW w:w="295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4A" w14:textId="0010094B">
            <w:pPr>
              <w:spacing w:after="0" w:line="269" w:lineRule="auto"/>
            </w:pPr>
            <w:r>
              <w:rPr>
                <w:b w:val="0"/>
                <w:color w:val="000000"/>
                <w:sz w:val="20"/>
              </w:rPr>
              <w:t>40</w:t>
            </w:r>
          </w:p>
        </w:tc>
      </w:tr>
      <w:tr>
        <w:trPr>
          <w:cantSplit/>
        </w:trPr>
        <w:tc>
          <w:tcPr>
            <w:tcW w:w="108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4C" w14:textId="0010094D">
            <w:pPr>
              <w:spacing w:after="0" w:line="269" w:lineRule="auto"/>
              <w:jc w:val="center"/>
            </w:pPr>
            <w:r>
              <w:rPr>
                <w:b w:val="0"/>
                <w:color w:val="000000"/>
                <w:sz w:val="20"/>
              </w:rPr>
              <w:t>密集</w:t>
            </w:r>
          </w:p>
        </w:tc>
        <w:tc>
          <w:tcPr>
            <w:tcW w:w="115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4E" w14:textId="0010094F">
            <w:pPr>
              <w:spacing w:after="0" w:line="269" w:lineRule="auto"/>
            </w:pPr>
            <w:r>
              <w:rPr>
                <w:b w:val="0"/>
                <w:color w:val="000000"/>
                <w:sz w:val="20"/>
              </w:rPr>
              <w:t>10</w:t>
            </w:r>
          </w:p>
        </w:tc>
        <w:tc>
          <w:tcPr>
            <w:tcW w:w="237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50" w14:textId="00100951">
            <w:pPr>
              <w:spacing w:after="0" w:line="269" w:lineRule="auto"/>
            </w:pPr>
            <w:r>
              <w:rPr>
                <w:b w:val="0"/>
                <w:color w:val="000000"/>
                <w:sz w:val="20"/>
              </w:rPr>
              <w:t>2.08</w:t>
            </w:r>
          </w:p>
        </w:tc>
        <w:tc>
          <w:tcPr>
            <w:tcW w:w="237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52" w14:textId="00100953">
            <w:pPr>
              <w:spacing w:after="0" w:line="269" w:lineRule="auto"/>
            </w:pPr>
            <w:r>
              <w:rPr>
                <w:b w:val="0"/>
                <w:color w:val="000000"/>
                <w:sz w:val="20"/>
              </w:rPr>
              <w:t>2.56</w:t>
            </w:r>
          </w:p>
        </w:tc>
        <w:tc>
          <w:tcPr>
            <w:tcW w:w="295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54" w14:textId="00100955">
            <w:pPr>
              <w:spacing w:after="0" w:line="269" w:lineRule="auto"/>
            </w:pPr>
            <w:r>
              <w:rPr>
                <w:b w:val="0"/>
                <w:color w:val="000000"/>
                <w:sz w:val="20"/>
              </w:rPr>
              <w:t>1</w:t>
            </w:r>
          </w:p>
        </w:tc>
      </w:tr>
      <w:tr>
        <w:trPr>
          <w:cantSplit/>
        </w:trPr>
        <w:tc>
          <w:tcPr>
            <w:tcW w:w="108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56" w14:textId="00100957">
            <w:pPr>
              <w:spacing w:after="0" w:line="269" w:lineRule="auto"/>
              <w:jc w:val="center"/>
            </w:pPr>
            <w:r>
              <w:rPr>
                <w:b w:val="0"/>
                <w:color w:val="000000"/>
                <w:sz w:val="20"/>
              </w:rPr>
              <w:t>密集</w:t>
            </w:r>
          </w:p>
        </w:tc>
        <w:tc>
          <w:tcPr>
            <w:tcW w:w="115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58" w14:textId="00100959">
            <w:pPr>
              <w:spacing w:after="0" w:line="269" w:lineRule="auto"/>
            </w:pPr>
            <w:r>
              <w:rPr>
                <w:b w:val="0"/>
                <w:color w:val="000000"/>
                <w:sz w:val="20"/>
              </w:rPr>
              <w:t>50</w:t>
            </w:r>
          </w:p>
        </w:tc>
        <w:tc>
          <w:tcPr>
            <w:tcW w:w="237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5A" w14:textId="0010095B">
            <w:pPr>
              <w:spacing w:after="0" w:line="269" w:lineRule="auto"/>
            </w:pPr>
            <w:r>
              <w:rPr>
                <w:b w:val="0"/>
                <w:color w:val="000000"/>
                <w:sz w:val="20"/>
              </w:rPr>
              <w:t>6.73</w:t>
            </w:r>
          </w:p>
        </w:tc>
        <w:tc>
          <w:tcPr>
            <w:tcW w:w="237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5C" w14:textId="0010095D">
            <w:pPr>
              <w:spacing w:after="0" w:line="269" w:lineRule="auto"/>
            </w:pPr>
            <w:r>
              <w:rPr>
                <w:b w:val="0"/>
                <w:color w:val="000000"/>
                <w:sz w:val="20"/>
              </w:rPr>
              <w:t>7.47</w:t>
            </w:r>
          </w:p>
        </w:tc>
        <w:tc>
          <w:tcPr>
            <w:tcW w:w="295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5E" w14:textId="0010095F">
            <w:pPr>
              <w:spacing w:after="0" w:line="269" w:lineRule="auto"/>
            </w:pPr>
            <w:r>
              <w:rPr>
                <w:b w:val="0"/>
                <w:color w:val="000000"/>
                <w:sz w:val="20"/>
              </w:rPr>
              <w:t>1</w:t>
            </w:r>
          </w:p>
        </w:tc>
      </w:tr>
      <w:tr>
        <w:trPr>
          <w:cantSplit/>
        </w:trPr>
        <w:tc>
          <w:tcPr>
            <w:tcW w:w="108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60" w14:textId="00100961">
            <w:pPr>
              <w:spacing w:after="0" w:line="269" w:lineRule="auto"/>
              <w:jc w:val="center"/>
            </w:pPr>
            <w:r>
              <w:rPr>
                <w:b w:val="0"/>
                <w:color w:val="000000"/>
                <w:sz w:val="20"/>
              </w:rPr>
              <w:t>密集</w:t>
            </w:r>
          </w:p>
        </w:tc>
        <w:tc>
          <w:tcPr>
            <w:tcW w:w="115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62" w14:textId="00100963">
            <w:pPr>
              <w:spacing w:after="0" w:line="269" w:lineRule="auto"/>
            </w:pPr>
            <w:r>
              <w:rPr>
                <w:b w:val="0"/>
                <w:color w:val="000000"/>
                <w:sz w:val="20"/>
              </w:rPr>
              <w:t>100</w:t>
            </w:r>
          </w:p>
        </w:tc>
        <w:tc>
          <w:tcPr>
            <w:tcW w:w="237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64" w14:textId="00100965">
            <w:pPr>
              <w:spacing w:after="0" w:line="269" w:lineRule="auto"/>
            </w:pPr>
            <w:r>
              <w:rPr>
                <w:b w:val="0"/>
                <w:color w:val="000000"/>
                <w:sz w:val="20"/>
              </w:rPr>
              <w:t>9.71</w:t>
            </w:r>
          </w:p>
        </w:tc>
        <w:tc>
          <w:tcPr>
            <w:tcW w:w="237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66" w14:textId="00100967">
            <w:pPr>
              <w:spacing w:after="0" w:line="269" w:lineRule="auto"/>
            </w:pPr>
            <w:r>
              <w:rPr>
                <w:b w:val="0"/>
                <w:color w:val="000000"/>
                <w:sz w:val="20"/>
              </w:rPr>
              <w:t>11.27</w:t>
            </w:r>
          </w:p>
        </w:tc>
        <w:tc>
          <w:tcPr>
            <w:tcW w:w="295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68" w14:textId="00100969">
            <w:pPr>
              <w:spacing w:after="0" w:line="269" w:lineRule="auto"/>
            </w:pPr>
            <w:r>
              <w:rPr>
                <w:b w:val="0"/>
                <w:color w:val="000000"/>
                <w:sz w:val="20"/>
              </w:rPr>
              <w:t>1</w:t>
            </w:r>
          </w:p>
        </w:tc>
      </w:tr>
      <w:tr>
        <w:trPr>
          <w:cantSplit/>
        </w:trPr>
        <w:tc>
          <w:tcPr>
            <w:tcW w:w="108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6A" w14:textId="0010096B">
            <w:pPr>
              <w:spacing w:after="0" w:line="269" w:lineRule="auto"/>
              <w:jc w:val="center"/>
            </w:pPr>
            <w:r>
              <w:rPr>
                <w:b w:val="0"/>
                <w:color w:val="000000"/>
                <w:sz w:val="20"/>
              </w:rPr>
              <w:t>密集</w:t>
            </w:r>
          </w:p>
        </w:tc>
        <w:tc>
          <w:tcPr>
            <w:tcW w:w="115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6C" w14:textId="0010096D">
            <w:pPr>
              <w:spacing w:after="0" w:line="269" w:lineRule="auto"/>
            </w:pPr>
            <w:r>
              <w:rPr>
                <w:b w:val="0"/>
                <w:color w:val="000000"/>
                <w:sz w:val="20"/>
              </w:rPr>
              <w:t>200</w:t>
            </w:r>
          </w:p>
        </w:tc>
        <w:tc>
          <w:tcPr>
            <w:tcW w:w="237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6E" w14:textId="0010096F">
            <w:pPr>
              <w:spacing w:after="0" w:line="269" w:lineRule="auto"/>
            </w:pPr>
            <w:r>
              <w:rPr>
                <w:b w:val="0"/>
                <w:color w:val="000000"/>
                <w:sz w:val="20"/>
              </w:rPr>
              <w:t>20.90</w:t>
            </w:r>
          </w:p>
        </w:tc>
        <w:tc>
          <w:tcPr>
            <w:tcW w:w="237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70" w14:textId="00100971">
            <w:pPr>
              <w:spacing w:after="0" w:line="269" w:lineRule="auto"/>
            </w:pPr>
            <w:r>
              <w:rPr>
                <w:b w:val="0"/>
                <w:color w:val="000000"/>
                <w:sz w:val="20"/>
              </w:rPr>
              <w:t>25.06</w:t>
            </w:r>
          </w:p>
        </w:tc>
        <w:tc>
          <w:tcPr>
            <w:tcW w:w="295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72" w14:textId="00100973">
            <w:pPr>
              <w:spacing w:after="0" w:line="269" w:lineRule="auto"/>
            </w:pPr>
            <w:r>
              <w:rPr>
                <w:b w:val="0"/>
                <w:color w:val="000000"/>
                <w:sz w:val="20"/>
              </w:rPr>
              <w:t>1</w:t>
            </w:r>
          </w:p>
        </w:tc>
      </w:tr>
    </w:tbl>
    <w:p w14:paraId="00100974" w14:textId="00100975">
      <w:pPr>
        <w:spacing w:after="40"/>
      </w:pPr>
    </w:p>
    <w:p w14:paraId="00100976" w14:textId="00100977">
      <w:pPr>
        <w:widowControl/>
      </w:pPr>
      <w:r>
        <w:rPr>
          <w:b w:val="0"/>
        </w:rPr>
        <w:t>这里直接给聚类组件120点轨迹，而正式路由中的旧适配器只接收末尾12点；因此属于独立组件压力测量，不能从该表精确拆分第18.11节的适配器耗时。输出簇数仅说明当前算法的分组结果，不能当成独立标签下的准确率。</w:t>
      </w:r>
    </w:p>
    <w:p w14:paraId="00100978" w14:textId="00100979">
      <w:pPr>
        <w:widowControl/>
      </w:pPr>
      <w:r>
        <w:rPr>
          <w:b w:val="0"/>
        </w:rPr>
        <w:t xml:space="preserve">正常路径显式构造目标间的成对距离，矩阵规模为 </w:t>
      </w:r>
      <m:oMath>
        <m:r>
          <w:rPr>
            <w:rFonts w:ascii="Cambria Math" w:hAnsi="Cambria Math" w:eastAsia="Cambria Math"/>
            <w:sz w:val="22"/>
          </w:rPr>
          <m:t>N × N</m:t>
        </m:r>
      </m:oMath>
      <w:r>
        <w:t>，并非第18.6节的KD-tree回退路径。</w:t>
      </w:r>
    </w:p>
    <w:p w14:paraId="0010097A" w14:textId="0010097B">
      <w:pPr>
        <w:widowControl/>
      </w:pPr>
      <w:r>
        <w:rPr>
          <w:b w:val="0"/>
        </w:rPr>
        <w:t>分散布局下，100与200目标的聚类组件中位数为12.72 ms和22.77 ms。正式路由同规模下为数百毫秒，说明继续优化时应同时检查空间处理、适配器其余阶段、集群规则与结果构造，不能只凭聚类名称假设其是唯一瓶颈。</w:t>
      </w:r>
    </w:p>
    <w:p w14:paraId="0010097C" w14:textId="0010097D">
      <w:pPr>
        <w:pStyle w:val="Heading2"/>
      </w:pPr>
      <w:r>
        <w:t>当前没有完成的算法对照</w:t>
      </w:r>
    </w:p>
    <w:p w14:paraId="0010097E" w14:textId="0010097F">
      <w:pPr>
        <w:widowControl/>
      </w:pPr>
      <w:r>
        <w:rPr>
          <w:b w:val="0"/>
        </w:rPr>
        <w:t>本次没有比较位置聚类、运动特征聚类和可靠度聚类对独立真值的归属准确率。可靠度处理的识别收益仍应按原计划使用标注样本评估；性能测量不能代替该结论。</w:t>
      </w:r>
    </w:p>
    <w:p w14:paraId="00100980" w14:textId="00100981">
      <w:pPr>
        <w:widowControl/>
        <w:spacing w:line="276" w:lineRule="auto"/>
      </w:pPr>
      <w:r>
        <w:rPr>
          <w:b w:val="0"/>
          <w:sz w:val="18"/>
        </w:rPr>
        <w:t>实现与证据  results.json/components/dbscan；clusters_recognition.py。 仿真原始记录见E05至E08。</w:t>
      </w:r>
    </w:p>
    <w:p w14:paraId="00100982" w14:textId="00100983">
      <w:r>
        <w:br w:type="page"/>
      </w:r>
    </w:p>
    <w:p w14:paraId="00100984" w14:textId="00100985">
      <w:pPr>
        <w:pStyle w:val="Heading1"/>
      </w:pPr>
      <w:r>
        <w:t>18.13 优化成果与后续性能验证</w:t>
      </w:r>
    </w:p>
    <w:p w14:paraId="00100986" w14:textId="00100987">
      <w:pPr>
        <w:pStyle w:val="Heading2"/>
      </w:pPr>
      <w:r>
        <w:t>可以作为本阶段成果展示的内容</w:t>
      </w:r>
    </w:p>
    <w:p w14:paraId="00100988" w14:textId="00100989">
      <w:pPr>
        <w:widowControl/>
      </w:pPr>
      <w:r>
        <w:rPr>
          <w:b w:val="0"/>
        </w:rPr>
        <w:t xml:space="preserve">跨度计算通过生产矩阵代码块与点对参考对照，120点局部约20倍，240点局部约24倍，样本数值差小于 </w:t>
      </w:r>
      <m:oMath>
        <m:r>
          <w:rPr>
            <w:rFonts w:ascii="Cambria Math" w:hAnsi="Cambria Math" w:eastAsia="Cambria Math"/>
            <w:sz w:val="22"/>
          </w:rPr>
          <m:t>2 × </m:t>
        </m:r>
        <m:sSup>
          <m:e>
            <m:r>
              <w:rPr>
                <w:rFonts w:ascii="Cambria Math" w:hAnsi="Cambria Math" w:eastAsia="Cambria Math"/>
                <w:sz w:val="22"/>
              </w:rPr>
              <m:t>10</m:t>
            </m:r>
          </m:e>
          <m:sup>
            <m:r>
              <w:rPr>
                <w:rFonts w:ascii="Cambria Math" w:hAnsi="Cambria Math" w:eastAsia="Cambria Math"/>
                <w:sz w:val="22"/>
              </w:rPr>
              <m:t>−9</m:t>
            </m:r>
          </m:sup>
        </m:sSup>
      </m:oMath>
      <w:r>
        <w:t xml:space="preserve"> 米。请求内特征缓存使100目标请求中位耗时降低约16%，并将底层特征计算次数减半，复核后的算法输出一致。</w:t>
      </w:r>
    </w:p>
    <w:p w14:paraId="0010098A" w14:textId="0010098B">
      <w:pPr>
        <w:widowControl/>
      </w:pPr>
      <w:r>
        <w:rPr>
          <w:b w:val="0"/>
        </w:rPr>
        <w:t>KD-tree回退分组在分散布局下50至200目标有明显收益，三种随机种子均保持成员集合一致；在密集布局下反而变慢。行为特征向量化的局部效率提高，但同时存在特征定义和输出差异，应作为方法变化与性能变化共同说明。</w:t>
      </w:r>
    </w:p>
    <w:p w14:paraId="0010098C" w14:textId="0010098D">
      <w:pPr>
        <w:pStyle w:val="Heading2"/>
      </w:pPr>
      <w:r>
        <w:t>如何解释正式路由性能</w:t>
      </w:r>
    </w:p>
    <w:p w14:paraId="0010098E" w14:textId="0010098F">
      <w:pPr>
        <w:widowControl/>
      </w:pPr>
      <w:r>
        <w:rPr>
          <w:b w:val="0"/>
        </w:rPr>
        <w:t>576次仿真计时请求均成功，所有目标均进入分析，形成了10至200目标的CPU热态基线。每目标120输入点时，100目标P95约466至580 ms，200目标约935至1182 ms。这些数值的适用条件是本机、固定背景、串行、进程内正式路由。</w:t>
      </w:r>
    </w:p>
    <w:p w14:paraId="00100990" w14:textId="00100991">
      <w:pPr>
        <w:widowControl/>
      </w:pPr>
      <w:r>
        <w:rPr>
          <w:b w:val="0"/>
        </w:rPr>
        <w:t>早前13目标样本中有4个白名单豁免，新仿真无豁免，轨迹与场景也不同。不能把两组耗时相除形成优化倍数。历史向量化报告中以旧路径估算值推导的数千倍加速，也不替代本次实测。</w:t>
      </w:r>
    </w:p>
    <w:p w14:paraId="00100992" w14:textId="00100993">
      <w:pPr>
        <w:pStyle w:val="Heading2"/>
      </w:pPr>
      <w:r>
        <w:t>后续测试重点</w:t>
      </w:r>
    </w:p>
    <w:p w14:paraId="00100994" w14:textId="00100995">
      <w:pPr>
        <w:widowControl/>
      </w:pPr>
      <w:r>
        <w:rPr>
          <w:b w:val="0"/>
        </w:rPr>
        <w:t>部署环境需补真实网络、生产服务器、并发、持续运行与异常恢复；时间统计需增加样本并报告尾部稳定性；冷启动需使用独立新进程。高频采样场景还应覆盖120秒内240个有效意图点。</w:t>
      </w:r>
    </w:p>
    <w:p w14:paraId="00100996" w14:textId="00100997">
      <w:pPr>
        <w:widowControl/>
      </w:pPr>
      <w:r>
        <w:rPr>
          <w:b w:val="0"/>
        </w:rPr>
        <w:t>算法一致性方面，优先明确行为特征两套定义的去留与标定，再补短轨迹、异长轨迹、静止、转向阈值和异常时间等边界。KD-tree应增加不同空间密度和航向分布；空间复用尚需单独对照，不能提前分配收益。</w:t>
      </w:r>
    </w:p>
    <w:p w14:paraId="00100998" w14:textId="00100999">
      <w:pPr>
        <w:widowControl/>
      </w:pPr>
      <w:r>
        <w:rPr>
          <w:b w:val="0"/>
        </w:rPr>
        <w:t>在公司确定处理周期与时延预算后，再把该基线与验收阈值比较。真实聚类、意图、威胁效果仍使用独立标签，不能由仿真性能或请求成功率推导准确率。</w:t>
      </w:r>
    </w:p>
    <w:p w14:paraId="0010099A" w14:textId="0010099B">
      <w:pPr>
        <w:widowControl/>
        <w:spacing w:line="276" w:lineRule="auto"/>
      </w:pPr>
      <w:r>
        <w:rPr>
          <w:b w:val="0"/>
          <w:sz w:val="18"/>
        </w:rPr>
        <w:t>实现与证据  仿真性能测试报告全文；project_reference第12.5节。 仿真原始记录见E05至E08。</w:t>
      </w:r>
    </w:p>
    <w:p w14:paraId="0010099C" w14:textId="0010099D">
      <w:r>
        <w:br w:type="page"/>
      </w:r>
    </w:p>
    <w:p w14:paraId="0010099E" w14:textId="0010099F">
      <w:pPr>
        <w:pStyle w:val="Heading1"/>
      </w:pPr>
      <w:r>
        <w:t>19 本次固定请求案例结果</w:t>
      </w:r>
    </w:p>
    <w:p w14:paraId="001009A0" w14:textId="001009A1">
      <w:pPr>
        <w:widowControl/>
      </w:pPr>
      <w:r>
        <w:rPr>
          <w:b w:val="0"/>
        </w:rPr>
        <w:t>使用同一13目标样本，另存一次完整正式路由响应。4个目标命中白名单豁免，剩余9个目标进入聚类，形成5成员与4成员两组；13个输入目标均有单机意图状态，跳过目标为0。算法诊断显示DBSCAN、PointNet、行为提取和ETA适配器均正常使用。</w:t>
      </w:r>
    </w:p>
    <w:tbl>
      <w:tblPr>
        <w:tblW w:w="0" w:type="auto"/>
        <w:jc w:val="center"/>
        <w:tblLayout w:type="fixed"/>
        <w:tblLook w:val="04A0" w:firstRow="1" w:lastRow="0" w:firstColumn="1" w:lastColumn="0" w:noHBand="0" w:noVBand="1"/>
      </w:tblPr>
      <w:tblGrid>
        <w:gridCol w:w="2448"/>
        <w:gridCol w:w="720"/>
        <w:gridCol w:w="1296"/>
        <w:gridCol w:w="3312"/>
        <w:gridCol w:w="2160"/>
      </w:tblGrid>
      <w:tr>
        <w:trPr>
          <w:tblHeader/>
          <w:cantSplit/>
        </w:trPr>
        <w:tc>
          <w:tcPr>
            <w:tcW w:w="244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9A2" w14:textId="001009A3">
            <w:pPr>
              <w:spacing w:after="0" w:line="269" w:lineRule="auto"/>
            </w:pPr>
            <w:r>
              <w:rPr>
                <w:b/>
                <w:color w:val="000000"/>
                <w:sz w:val="20"/>
              </w:rPr>
              <w:t>对象</w:t>
            </w:r>
          </w:p>
        </w:tc>
        <w:tc>
          <w:tcPr>
            <w:tcW w:w="72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9A4" w14:textId="001009A5">
            <w:pPr>
              <w:spacing w:after="0" w:line="269" w:lineRule="auto"/>
            </w:pPr>
            <w:r>
              <w:rPr>
                <w:b/>
                <w:color w:val="000000"/>
                <w:sz w:val="20"/>
              </w:rPr>
              <w:t>规模</w:t>
            </w:r>
          </w:p>
        </w:tc>
        <w:tc>
          <w:tcPr>
            <w:tcW w:w="1296"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9A6" w14:textId="001009A7">
            <w:pPr>
              <w:spacing w:after="0" w:line="269" w:lineRule="auto"/>
            </w:pPr>
            <w:r>
              <w:rPr>
                <w:b/>
                <w:color w:val="000000"/>
                <w:sz w:val="20"/>
              </w:rPr>
              <w:t>队形</w:t>
            </w:r>
          </w:p>
        </w:tc>
        <w:tc>
          <w:tcPr>
            <w:tcW w:w="331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9A8" w14:textId="001009A9">
            <w:pPr>
              <w:spacing w:after="0" w:line="269" w:lineRule="auto"/>
            </w:pPr>
            <w:r>
              <w:rPr>
                <w:b/>
                <w:color w:val="000000"/>
                <w:sz w:val="20"/>
              </w:rPr>
              <w:t>主意图</w:t>
            </w:r>
          </w:p>
        </w:tc>
        <w:tc>
          <w:tcPr>
            <w:tcW w:w="216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9AA" w14:textId="001009AB">
            <w:pPr>
              <w:spacing w:after="0" w:line="269" w:lineRule="auto"/>
            </w:pPr>
            <w:r>
              <w:rPr>
                <w:b/>
                <w:color w:val="000000"/>
                <w:sz w:val="20"/>
              </w:rPr>
              <w:t>威胁</w:t>
            </w:r>
          </w:p>
        </w:tc>
      </w:tr>
      <w:tr>
        <w:trPr>
          <w:cantSplit/>
        </w:trPr>
        <w:tc>
          <w:tcPr>
            <w:tcW w:w="244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AC" w14:textId="001009AD">
            <w:pPr>
              <w:spacing w:after="0" w:line="269" w:lineRule="auto"/>
            </w:pPr>
            <w:r>
              <w:rPr>
                <w:b w:val="0"/>
                <w:color w:val="000000"/>
                <w:sz w:val="20"/>
              </w:rPr>
              <w:t>白名单目标</w:t>
            </w:r>
          </w:p>
        </w:tc>
        <w:tc>
          <w:tcPr>
            <w:tcW w:w="7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AE" w14:textId="001009AF">
            <w:pPr>
              <w:spacing w:after="0" w:line="269" w:lineRule="auto"/>
            </w:pPr>
            <w:r>
              <w:rPr>
                <w:b w:val="0"/>
                <w:color w:val="000000"/>
                <w:sz w:val="20"/>
              </w:rPr>
              <w:t>4</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B0" w14:textId="001009B1">
            <w:pPr>
              <w:spacing w:after="0" w:line="269" w:lineRule="auto"/>
            </w:pPr>
            <w:r>
              <w:rPr>
                <w:b w:val="0"/>
                <w:color w:val="000000"/>
                <w:sz w:val="20"/>
              </w:rPr>
              <w:t>不进入聚类</w:t>
            </w:r>
          </w:p>
        </w:tc>
        <w:tc>
          <w:tcPr>
            <w:tcW w:w="331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B2" w14:textId="001009B3">
            <w:pPr>
              <w:spacing w:after="0" w:line="269" w:lineRule="auto"/>
            </w:pPr>
            <w:r>
              <w:rPr>
                <w:b w:val="0"/>
                <w:color w:val="000000"/>
                <w:sz w:val="20"/>
              </w:rPr>
              <w:t>无特定合规意图候选</w:t>
            </w:r>
          </w:p>
        </w:tc>
        <w:tc>
          <w:tcPr>
            <w:tcW w:w="216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B4" w14:textId="001009B5">
            <w:pPr>
              <w:spacing w:after="0" w:line="269" w:lineRule="auto"/>
            </w:pPr>
            <w:r>
              <w:rPr>
                <w:b w:val="0"/>
                <w:color w:val="000000"/>
                <w:sz w:val="20"/>
              </w:rPr>
              <w:t>豁免</w:t>
            </w:r>
          </w:p>
        </w:tc>
      </w:tr>
      <w:tr>
        <w:trPr>
          <w:cantSplit/>
        </w:trPr>
        <w:tc>
          <w:tcPr>
            <w:tcW w:w="244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B6" w14:textId="001009B7">
            <w:pPr>
              <w:spacing w:after="0" w:line="269" w:lineRule="auto"/>
            </w:pPr>
            <w:r>
              <w:rPr>
                <w:b w:val="0"/>
                <w:color w:val="000000"/>
                <w:sz w:val="20"/>
              </w:rPr>
              <w:t>集群2dbd37901e</w:t>
            </w:r>
          </w:p>
        </w:tc>
        <w:tc>
          <w:tcPr>
            <w:tcW w:w="72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B8" w14:textId="001009B9">
            <w:pPr>
              <w:spacing w:after="0" w:line="269" w:lineRule="auto"/>
            </w:pPr>
            <w:r>
              <w:rPr>
                <w:b w:val="0"/>
                <w:color w:val="000000"/>
                <w:sz w:val="20"/>
              </w:rPr>
              <w:t>5</w:t>
            </w:r>
          </w:p>
        </w:tc>
        <w:tc>
          <w:tcPr>
            <w:tcW w:w="1296"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BA" w14:textId="001009BB">
            <w:pPr>
              <w:spacing w:after="0" w:line="269" w:lineRule="auto"/>
            </w:pPr>
            <w:r>
              <w:rPr>
                <w:b w:val="0"/>
                <w:color w:val="000000"/>
                <w:sz w:val="20"/>
              </w:rPr>
              <w:t>vshape</w:t>
            </w:r>
          </w:p>
        </w:tc>
        <w:tc>
          <w:tcPr>
            <w:tcW w:w="331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BC" w14:textId="001009BD">
            <w:pPr>
              <w:spacing w:after="0" w:line="269" w:lineRule="auto"/>
            </w:pPr>
            <w:r>
              <w:rPr>
                <w:b w:val="0"/>
                <w:color w:val="000000"/>
                <w:sz w:val="20"/>
              </w:rPr>
              <w:t>I-13</w:t>
            </w:r>
          </w:p>
        </w:tc>
        <w:tc>
          <w:tcPr>
            <w:tcW w:w="216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BE" w14:textId="001009BF">
            <w:pPr>
              <w:spacing w:after="0" w:line="269" w:lineRule="auto"/>
            </w:pPr>
            <w:r>
              <w:rPr>
                <w:b w:val="0"/>
                <w:color w:val="000000"/>
                <w:sz w:val="20"/>
              </w:rPr>
              <w:t>46 中档</w:t>
            </w:r>
          </w:p>
        </w:tc>
      </w:tr>
      <w:tr>
        <w:trPr>
          <w:cantSplit/>
        </w:trPr>
        <w:tc>
          <w:tcPr>
            <w:tcW w:w="244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C0" w14:textId="001009C1">
            <w:pPr>
              <w:spacing w:after="0" w:line="269" w:lineRule="auto"/>
            </w:pPr>
            <w:r>
              <w:rPr>
                <w:b w:val="0"/>
                <w:color w:val="000000"/>
                <w:sz w:val="20"/>
              </w:rPr>
              <w:t>集群d2ad471505</w:t>
            </w:r>
          </w:p>
        </w:tc>
        <w:tc>
          <w:tcPr>
            <w:tcW w:w="72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C2" w14:textId="001009C3">
            <w:pPr>
              <w:spacing w:after="0" w:line="269" w:lineRule="auto"/>
            </w:pPr>
            <w:r>
              <w:rPr>
                <w:b w:val="0"/>
                <w:color w:val="000000"/>
                <w:sz w:val="20"/>
              </w:rPr>
              <w:t>4</w:t>
            </w:r>
          </w:p>
        </w:tc>
        <w:tc>
          <w:tcPr>
            <w:tcW w:w="1296"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C4" w14:textId="001009C5">
            <w:pPr>
              <w:spacing w:after="0" w:line="269" w:lineRule="auto"/>
            </w:pPr>
            <w:r>
              <w:rPr>
                <w:b w:val="0"/>
                <w:color w:val="000000"/>
                <w:sz w:val="20"/>
              </w:rPr>
              <w:t>vshape</w:t>
            </w:r>
          </w:p>
        </w:tc>
        <w:tc>
          <w:tcPr>
            <w:tcW w:w="331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C6" w14:textId="001009C7">
            <w:pPr>
              <w:spacing w:after="0" w:line="269" w:lineRule="auto"/>
            </w:pPr>
            <w:r>
              <w:rPr>
                <w:b w:val="0"/>
                <w:color w:val="000000"/>
                <w:sz w:val="20"/>
              </w:rPr>
              <w:t>I-29</w:t>
            </w:r>
          </w:p>
        </w:tc>
        <w:tc>
          <w:tcPr>
            <w:tcW w:w="216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C8" w14:textId="001009C9">
            <w:pPr>
              <w:spacing w:after="0" w:line="269" w:lineRule="auto"/>
            </w:pPr>
            <w:r>
              <w:rPr>
                <w:b w:val="0"/>
                <w:color w:val="000000"/>
                <w:sz w:val="20"/>
              </w:rPr>
              <w:t>32 低档</w:t>
            </w:r>
          </w:p>
        </w:tc>
      </w:tr>
    </w:tbl>
    <w:p w14:paraId="001009CA" w14:textId="001009CB">
      <w:pPr>
        <w:spacing w:after="40"/>
      </w:pPr>
    </w:p>
    <w:p w14:paraId="001009CC" w14:textId="001009CD">
      <w:pPr>
        <w:pStyle w:val="Heading2"/>
      </w:pPr>
      <w:r>
        <w:t>五成员集群的实际评分分解</w:t>
      </w:r>
    </w:p>
    <w:tbl>
      <w:tblPr>
        <w:tblW w:w="0" w:type="auto"/>
        <w:jc w:val="center"/>
        <w:tblLayout w:type="fixed"/>
        <w:tblLook w:val="04A0" w:firstRow="1" w:lastRow="0" w:firstColumn="1" w:lastColumn="0" w:noHBand="0" w:noVBand="1"/>
      </w:tblPr>
      <w:tblGrid>
        <w:gridCol w:w="2880"/>
        <w:gridCol w:w="1440"/>
        <w:gridCol w:w="1872"/>
        <w:gridCol w:w="3744"/>
      </w:tblGrid>
      <w:tr>
        <w:trPr>
          <w:tblHeader/>
          <w:cantSplit/>
        </w:trPr>
        <w:tc>
          <w:tcPr>
            <w:tcW w:w="288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9CE" w14:textId="001009CF">
            <w:pPr>
              <w:spacing w:after="0" w:line="269" w:lineRule="auto"/>
            </w:pPr>
            <w:r>
              <w:rPr>
                <w:b/>
                <w:color w:val="000000"/>
                <w:sz w:val="20"/>
              </w:rPr>
              <w:t>维度</w:t>
            </w:r>
          </w:p>
        </w:tc>
        <w:tc>
          <w:tcPr>
            <w:tcW w:w="144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9D0" w14:textId="001009D1">
            <w:pPr>
              <w:spacing w:after="0" w:line="269" w:lineRule="auto"/>
            </w:pPr>
            <w:r>
              <w:rPr>
                <w:b/>
                <w:color w:val="000000"/>
                <w:sz w:val="20"/>
              </w:rPr>
              <w:t>分值</w:t>
            </w:r>
          </w:p>
        </w:tc>
        <w:tc>
          <w:tcPr>
            <w:tcW w:w="187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9D2" w14:textId="001009D3">
            <w:pPr>
              <w:spacing w:after="0" w:line="269" w:lineRule="auto"/>
            </w:pPr>
            <w:r>
              <w:rPr>
                <w:b/>
                <w:color w:val="000000"/>
                <w:sz w:val="20"/>
              </w:rPr>
              <w:t>权重</w:t>
            </w:r>
          </w:p>
        </w:tc>
        <w:tc>
          <w:tcPr>
            <w:tcW w:w="374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9D4" w14:textId="001009D5">
            <w:pPr>
              <w:spacing w:after="0" w:line="269" w:lineRule="auto"/>
            </w:pPr>
            <w:r>
              <w:rPr>
                <w:b/>
                <w:color w:val="000000"/>
                <w:sz w:val="20"/>
              </w:rPr>
              <w:t>加权贡献</w:t>
            </w:r>
          </w:p>
        </w:tc>
      </w:tr>
      <w:tr>
        <w:trPr>
          <w:cantSplit/>
        </w:trPr>
        <w:tc>
          <w:tcPr>
            <w:tcW w:w="288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D6" w14:textId="001009D7">
            <w:pPr>
              <w:spacing w:after="0" w:line="269" w:lineRule="auto"/>
            </w:pPr>
            <w:r>
              <w:rPr>
                <w:b w:val="0"/>
                <w:color w:val="000000"/>
                <w:sz w:val="20"/>
              </w:rPr>
              <w:t>意图</w:t>
            </w:r>
          </w:p>
        </w:tc>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D8" w14:textId="001009D9">
            <w:pPr>
              <w:spacing w:after="0" w:line="269" w:lineRule="auto"/>
            </w:pPr>
            <w:r>
              <w:rPr>
                <w:b w:val="0"/>
                <w:color w:val="000000"/>
                <w:sz w:val="20"/>
              </w:rPr>
              <w:t>52</w:t>
            </w:r>
          </w:p>
        </w:tc>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DA" w14:textId="001009DB">
            <w:pPr>
              <w:spacing w:after="0" w:line="269" w:lineRule="auto"/>
            </w:pPr>
            <w:r>
              <w:rPr>
                <w:b w:val="0"/>
                <w:color w:val="000000"/>
                <w:sz w:val="20"/>
              </w:rPr>
              <w:t>18%</w:t>
            </w:r>
          </w:p>
        </w:tc>
        <w:tc>
          <w:tcPr>
            <w:tcW w:w="37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DC" w14:textId="001009DD">
            <w:pPr>
              <w:spacing w:after="0" w:line="269" w:lineRule="auto"/>
            </w:pPr>
            <w:r>
              <w:rPr>
                <w:b w:val="0"/>
                <w:color w:val="000000"/>
                <w:sz w:val="20"/>
              </w:rPr>
              <w:t>9.36</w:t>
            </w:r>
          </w:p>
        </w:tc>
      </w:tr>
      <w:tr>
        <w:trPr>
          <w:cantSplit/>
        </w:trPr>
        <w:tc>
          <w:tcPr>
            <w:tcW w:w="288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DE" w14:textId="001009DF">
            <w:pPr>
              <w:spacing w:after="0" w:line="269" w:lineRule="auto"/>
            </w:pPr>
            <w:r>
              <w:rPr>
                <w:b w:val="0"/>
                <w:color w:val="000000"/>
                <w:sz w:val="20"/>
              </w:rPr>
              <w:t>空域</w:t>
            </w:r>
          </w:p>
        </w:tc>
        <w:tc>
          <w:tcPr>
            <w:tcW w:w="144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E0" w14:textId="001009E1">
            <w:pPr>
              <w:spacing w:after="0" w:line="269" w:lineRule="auto"/>
            </w:pPr>
            <w:r>
              <w:rPr>
                <w:b w:val="0"/>
                <w:color w:val="000000"/>
                <w:sz w:val="20"/>
              </w:rPr>
              <w:t>62</w:t>
            </w:r>
          </w:p>
        </w:tc>
        <w:tc>
          <w:tcPr>
            <w:tcW w:w="18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E2" w14:textId="001009E3">
            <w:pPr>
              <w:spacing w:after="0" w:line="269" w:lineRule="auto"/>
            </w:pPr>
            <w:r>
              <w:rPr>
                <w:b w:val="0"/>
                <w:color w:val="000000"/>
                <w:sz w:val="20"/>
              </w:rPr>
              <w:t>16%</w:t>
            </w:r>
          </w:p>
        </w:tc>
        <w:tc>
          <w:tcPr>
            <w:tcW w:w="374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E4" w14:textId="001009E5">
            <w:pPr>
              <w:spacing w:after="0" w:line="269" w:lineRule="auto"/>
            </w:pPr>
            <w:r>
              <w:rPr>
                <w:b w:val="0"/>
                <w:color w:val="000000"/>
                <w:sz w:val="20"/>
              </w:rPr>
              <w:t>9.92</w:t>
            </w:r>
          </w:p>
        </w:tc>
      </w:tr>
      <w:tr>
        <w:trPr>
          <w:cantSplit/>
        </w:trPr>
        <w:tc>
          <w:tcPr>
            <w:tcW w:w="288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E6" w14:textId="001009E7">
            <w:pPr>
              <w:spacing w:after="0" w:line="269" w:lineRule="auto"/>
            </w:pPr>
            <w:r>
              <w:rPr>
                <w:b w:val="0"/>
                <w:color w:val="000000"/>
                <w:sz w:val="20"/>
              </w:rPr>
              <w:t>高度</w:t>
            </w:r>
          </w:p>
        </w:tc>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E8" w14:textId="001009E9">
            <w:pPr>
              <w:spacing w:after="0" w:line="269" w:lineRule="auto"/>
            </w:pPr>
            <w:r>
              <w:rPr>
                <w:b w:val="0"/>
                <w:color w:val="000000"/>
                <w:sz w:val="20"/>
              </w:rPr>
              <w:t>18</w:t>
            </w:r>
          </w:p>
        </w:tc>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EA" w14:textId="001009EB">
            <w:pPr>
              <w:spacing w:after="0" w:line="269" w:lineRule="auto"/>
            </w:pPr>
            <w:r>
              <w:rPr>
                <w:b w:val="0"/>
                <w:color w:val="000000"/>
                <w:sz w:val="20"/>
              </w:rPr>
              <w:t>16%</w:t>
            </w:r>
          </w:p>
        </w:tc>
        <w:tc>
          <w:tcPr>
            <w:tcW w:w="37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EC" w14:textId="001009ED">
            <w:pPr>
              <w:spacing w:after="0" w:line="269" w:lineRule="auto"/>
            </w:pPr>
            <w:r>
              <w:rPr>
                <w:b w:val="0"/>
                <w:color w:val="000000"/>
                <w:sz w:val="20"/>
              </w:rPr>
              <w:t>2.88</w:t>
            </w:r>
          </w:p>
        </w:tc>
      </w:tr>
      <w:tr>
        <w:trPr>
          <w:cantSplit/>
        </w:trPr>
        <w:tc>
          <w:tcPr>
            <w:tcW w:w="288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EE" w14:textId="001009EF">
            <w:pPr>
              <w:spacing w:after="0" w:line="269" w:lineRule="auto"/>
            </w:pPr>
            <w:r>
              <w:rPr>
                <w:b w:val="0"/>
                <w:color w:val="000000"/>
                <w:sz w:val="20"/>
              </w:rPr>
              <w:t>行为</w:t>
            </w:r>
          </w:p>
        </w:tc>
        <w:tc>
          <w:tcPr>
            <w:tcW w:w="144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F0" w14:textId="001009F1">
            <w:pPr>
              <w:spacing w:after="0" w:line="269" w:lineRule="auto"/>
            </w:pPr>
            <w:r>
              <w:rPr>
                <w:b w:val="0"/>
                <w:color w:val="000000"/>
                <w:sz w:val="20"/>
              </w:rPr>
              <w:t>25</w:t>
            </w:r>
          </w:p>
        </w:tc>
        <w:tc>
          <w:tcPr>
            <w:tcW w:w="18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F2" w14:textId="001009F3">
            <w:pPr>
              <w:spacing w:after="0" w:line="269" w:lineRule="auto"/>
            </w:pPr>
            <w:r>
              <w:rPr>
                <w:b w:val="0"/>
                <w:color w:val="000000"/>
                <w:sz w:val="20"/>
              </w:rPr>
              <w:t>16%</w:t>
            </w:r>
          </w:p>
        </w:tc>
        <w:tc>
          <w:tcPr>
            <w:tcW w:w="374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F4" w14:textId="001009F5">
            <w:pPr>
              <w:spacing w:after="0" w:line="269" w:lineRule="auto"/>
            </w:pPr>
            <w:r>
              <w:rPr>
                <w:b w:val="0"/>
                <w:color w:val="000000"/>
                <w:sz w:val="20"/>
              </w:rPr>
              <w:t>4.0</w:t>
            </w:r>
          </w:p>
        </w:tc>
      </w:tr>
      <w:tr>
        <w:trPr>
          <w:cantSplit/>
        </w:trPr>
        <w:tc>
          <w:tcPr>
            <w:tcW w:w="288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F6" w14:textId="001009F7">
            <w:pPr>
              <w:spacing w:after="0" w:line="269" w:lineRule="auto"/>
            </w:pPr>
            <w:r>
              <w:rPr>
                <w:b w:val="0"/>
                <w:color w:val="000000"/>
                <w:sz w:val="20"/>
              </w:rPr>
              <w:t>趋势</w:t>
            </w:r>
          </w:p>
        </w:tc>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F8" w14:textId="001009F9">
            <w:pPr>
              <w:spacing w:after="0" w:line="269" w:lineRule="auto"/>
            </w:pPr>
            <w:r>
              <w:rPr>
                <w:b w:val="0"/>
                <w:color w:val="000000"/>
                <w:sz w:val="20"/>
              </w:rPr>
              <w:t>15</w:t>
            </w:r>
          </w:p>
        </w:tc>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FA" w14:textId="001009FB">
            <w:pPr>
              <w:spacing w:after="0" w:line="269" w:lineRule="auto"/>
            </w:pPr>
            <w:r>
              <w:rPr>
                <w:b w:val="0"/>
                <w:color w:val="000000"/>
                <w:sz w:val="20"/>
              </w:rPr>
              <w:t>6%</w:t>
            </w:r>
          </w:p>
        </w:tc>
        <w:tc>
          <w:tcPr>
            <w:tcW w:w="37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9FC" w14:textId="001009FD">
            <w:pPr>
              <w:spacing w:after="0" w:line="269" w:lineRule="auto"/>
            </w:pPr>
            <w:r>
              <w:rPr>
                <w:b w:val="0"/>
                <w:color w:val="000000"/>
                <w:sz w:val="20"/>
              </w:rPr>
              <w:t>0.9</w:t>
            </w:r>
          </w:p>
        </w:tc>
      </w:tr>
      <w:tr>
        <w:trPr>
          <w:cantSplit/>
        </w:trPr>
        <w:tc>
          <w:tcPr>
            <w:tcW w:w="288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9FE" w14:textId="001009FF">
            <w:pPr>
              <w:spacing w:after="0" w:line="269" w:lineRule="auto"/>
            </w:pPr>
            <w:r>
              <w:rPr>
                <w:b w:val="0"/>
                <w:color w:val="000000"/>
                <w:sz w:val="20"/>
              </w:rPr>
              <w:t>合规</w:t>
            </w:r>
          </w:p>
        </w:tc>
        <w:tc>
          <w:tcPr>
            <w:tcW w:w="144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00" w14:textId="00100A01">
            <w:pPr>
              <w:spacing w:after="0" w:line="269" w:lineRule="auto"/>
            </w:pPr>
            <w:r>
              <w:rPr>
                <w:b w:val="0"/>
                <w:color w:val="000000"/>
                <w:sz w:val="20"/>
              </w:rPr>
              <w:t>82</w:t>
            </w:r>
          </w:p>
        </w:tc>
        <w:tc>
          <w:tcPr>
            <w:tcW w:w="18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02" w14:textId="00100A03">
            <w:pPr>
              <w:spacing w:after="0" w:line="269" w:lineRule="auto"/>
            </w:pPr>
            <w:r>
              <w:rPr>
                <w:b w:val="0"/>
                <w:color w:val="000000"/>
                <w:sz w:val="20"/>
              </w:rPr>
              <w:t>12%</w:t>
            </w:r>
          </w:p>
        </w:tc>
        <w:tc>
          <w:tcPr>
            <w:tcW w:w="374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04" w14:textId="00100A05">
            <w:pPr>
              <w:spacing w:after="0" w:line="269" w:lineRule="auto"/>
            </w:pPr>
            <w:r>
              <w:rPr>
                <w:b w:val="0"/>
                <w:color w:val="000000"/>
                <w:sz w:val="20"/>
              </w:rPr>
              <w:t>9.84</w:t>
            </w:r>
          </w:p>
        </w:tc>
      </w:tr>
      <w:tr>
        <w:trPr>
          <w:cantSplit/>
        </w:trPr>
        <w:tc>
          <w:tcPr>
            <w:tcW w:w="288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06" w14:textId="00100A07">
            <w:pPr>
              <w:spacing w:after="0" w:line="269" w:lineRule="auto"/>
            </w:pPr>
            <w:r>
              <w:rPr>
                <w:b w:val="0"/>
                <w:color w:val="000000"/>
                <w:sz w:val="20"/>
              </w:rPr>
              <w:t>集群</w:t>
            </w:r>
          </w:p>
        </w:tc>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08" w14:textId="00100A09">
            <w:pPr>
              <w:spacing w:after="0" w:line="269" w:lineRule="auto"/>
            </w:pPr>
            <w:r>
              <w:rPr>
                <w:b w:val="0"/>
                <w:color w:val="000000"/>
                <w:sz w:val="20"/>
              </w:rPr>
              <w:t>80</w:t>
            </w:r>
          </w:p>
        </w:tc>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0A" w14:textId="00100A0B">
            <w:pPr>
              <w:spacing w:after="0" w:line="269" w:lineRule="auto"/>
            </w:pPr>
            <w:r>
              <w:rPr>
                <w:b w:val="0"/>
                <w:color w:val="000000"/>
                <w:sz w:val="20"/>
              </w:rPr>
              <w:t>7%</w:t>
            </w:r>
          </w:p>
        </w:tc>
        <w:tc>
          <w:tcPr>
            <w:tcW w:w="37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0C" w14:textId="00100A0D">
            <w:pPr>
              <w:spacing w:after="0" w:line="269" w:lineRule="auto"/>
            </w:pPr>
            <w:r>
              <w:rPr>
                <w:b w:val="0"/>
                <w:color w:val="000000"/>
                <w:sz w:val="20"/>
              </w:rPr>
              <w:t>5.6</w:t>
            </w:r>
          </w:p>
        </w:tc>
      </w:tr>
      <w:tr>
        <w:trPr>
          <w:cantSplit/>
        </w:trPr>
        <w:tc>
          <w:tcPr>
            <w:tcW w:w="288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0E" w14:textId="00100A0F">
            <w:pPr>
              <w:spacing w:after="0" w:line="269" w:lineRule="auto"/>
            </w:pPr>
            <w:r>
              <w:rPr>
                <w:b w:val="0"/>
                <w:color w:val="000000"/>
                <w:sz w:val="20"/>
              </w:rPr>
              <w:t>机型</w:t>
            </w:r>
          </w:p>
        </w:tc>
        <w:tc>
          <w:tcPr>
            <w:tcW w:w="144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10" w14:textId="00100A11">
            <w:pPr>
              <w:spacing w:after="0" w:line="269" w:lineRule="auto"/>
            </w:pPr>
            <w:r>
              <w:rPr>
                <w:b w:val="0"/>
                <w:color w:val="000000"/>
                <w:sz w:val="20"/>
              </w:rPr>
              <w:t>55</w:t>
            </w:r>
          </w:p>
        </w:tc>
        <w:tc>
          <w:tcPr>
            <w:tcW w:w="18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12" w14:textId="00100A13">
            <w:pPr>
              <w:spacing w:after="0" w:line="269" w:lineRule="auto"/>
            </w:pPr>
            <w:r>
              <w:rPr>
                <w:b w:val="0"/>
                <w:color w:val="000000"/>
                <w:sz w:val="20"/>
              </w:rPr>
              <w:t>4%</w:t>
            </w:r>
          </w:p>
        </w:tc>
        <w:tc>
          <w:tcPr>
            <w:tcW w:w="374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14" w14:textId="00100A15">
            <w:pPr>
              <w:spacing w:after="0" w:line="269" w:lineRule="auto"/>
            </w:pPr>
            <w:r>
              <w:rPr>
                <w:b w:val="0"/>
                <w:color w:val="000000"/>
                <w:sz w:val="20"/>
              </w:rPr>
              <w:t>2.2</w:t>
            </w:r>
          </w:p>
        </w:tc>
      </w:tr>
      <w:tr>
        <w:trPr>
          <w:cantSplit/>
        </w:trPr>
        <w:tc>
          <w:tcPr>
            <w:tcW w:w="288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16" w14:textId="00100A17">
            <w:pPr>
              <w:spacing w:after="0" w:line="269" w:lineRule="auto"/>
            </w:pPr>
            <w:r>
              <w:rPr>
                <w:b w:val="0"/>
                <w:color w:val="000000"/>
                <w:sz w:val="20"/>
              </w:rPr>
              <w:t>载荷</w:t>
            </w:r>
          </w:p>
        </w:tc>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18" w14:textId="00100A19">
            <w:pPr>
              <w:spacing w:after="0" w:line="269" w:lineRule="auto"/>
            </w:pPr>
            <w:r>
              <w:rPr>
                <w:b w:val="0"/>
                <w:color w:val="000000"/>
                <w:sz w:val="20"/>
              </w:rPr>
              <w:t>15</w:t>
            </w:r>
          </w:p>
        </w:tc>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1A" w14:textId="00100A1B">
            <w:pPr>
              <w:spacing w:after="0" w:line="269" w:lineRule="auto"/>
            </w:pPr>
            <w:r>
              <w:rPr>
                <w:b w:val="0"/>
                <w:color w:val="000000"/>
                <w:sz w:val="20"/>
              </w:rPr>
              <w:t>3%</w:t>
            </w:r>
          </w:p>
        </w:tc>
        <w:tc>
          <w:tcPr>
            <w:tcW w:w="37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1C" w14:textId="00100A1D">
            <w:pPr>
              <w:spacing w:after="0" w:line="269" w:lineRule="auto"/>
            </w:pPr>
            <w:r>
              <w:rPr>
                <w:b w:val="0"/>
                <w:color w:val="000000"/>
                <w:sz w:val="20"/>
              </w:rPr>
              <w:t>0.45</w:t>
            </w:r>
          </w:p>
        </w:tc>
      </w:tr>
      <w:tr>
        <w:trPr>
          <w:cantSplit/>
        </w:trPr>
        <w:tc>
          <w:tcPr>
            <w:tcW w:w="288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1E" w14:textId="00100A1F">
            <w:pPr>
              <w:spacing w:after="0" w:line="269" w:lineRule="auto"/>
            </w:pPr>
            <w:r>
              <w:rPr>
                <w:b w:val="0"/>
                <w:color w:val="000000"/>
                <w:sz w:val="20"/>
              </w:rPr>
              <w:t>飞手</w:t>
            </w:r>
          </w:p>
        </w:tc>
        <w:tc>
          <w:tcPr>
            <w:tcW w:w="144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20" w14:textId="00100A21">
            <w:pPr>
              <w:spacing w:after="0" w:line="269" w:lineRule="auto"/>
            </w:pPr>
            <w:r>
              <w:rPr>
                <w:b w:val="0"/>
                <w:color w:val="000000"/>
                <w:sz w:val="20"/>
              </w:rPr>
              <w:t>25</w:t>
            </w:r>
          </w:p>
        </w:tc>
        <w:tc>
          <w:tcPr>
            <w:tcW w:w="187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22" w14:textId="00100A23">
            <w:pPr>
              <w:spacing w:after="0" w:line="269" w:lineRule="auto"/>
            </w:pPr>
            <w:r>
              <w:rPr>
                <w:b w:val="0"/>
                <w:color w:val="000000"/>
                <w:sz w:val="20"/>
              </w:rPr>
              <w:t>2%</w:t>
            </w:r>
          </w:p>
        </w:tc>
        <w:tc>
          <w:tcPr>
            <w:tcW w:w="374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24" w14:textId="00100A25">
            <w:pPr>
              <w:spacing w:after="0" w:line="269" w:lineRule="auto"/>
            </w:pPr>
            <w:r>
              <w:rPr>
                <w:b w:val="0"/>
                <w:color w:val="000000"/>
                <w:sz w:val="20"/>
              </w:rPr>
              <w:t>0.5</w:t>
            </w:r>
          </w:p>
        </w:tc>
      </w:tr>
      <w:tr>
        <w:trPr>
          <w:cantSplit/>
        </w:trPr>
        <w:tc>
          <w:tcPr>
            <w:tcW w:w="288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26" w14:textId="00100A27">
            <w:pPr>
              <w:spacing w:after="0" w:line="269" w:lineRule="auto"/>
            </w:pPr>
            <w:r>
              <w:rPr>
                <w:b w:val="0"/>
                <w:color w:val="000000"/>
                <w:sz w:val="20"/>
              </w:rPr>
              <w:t>合计</w:t>
            </w:r>
          </w:p>
        </w:tc>
        <w:tc>
          <w:tcPr>
            <w:tcW w:w="144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28" w14:textId="00100A29">
            <w:pPr>
              <w:spacing w:after="0" w:line="269" w:lineRule="auto"/>
            </w:pPr>
            <w:r>
              <w:rPr>
                <w:b w:val="0"/>
                <w:color w:val="000000"/>
                <w:sz w:val="20"/>
              </w:rPr>
              <w:t>—</w:t>
            </w:r>
          </w:p>
        </w:tc>
        <w:tc>
          <w:tcPr>
            <w:tcW w:w="187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2A" w14:textId="00100A2B">
            <w:pPr>
              <w:spacing w:after="0" w:line="269" w:lineRule="auto"/>
            </w:pPr>
            <w:r>
              <w:rPr>
                <w:b w:val="0"/>
                <w:color w:val="000000"/>
                <w:sz w:val="20"/>
              </w:rPr>
              <w:t>100%</w:t>
            </w:r>
          </w:p>
        </w:tc>
        <w:tc>
          <w:tcPr>
            <w:tcW w:w="374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2C" w14:textId="00100A2D">
            <w:pPr>
              <w:spacing w:after="0" w:line="269" w:lineRule="auto"/>
            </w:pPr>
            <w:r>
              <w:rPr>
                <w:b w:val="0"/>
                <w:color w:val="000000"/>
                <w:sz w:val="20"/>
              </w:rPr>
              <w:t>45.65</w:t>
            </w:r>
          </w:p>
        </w:tc>
      </w:tr>
    </w:tbl>
    <w:p w14:paraId="00100A2E" w14:textId="00100A2F">
      <w:pPr>
        <w:spacing w:after="40"/>
      </w:pPr>
    </w:p>
    <w:p w14:paraId="00100A30" w14:textId="00100A31">
      <w:pPr>
        <w:widowControl/>
      </w:pPr>
      <w:r>
        <w:rPr>
          <w:b w:val="0"/>
        </w:rPr>
        <w:t>该集群融合置信为0.917，置信扣分为0，硬规则下限为0，最终取整为46。五个成员的威胁分别为40、41、45、41、40，体现群体与成员独立评分。4个白名单目标的单机意图状态为 no_match，这不影响其有效豁免；豁免不保证一定存在某项具体合规意图。</w:t>
      </w:r>
    </w:p>
    <w:p w14:paraId="00100A32" w14:textId="00100A33">
      <w:pPr>
        <w:widowControl/>
        <w:spacing w:line="276" w:lineRule="auto"/>
      </w:pPr>
      <w:r>
        <w:rPr>
          <w:b w:val="0"/>
          <w:sz w:val="18"/>
        </w:rPr>
        <w:t>本样本的两个集群均未返回有效设施ETA，不能将适配器状态 used 解释为每个目标都有ETA。高度维度18是本次实际响应值，不能仅凭公共高度数值猜测其AGL条件。案例证明完整链路和输出可解释性，不证明独立标签意义上的预测正确率。</w:t>
      </w:r>
    </w:p>
    <w:p w14:paraId="00100A34" w14:textId="00100A35">
      <w:pPr>
        <w:widowControl/>
        <w:spacing w:line="276" w:lineRule="auto"/>
      </w:pPr>
      <w:r>
        <w:rPr>
          <w:b w:val="0"/>
          <w:sz w:val="18"/>
        </w:rPr>
        <w:t>实现与证据  E03 case_response.json；请求SHA256和配置、模型哈希见E02。</w:t>
      </w:r>
    </w:p>
    <w:p w14:paraId="00100A36" w14:textId="00100A37">
      <w:r>
        <w:br w:type="page"/>
      </w:r>
    </w:p>
    <w:p w14:paraId="00100A38" w14:textId="00100A39">
      <w:pPr>
        <w:pStyle w:val="Heading1"/>
      </w:pPr>
      <w:r>
        <w:t>20 当前限制与后续验证</w:t>
      </w:r>
    </w:p>
    <w:p w14:paraId="00100A3A" w14:textId="00100A3B">
      <w:pPr>
        <w:widowControl/>
      </w:pPr>
      <w:r>
        <w:rPr>
          <w:b w:val="0"/>
        </w:rPr>
        <w:t>当前基线具备103项定向回归、固定请求案例及576次仿真性能测量。性能优化和规模数据已在第18.1至18.13节补齐；真实效果验收仍需独立标签、部署条件和场景覆盖。下一阶段宜先收敛基线与失败样例，再开展标定与能力扩展。</w:t>
      </w:r>
    </w:p>
    <w:tbl>
      <w:tblPr>
        <w:tblW w:w="0" w:type="auto"/>
        <w:jc w:val="center"/>
        <w:tblLayout w:type="fixed"/>
        <w:tblLook w:val="04A0" w:firstRow="1" w:lastRow="0" w:firstColumn="1" w:lastColumn="0" w:noHBand="0" w:noVBand="1"/>
      </w:tblPr>
      <w:tblGrid>
        <w:gridCol w:w="1728"/>
        <w:gridCol w:w="3960"/>
        <w:gridCol w:w="4248"/>
      </w:tblGrid>
      <w:tr>
        <w:trPr>
          <w:tblHeader/>
          <w:cantSplit/>
        </w:trPr>
        <w:tc>
          <w:tcPr>
            <w:tcW w:w="172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A3C" w14:textId="00100A3D">
            <w:pPr>
              <w:spacing w:after="0" w:line="269" w:lineRule="auto"/>
              <w:jc w:val="center"/>
            </w:pPr>
            <w:r>
              <w:rPr>
                <w:b/>
                <w:color w:val="000000"/>
                <w:sz w:val="20"/>
              </w:rPr>
              <w:t>工作方向</w:t>
            </w:r>
          </w:p>
        </w:tc>
        <w:tc>
          <w:tcPr>
            <w:tcW w:w="396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A3E" w14:textId="00100A3F">
            <w:pPr>
              <w:spacing w:after="0" w:line="269" w:lineRule="auto"/>
            </w:pPr>
            <w:r>
              <w:rPr>
                <w:b/>
                <w:color w:val="000000"/>
                <w:sz w:val="20"/>
              </w:rPr>
              <w:t>当前缺口</w:t>
            </w:r>
          </w:p>
        </w:tc>
        <w:tc>
          <w:tcPr>
            <w:tcW w:w="4248"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A40" w14:textId="00100A41">
            <w:pPr>
              <w:spacing w:after="0" w:line="269" w:lineRule="auto"/>
            </w:pPr>
            <w:r>
              <w:rPr>
                <w:b/>
                <w:color w:val="000000"/>
                <w:sz w:val="20"/>
              </w:rPr>
              <w:t>建议验收产物</w:t>
            </w:r>
          </w:p>
        </w:tc>
      </w:tr>
      <w:tr>
        <w:trPr>
          <w:cantSplit/>
        </w:trPr>
        <w:tc>
          <w:tcPr>
            <w:tcW w:w="172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42" w14:textId="00100A43">
            <w:pPr>
              <w:spacing w:after="0" w:line="269" w:lineRule="auto"/>
              <w:jc w:val="center"/>
            </w:pPr>
            <w:r>
              <w:rPr>
                <w:b w:val="0"/>
                <w:color w:val="000000"/>
                <w:sz w:val="20"/>
              </w:rPr>
              <w:t>真实数据评价</w:t>
            </w:r>
          </w:p>
        </w:tc>
        <w:tc>
          <w:tcPr>
            <w:tcW w:w="396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44" w14:textId="00100A45">
            <w:pPr>
              <w:spacing w:after="0" w:line="269" w:lineRule="auto"/>
            </w:pPr>
            <w:r>
              <w:rPr>
                <w:b w:val="0"/>
                <w:color w:val="000000"/>
                <w:sz w:val="20"/>
              </w:rPr>
              <w:t>缺独立标注意图与群体关系</w:t>
            </w:r>
          </w:p>
        </w:tc>
        <w:tc>
          <w:tcPr>
            <w:tcW w:w="424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46" w14:textId="00100A47">
            <w:pPr>
              <w:spacing w:after="0" w:line="269" w:lineRule="auto"/>
            </w:pPr>
            <w:r>
              <w:rPr>
                <w:b w:val="0"/>
                <w:color w:val="000000"/>
                <w:sz w:val="20"/>
              </w:rPr>
              <w:t>标注规范、隔离测试集、分场景指标</w:t>
            </w:r>
          </w:p>
        </w:tc>
      </w:tr>
      <w:tr>
        <w:trPr>
          <w:cantSplit/>
        </w:trPr>
        <w:tc>
          <w:tcPr>
            <w:tcW w:w="172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48" w14:textId="00100A49">
            <w:pPr>
              <w:spacing w:after="0" w:line="269" w:lineRule="auto"/>
              <w:jc w:val="center"/>
            </w:pPr>
            <w:r>
              <w:rPr>
                <w:b w:val="0"/>
                <w:color w:val="000000"/>
                <w:sz w:val="20"/>
              </w:rPr>
              <w:t>规则标定</w:t>
            </w:r>
          </w:p>
        </w:tc>
        <w:tc>
          <w:tcPr>
            <w:tcW w:w="396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4A" w14:textId="00100A4B">
            <w:pPr>
              <w:spacing w:after="0" w:line="269" w:lineRule="auto"/>
            </w:pPr>
            <w:r>
              <w:rPr>
                <w:b w:val="0"/>
                <w:color w:val="000000"/>
                <w:sz w:val="20"/>
              </w:rPr>
              <w:t>阈值和权重未完成真实样本校准</w:t>
            </w:r>
          </w:p>
        </w:tc>
        <w:tc>
          <w:tcPr>
            <w:tcW w:w="424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4C" w14:textId="00100A4D">
            <w:pPr>
              <w:spacing w:after="0" w:line="269" w:lineRule="auto"/>
            </w:pPr>
            <w:r>
              <w:rPr>
                <w:b w:val="0"/>
                <w:color w:val="000000"/>
                <w:sz w:val="20"/>
              </w:rPr>
              <w:t>敏感性分析、误报漏报分析和参数版本</w:t>
            </w:r>
          </w:p>
        </w:tc>
      </w:tr>
      <w:tr>
        <w:trPr>
          <w:cantSplit/>
        </w:trPr>
        <w:tc>
          <w:tcPr>
            <w:tcW w:w="172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4E" w14:textId="00100A4F">
            <w:pPr>
              <w:spacing w:after="0" w:line="269" w:lineRule="auto"/>
              <w:jc w:val="center"/>
            </w:pPr>
            <w:r>
              <w:rPr>
                <w:b w:val="0"/>
                <w:color w:val="000000"/>
                <w:sz w:val="20"/>
              </w:rPr>
              <w:t>持续群体分析</w:t>
            </w:r>
          </w:p>
        </w:tc>
        <w:tc>
          <w:tcPr>
            <w:tcW w:w="396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50" w14:textId="00100A51">
            <w:pPr>
              <w:spacing w:after="0" w:line="269" w:lineRule="auto"/>
            </w:pPr>
            <w:r>
              <w:rPr>
                <w:b w:val="0"/>
                <w:color w:val="000000"/>
                <w:sz w:val="20"/>
              </w:rPr>
              <w:t>无跨请求身份与分合跟踪</w:t>
            </w:r>
          </w:p>
        </w:tc>
        <w:tc>
          <w:tcPr>
            <w:tcW w:w="424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52" w14:textId="00100A53">
            <w:pPr>
              <w:spacing w:after="0" w:line="269" w:lineRule="auto"/>
            </w:pPr>
            <w:r>
              <w:rPr>
                <w:b w:val="0"/>
                <w:color w:val="000000"/>
                <w:sz w:val="20"/>
              </w:rPr>
              <w:t>持续ID与合并拆分案例评估</w:t>
            </w:r>
          </w:p>
        </w:tc>
      </w:tr>
      <w:tr>
        <w:trPr>
          <w:cantSplit/>
        </w:trPr>
        <w:tc>
          <w:tcPr>
            <w:tcW w:w="172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54" w14:textId="00100A55">
            <w:pPr>
              <w:spacing w:after="0" w:line="269" w:lineRule="auto"/>
              <w:jc w:val="center"/>
            </w:pPr>
            <w:r>
              <w:rPr>
                <w:b w:val="0"/>
                <w:color w:val="000000"/>
                <w:sz w:val="20"/>
              </w:rPr>
              <w:t>预测能力</w:t>
            </w:r>
          </w:p>
        </w:tc>
        <w:tc>
          <w:tcPr>
            <w:tcW w:w="396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56" w14:textId="00100A57">
            <w:pPr>
              <w:spacing w:after="0" w:line="269" w:lineRule="auto"/>
            </w:pPr>
            <w:r>
              <w:rPr>
                <w:b w:val="0"/>
                <w:color w:val="000000"/>
                <w:sz w:val="20"/>
              </w:rPr>
              <w:t>完整设施趋向与多未来预测未实现</w:t>
            </w:r>
          </w:p>
        </w:tc>
        <w:tc>
          <w:tcPr>
            <w:tcW w:w="424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58" w14:textId="00100A59">
            <w:pPr>
              <w:spacing w:after="0" w:line="269" w:lineRule="auto"/>
            </w:pPr>
            <w:r>
              <w:rPr>
                <w:b w:val="0"/>
                <w:color w:val="000000"/>
                <w:sz w:val="20"/>
              </w:rPr>
              <w:t>可调用预测服务和抵达误差报告</w:t>
            </w:r>
          </w:p>
        </w:tc>
      </w:tr>
      <w:tr>
        <w:trPr>
          <w:cantSplit/>
        </w:trPr>
        <w:tc>
          <w:tcPr>
            <w:tcW w:w="172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5A" w14:textId="00100A5B">
            <w:pPr>
              <w:spacing w:after="0" w:line="269" w:lineRule="auto"/>
              <w:jc w:val="center"/>
            </w:pPr>
            <w:r>
              <w:rPr>
                <w:b w:val="0"/>
                <w:color w:val="000000"/>
                <w:sz w:val="20"/>
              </w:rPr>
              <w:t>仿真真值</w:t>
            </w:r>
          </w:p>
        </w:tc>
        <w:tc>
          <w:tcPr>
            <w:tcW w:w="396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5C" w14:textId="00100A5D">
            <w:pPr>
              <w:spacing w:after="0" w:line="269" w:lineRule="auto"/>
            </w:pPr>
            <w:r>
              <w:rPr>
                <w:b w:val="0"/>
                <w:color w:val="000000"/>
                <w:sz w:val="20"/>
              </w:rPr>
              <w:t>groundTruth仍为规格</w:t>
            </w:r>
          </w:p>
        </w:tc>
        <w:tc>
          <w:tcPr>
            <w:tcW w:w="424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5E" w14:textId="00100A5F">
            <w:pPr>
              <w:spacing w:after="0" w:line="269" w:lineRule="auto"/>
            </w:pPr>
            <w:r>
              <w:rPr>
                <w:b w:val="0"/>
                <w:color w:val="000000"/>
                <w:sz w:val="20"/>
              </w:rPr>
              <w:t>显式导出、数据一致性和防泄漏验证</w:t>
            </w:r>
          </w:p>
        </w:tc>
      </w:tr>
      <w:tr>
        <w:trPr>
          <w:cantSplit/>
        </w:trPr>
        <w:tc>
          <w:tcPr>
            <w:tcW w:w="172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60" w14:textId="00100A61">
            <w:pPr>
              <w:spacing w:after="0" w:line="269" w:lineRule="auto"/>
              <w:jc w:val="center"/>
            </w:pPr>
            <w:r>
              <w:rPr>
                <w:b w:val="0"/>
                <w:color w:val="000000"/>
                <w:sz w:val="20"/>
              </w:rPr>
              <w:t>防御评估</w:t>
            </w:r>
          </w:p>
        </w:tc>
        <w:tc>
          <w:tcPr>
            <w:tcW w:w="396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62" w14:textId="00100A63">
            <w:pPr>
              <w:spacing w:after="0" w:line="269" w:lineRule="auto"/>
            </w:pPr>
            <w:r>
              <w:rPr>
                <w:b w:val="0"/>
                <w:color w:val="000000"/>
                <w:sz w:val="20"/>
              </w:rPr>
              <w:t>设备参数与成功率未实测校准</w:t>
            </w:r>
          </w:p>
        </w:tc>
        <w:tc>
          <w:tcPr>
            <w:tcW w:w="424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64" w14:textId="00100A65">
            <w:pPr>
              <w:spacing w:after="0" w:line="269" w:lineRule="auto"/>
            </w:pPr>
            <w:r>
              <w:rPr>
                <w:b w:val="0"/>
                <w:color w:val="000000"/>
                <w:sz w:val="20"/>
              </w:rPr>
              <w:t>设备数据、场景覆盖及业务闭环验证</w:t>
            </w:r>
          </w:p>
        </w:tc>
      </w:tr>
      <w:tr>
        <w:trPr>
          <w:cantSplit/>
        </w:trPr>
        <w:tc>
          <w:tcPr>
            <w:tcW w:w="172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66" w14:textId="00100A67">
            <w:pPr>
              <w:spacing w:after="0" w:line="269" w:lineRule="auto"/>
              <w:jc w:val="center"/>
            </w:pPr>
            <w:r>
              <w:rPr>
                <w:b w:val="0"/>
                <w:color w:val="000000"/>
                <w:sz w:val="20"/>
              </w:rPr>
              <w:t>业务完善</w:t>
            </w:r>
          </w:p>
        </w:tc>
        <w:tc>
          <w:tcPr>
            <w:tcW w:w="396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68" w14:textId="00100A69">
            <w:pPr>
              <w:spacing w:after="0" w:line="269" w:lineRule="auto"/>
            </w:pPr>
            <w:r>
              <w:rPr>
                <w:b w:val="0"/>
                <w:color w:val="000000"/>
                <w:sz w:val="20"/>
              </w:rPr>
              <w:t>正式违规解除、单成员改档等缺口</w:t>
            </w:r>
          </w:p>
        </w:tc>
        <w:tc>
          <w:tcPr>
            <w:tcW w:w="4248"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6A" w14:textId="00100A6B">
            <w:pPr>
              <w:spacing w:after="0" w:line="269" w:lineRule="auto"/>
            </w:pPr>
            <w:r>
              <w:rPr>
                <w:b w:val="0"/>
                <w:color w:val="000000"/>
                <w:sz w:val="20"/>
              </w:rPr>
              <w:t>协议、实现与回归同步</w:t>
            </w:r>
          </w:p>
        </w:tc>
      </w:tr>
      <w:tr>
        <w:trPr>
          <w:cantSplit/>
        </w:trPr>
        <w:tc>
          <w:tcPr>
            <w:tcW w:w="172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6C" w14:textId="00100A6D">
            <w:pPr>
              <w:spacing w:after="0" w:line="269" w:lineRule="auto"/>
              <w:jc w:val="center"/>
            </w:pPr>
            <w:r>
              <w:rPr>
                <w:b w:val="0"/>
                <w:color w:val="000000"/>
                <w:sz w:val="20"/>
              </w:rPr>
              <w:t>部署验收</w:t>
            </w:r>
          </w:p>
        </w:tc>
        <w:tc>
          <w:tcPr>
            <w:tcW w:w="396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6E" w14:textId="00100A6F">
            <w:pPr>
              <w:spacing w:after="0" w:line="269" w:lineRule="auto"/>
            </w:pPr>
            <w:r>
              <w:rPr>
                <w:b w:val="0"/>
                <w:color w:val="000000"/>
                <w:sz w:val="20"/>
              </w:rPr>
              <w:t>本次未核验在线容器或并发</w:t>
            </w:r>
          </w:p>
        </w:tc>
        <w:tc>
          <w:tcPr>
            <w:tcW w:w="4248"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70" w14:textId="00100A71">
            <w:pPr>
              <w:spacing w:after="0" w:line="269" w:lineRule="auto"/>
            </w:pPr>
            <w:r>
              <w:rPr>
                <w:b w:val="0"/>
                <w:color w:val="000000"/>
                <w:sz w:val="20"/>
              </w:rPr>
              <w:t>版本对齐、压力测试和异常恢复记录</w:t>
            </w:r>
          </w:p>
        </w:tc>
      </w:tr>
    </w:tbl>
    <w:p w14:paraId="00100A72" w14:textId="00100A73">
      <w:pPr>
        <w:spacing w:after="40"/>
      </w:pPr>
    </w:p>
    <w:p w14:paraId="00100A74" w14:textId="00100A75">
      <w:pPr>
        <w:pStyle w:val="Heading2"/>
      </w:pPr>
      <w:r>
        <w:t>建议的阶段推进</w:t>
      </w:r>
    </w:p>
    <w:p w14:paraId="00100A76" w14:textId="00100A77">
      <w:pPr>
        <w:widowControl/>
      </w:pPr>
      <w:r>
        <w:rPr>
          <w:b w:val="0"/>
        </w:rPr>
        <w:t>第一步固定代码、权重、配置、地图和案例，形成可复算基线。第二步使用独立标签验证聚类、队形、意图和威胁，并分析正常活动误报。第三步依据业务优先级扩展预测与持续群体能力，每项都以可调用实现和对应评估报告完成。</w:t>
      </w:r>
    </w:p>
    <w:p w14:paraId="00100A78" w14:textId="00100A79">
      <w:pPr>
        <w:widowControl/>
      </w:pPr>
      <w:r>
        <w:rPr>
          <w:b w:val="0"/>
        </w:rPr>
        <w:t>评审需要确认阶段范围、可获得的数据、误报漏报与时延口径、原始规则和当前实现的差异，以及下一阶段优先事项。当前性能数字和功能回归可以作为基线，不能替代这些验收决策。</w:t>
      </w:r>
    </w:p>
    <w:p w14:paraId="00100A7A" w14:textId="00100A7B">
      <w:pPr>
        <w:widowControl/>
        <w:spacing w:line="276" w:lineRule="auto"/>
      </w:pPr>
      <w:r>
        <w:rPr>
          <w:b w:val="0"/>
          <w:sz w:val="18"/>
        </w:rPr>
        <w:t>实现与证据  project_reference 第12至14章；HANDOVER历史问题记录。[S01][S13]</w:t>
      </w:r>
    </w:p>
    <w:p w14:paraId="00100A7C" w14:textId="00100A7D">
      <w:r>
        <w:br w:type="page"/>
      </w:r>
    </w:p>
    <w:p w14:paraId="00100A7E" w14:textId="00100A7F">
      <w:pPr>
        <w:pStyle w:val="Heading1"/>
      </w:pPr>
      <w:r>
        <w:t>21 复现方式与证据清单</w:t>
      </w:r>
    </w:p>
    <w:p w14:paraId="00100A80" w14:textId="00100A81">
      <w:pPr>
        <w:widowControl/>
      </w:pPr>
      <w:r>
        <w:rPr>
          <w:b w:val="0"/>
        </w:rPr>
        <w:t>早前回归与13目标结果保存在工程根目录 .docx_work/project_review；新增仿真与优化对照保存在 simulation_benchmark_20261023。测量程序组织输入、调用真实实现并记录输出，局部测试使用临时补丁隔离范围，未修改核心算法。</w:t>
      </w:r>
    </w:p>
    <w:tbl>
      <w:tblPr>
        <w:tblW w:w="0" w:type="auto"/>
        <w:jc w:val="center"/>
        <w:tblLayout w:type="fixed"/>
        <w:tblLook w:val="04A0" w:firstRow="1" w:lastRow="0" w:firstColumn="1" w:lastColumn="0" w:noHBand="0" w:noVBand="1"/>
      </w:tblPr>
      <w:tblGrid>
        <w:gridCol w:w="864"/>
        <w:gridCol w:w="4680"/>
        <w:gridCol w:w="4392"/>
      </w:tblGrid>
      <w:tr>
        <w:trPr>
          <w:tblHeader/>
          <w:cantSplit/>
        </w:trPr>
        <w:tc>
          <w:tcPr>
            <w:tcW w:w="86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A82" w14:textId="00100A83">
            <w:pPr>
              <w:spacing w:after="0" w:line="269" w:lineRule="auto"/>
              <w:jc w:val="center"/>
            </w:pPr>
            <w:r>
              <w:rPr>
                <w:b/>
                <w:color w:val="000000"/>
                <w:sz w:val="20"/>
              </w:rPr>
              <w:t>编号</w:t>
            </w:r>
          </w:p>
        </w:tc>
        <w:tc>
          <w:tcPr>
            <w:tcW w:w="468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A84" w14:textId="00100A85">
            <w:pPr>
              <w:spacing w:after="0" w:line="269" w:lineRule="auto"/>
            </w:pPr>
            <w:r>
              <w:rPr>
                <w:b/>
                <w:color w:val="000000"/>
                <w:sz w:val="20"/>
              </w:rPr>
              <w:t>记录文件</w:t>
            </w:r>
          </w:p>
        </w:tc>
        <w:tc>
          <w:tcPr>
            <w:tcW w:w="439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A86" w14:textId="00100A87">
            <w:pPr>
              <w:spacing w:after="0" w:line="269" w:lineRule="auto"/>
            </w:pPr>
            <w:r>
              <w:rPr>
                <w:b/>
                <w:color w:val="000000"/>
                <w:sz w:val="20"/>
              </w:rPr>
              <w:t>用途</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88" w14:textId="00100A89">
            <w:pPr>
              <w:spacing w:after="0" w:line="269" w:lineRule="auto"/>
              <w:jc w:val="center"/>
            </w:pPr>
            <w:r>
              <w:rPr>
                <w:b w:val="0"/>
                <w:color w:val="000000"/>
                <w:sz w:val="20"/>
              </w:rPr>
              <w:t>E01</w:t>
            </w:r>
          </w:p>
        </w:tc>
        <w:tc>
          <w:tcPr>
            <w:tcW w:w="468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8A" w14:textId="00100A8B">
            <w:pPr>
              <w:spacing w:after="0" w:line="269" w:lineRule="auto"/>
            </w:pPr>
            <w:r>
              <w:rPr>
                <w:b w:val="0"/>
                <w:color w:val="000000"/>
                <w:sz w:val="20"/>
              </w:rPr>
              <w:t>test_results.json / unittest_run.log</w:t>
            </w:r>
          </w:p>
        </w:tc>
        <w:tc>
          <w:tcPr>
            <w:tcW w:w="43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8C" w14:textId="00100A8D">
            <w:pPr>
              <w:spacing w:after="0" w:line="269" w:lineRule="auto"/>
            </w:pPr>
            <w:r>
              <w:rPr>
                <w:b w:val="0"/>
                <w:color w:val="000000"/>
                <w:sz w:val="20"/>
              </w:rPr>
              <w:t>103项结果、时间、测试文件哈希、逐项日志</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8E" w14:textId="00100A8F">
            <w:pPr>
              <w:spacing w:after="0" w:line="269" w:lineRule="auto"/>
              <w:jc w:val="center"/>
            </w:pPr>
            <w:r>
              <w:rPr>
                <w:b w:val="0"/>
                <w:color w:val="000000"/>
                <w:sz w:val="20"/>
              </w:rPr>
              <w:t>E02</w:t>
            </w:r>
          </w:p>
        </w:tc>
        <w:tc>
          <w:tcPr>
            <w:tcW w:w="468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90" w14:textId="00100A91">
            <w:pPr>
              <w:spacing w:after="0" w:line="269" w:lineRule="auto"/>
            </w:pPr>
            <w:r>
              <w:rPr>
                <w:b w:val="0"/>
                <w:color w:val="000000"/>
                <w:sz w:val="20"/>
              </w:rPr>
              <w:t>benchmark_results.json / benchmark_run.log</w:t>
            </w:r>
          </w:p>
        </w:tc>
        <w:tc>
          <w:tcPr>
            <w:tcW w:w="43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92" w14:textId="00100A93">
            <w:pPr>
              <w:spacing w:after="0" w:line="269" w:lineRule="auto"/>
            </w:pPr>
            <w:r>
              <w:rPr>
                <w:b w:val="0"/>
                <w:color w:val="000000"/>
                <w:sz w:val="20"/>
              </w:rPr>
              <w:t>环境、预热、迭代、统计、输入配置模型哈希</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94" w14:textId="00100A95">
            <w:pPr>
              <w:spacing w:after="0" w:line="269" w:lineRule="auto"/>
              <w:jc w:val="center"/>
            </w:pPr>
            <w:r>
              <w:rPr>
                <w:b w:val="0"/>
                <w:color w:val="000000"/>
                <w:sz w:val="20"/>
              </w:rPr>
              <w:t>E03</w:t>
            </w:r>
          </w:p>
        </w:tc>
        <w:tc>
          <w:tcPr>
            <w:tcW w:w="468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96" w14:textId="00100A97">
            <w:pPr>
              <w:spacing w:after="0" w:line="269" w:lineRule="auto"/>
            </w:pPr>
            <w:r>
              <w:rPr>
                <w:b w:val="0"/>
                <w:color w:val="000000"/>
                <w:sz w:val="20"/>
              </w:rPr>
              <w:t>case_response.json</w:t>
            </w:r>
          </w:p>
        </w:tc>
        <w:tc>
          <w:tcPr>
            <w:tcW w:w="43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98" w14:textId="00100A99">
            <w:pPr>
              <w:spacing w:after="0" w:line="269" w:lineRule="auto"/>
            </w:pPr>
            <w:r>
              <w:rPr>
                <w:b w:val="0"/>
                <w:color w:val="000000"/>
                <w:sz w:val="20"/>
              </w:rPr>
              <w:t>固定13目标请求的完整响应</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9A" w14:textId="00100A9B">
            <w:pPr>
              <w:spacing w:after="0" w:line="269" w:lineRule="auto"/>
              <w:jc w:val="center"/>
            </w:pPr>
            <w:r>
              <w:rPr>
                <w:b w:val="0"/>
                <w:color w:val="000000"/>
                <w:sz w:val="20"/>
              </w:rPr>
              <w:t>E04</w:t>
            </w:r>
          </w:p>
        </w:tc>
        <w:tc>
          <w:tcPr>
            <w:tcW w:w="468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9C" w14:textId="00100A9D">
            <w:pPr>
              <w:spacing w:after="0" w:line="269" w:lineRule="auto"/>
            </w:pPr>
            <w:r>
              <w:rPr>
                <w:b w:val="0"/>
                <w:color w:val="000000"/>
                <w:sz w:val="20"/>
              </w:rPr>
              <w:t>run_evidence.py</w:t>
            </w:r>
          </w:p>
        </w:tc>
        <w:tc>
          <w:tcPr>
            <w:tcW w:w="43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9E" w14:textId="00100A9F">
            <w:pPr>
              <w:spacing w:after="0" w:line="269" w:lineRule="auto"/>
            </w:pPr>
            <w:r>
              <w:rPr>
                <w:b w:val="0"/>
                <w:color w:val="000000"/>
                <w:sz w:val="20"/>
              </w:rPr>
              <w:t>本次测试与基准测量组织脚本</w:t>
            </w:r>
          </w:p>
        </w:tc>
      </w:tr>
    </w:tbl>
    <w:p w14:paraId="00100AA0" w14:textId="00100AA1">
      <w:pPr>
        <w:spacing w:after="40"/>
      </w:pPr>
    </w:p>
    <w:p w14:paraId="00100AA2" w14:textId="00100AA3">
      <w:pPr>
        <w:pStyle w:val="Heading2"/>
      </w:pPr>
      <w:r>
        <w:t>执行条件</w:t>
      </w:r>
    </w:p>
    <w:p w14:paraId="00100AA4" w14:textId="00100AA5">
      <w:pPr>
        <w:widowControl/>
      </w:pPr>
      <w:r>
        <w:rPr>
          <w:b w:val="0"/>
        </w:rPr>
        <w:t>Windows命令使用PowerShell 7。项目Python分析与测试使用Conda环境study_flask。正式性能测量前设置CPU与向量化开关；本次脚本内部已经设置。基准输入仍为仓库默认样本，避免在复现时无意替换数据。</w:t>
      </w:r>
    </w:p>
    <w:p w14:paraId="00100AA6" w14:textId="00100AA7">
      <w:pPr>
        <w:widowControl/>
        <w:spacing w:line="276" w:lineRule="auto"/>
      </w:pPr>
      <w:r>
        <w:rPr>
          <w:b w:val="0"/>
          <w:sz w:val="18"/>
        </w:rPr>
        <w:t>在工程根目录执行以下两条命令即可分别复现本次选定测试和性能测量；执行会更新上述本地结果文件。</w:t>
      </w:r>
    </w:p>
    <w:p w14:paraId="00100AA8" w14:textId="00100AA9">
      <w:pPr>
        <w:widowControl/>
        <w:spacing w:line="276" w:lineRule="auto"/>
      </w:pPr>
      <w:r>
        <w:rPr>
          <w:b w:val="0"/>
          <w:sz w:val="18"/>
        </w:rPr>
        <w:t>conda run -n study_flask --no-capture-output python .docx_work/project_review/run_evidence.py tests</w:t>
      </w:r>
    </w:p>
    <w:p w14:paraId="00100AAA" w14:textId="00100AAB">
      <w:pPr>
        <w:widowControl/>
        <w:spacing w:line="276" w:lineRule="auto"/>
      </w:pPr>
      <w:r>
        <w:rPr>
          <w:b w:val="0"/>
          <w:sz w:val="18"/>
        </w:rPr>
        <w:t>conda run -n study_flask --no-capture-output python .docx_work/project_review/run_evidence.py benchmark</w:t>
      </w:r>
    </w:p>
    <w:p w14:paraId="00100AAC" w14:textId="00100AAD">
      <w:pPr>
        <w:pStyle w:val="Heading2"/>
      </w:pPr>
      <w:r>
        <w:t>样本与模型身份</w:t>
      </w:r>
    </w:p>
    <w:p w14:paraId="00100AAE" w14:textId="00100AAF">
      <w:pPr>
        <w:widowControl/>
        <w:spacing w:line="276" w:lineRule="auto"/>
      </w:pPr>
      <w:r>
        <w:rPr>
          <w:b w:val="0"/>
          <w:sz w:val="18"/>
        </w:rPr>
        <w:t>请求：outputs/agents02_http_request_sample.json；SHA256为37a468c9fe6f1fee4004384d0e419d7f7f28bd5c491c7b70780150a6d92b748a。</w:t>
      </w:r>
    </w:p>
    <w:p w14:paraId="00100AB0" w14:textId="00100AB1">
      <w:pPr>
        <w:widowControl/>
        <w:spacing w:line="276" w:lineRule="auto"/>
      </w:pPr>
      <w:r>
        <w:rPr>
          <w:b w:val="0"/>
          <w:sz w:val="18"/>
        </w:rPr>
        <w:t>模型：form_recog_model_20260812_200622.pth；SHA256为bbe62fcb8ccc85cfdd35060e80d74d43bdfa3acc3223ce9127aadab398fd49bf。</w:t>
      </w:r>
    </w:p>
    <w:p w14:paraId="00100AB2" w14:textId="00100AB3">
      <w:pPr>
        <w:widowControl/>
      </w:pPr>
      <w:r>
        <w:rPr>
          <w:b w:val="0"/>
        </w:rPr>
        <w:t>运行环境记录为AMD64 Family 26 Model 68 Stepping 0，32逻辑处理器，PyTorch线程16。本次使用CPU未做GPU对比。工作树可能包含未提交改动，因此提交号与文件哈希应共同使用。</w:t>
      </w:r>
    </w:p>
    <w:p w14:paraId="00100AB4" w14:textId="00100AB5">
      <w:pPr>
        <w:pStyle w:val="Heading2"/>
      </w:pPr>
      <w:r>
        <w:t>复核时应保持一致的条件</w:t>
      </w:r>
    </w:p>
    <w:p w14:paraId="00100AB6" w14:textId="00100AB7">
      <w:pPr>
        <w:widowControl/>
      </w:pPr>
      <w:r>
        <w:rPr>
          <w:b w:val="0"/>
        </w:rPr>
        <w:t>保持样本、规则、模型、配置和地图相同；区分模型调用耗时与路由耗时；检查诊断是否降级；避免同时运行重负载任务。不同机器或并发条件下重新测量并单独命名结果，不覆盖其统计口径。</w:t>
      </w:r>
    </w:p>
    <w:p w14:paraId="00100AB8" w14:textId="00100AB9">
      <w:r>
        <w:br w:type="page"/>
      </w:r>
    </w:p>
    <w:p w14:paraId="00100ABA" w14:textId="00100ABB">
      <w:pPr>
        <w:pStyle w:val="Heading1"/>
      </w:pPr>
      <w:r>
        <w:t>21.1 仿真优化实验的复现与证据</w:t>
      </w:r>
    </w:p>
    <w:p w14:paraId="00100ABC" w14:textId="00100ABD">
      <w:pPr>
        <w:widowControl/>
      </w:pPr>
      <w:r>
        <w:rPr>
          <w:b w:val="0"/>
        </w:rPr>
        <w:t>以下文件均位于工程根目录 simulation_benchmark_20261023，E08脚本除外。每个源输入和实际测量均保留，可按随机种子、目标数、输入点数和布局复核。</w:t>
      </w:r>
    </w:p>
    <w:tbl>
      <w:tblPr>
        <w:tblW w:w="0" w:type="auto"/>
        <w:jc w:val="center"/>
        <w:tblLayout w:type="fixed"/>
        <w:tblLook w:val="04A0" w:firstRow="1" w:lastRow="0" w:firstColumn="1" w:lastColumn="0" w:noHBand="0" w:noVBand="1"/>
      </w:tblPr>
      <w:tblGrid>
        <w:gridCol w:w="864"/>
        <w:gridCol w:w="4680"/>
        <w:gridCol w:w="4392"/>
      </w:tblGrid>
      <w:tr>
        <w:trPr>
          <w:tblHeader/>
          <w:cantSplit/>
        </w:trPr>
        <w:tc>
          <w:tcPr>
            <w:tcW w:w="86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ABE" w14:textId="00100ABF">
            <w:pPr>
              <w:spacing w:after="0" w:line="269" w:lineRule="auto"/>
              <w:jc w:val="center"/>
            </w:pPr>
            <w:r>
              <w:rPr>
                <w:b/>
                <w:color w:val="000000"/>
                <w:sz w:val="20"/>
              </w:rPr>
              <w:t>编号</w:t>
            </w:r>
          </w:p>
        </w:tc>
        <w:tc>
          <w:tcPr>
            <w:tcW w:w="468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AC0" w14:textId="00100AC1">
            <w:pPr>
              <w:spacing w:after="0" w:line="269" w:lineRule="auto"/>
            </w:pPr>
            <w:r>
              <w:rPr>
                <w:b/>
                <w:color w:val="000000"/>
                <w:sz w:val="20"/>
              </w:rPr>
              <w:t>记录文件</w:t>
            </w:r>
          </w:p>
        </w:tc>
        <w:tc>
          <w:tcPr>
            <w:tcW w:w="439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AC2" w14:textId="00100AC3">
            <w:pPr>
              <w:spacing w:after="0" w:line="269" w:lineRule="auto"/>
            </w:pPr>
            <w:r>
              <w:rPr>
                <w:b/>
                <w:color w:val="000000"/>
                <w:sz w:val="20"/>
              </w:rPr>
              <w:t>用途</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C4" w14:textId="00100AC5">
            <w:pPr>
              <w:spacing w:after="0" w:line="269" w:lineRule="auto"/>
              <w:jc w:val="center"/>
            </w:pPr>
            <w:r>
              <w:rPr>
                <w:b w:val="0"/>
                <w:color w:val="000000"/>
                <w:sz w:val="20"/>
              </w:rPr>
              <w:t>E05</w:t>
            </w:r>
          </w:p>
        </w:tc>
        <w:tc>
          <w:tcPr>
            <w:tcW w:w="468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C6" w14:textId="00100AC7">
            <w:pPr>
              <w:spacing w:after="0" w:line="269" w:lineRule="auto"/>
            </w:pPr>
            <w:r>
              <w:rPr>
                <w:b w:val="0"/>
                <w:color w:val="000000"/>
                <w:sz w:val="20"/>
              </w:rPr>
              <w:t>results.json / execution.log</w:t>
            </w:r>
          </w:p>
        </w:tc>
        <w:tc>
          <w:tcPr>
            <w:tcW w:w="43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C8" w14:textId="00100AC9">
            <w:pPr>
              <w:spacing w:after="0" w:line="269" w:lineRule="auto"/>
            </w:pPr>
            <w:r>
              <w:rPr>
                <w:b w:val="0"/>
                <w:color w:val="000000"/>
                <w:sz w:val="20"/>
              </w:rPr>
              <w:t>24组路由、逐次耗时、组件、环境及源文件哈希</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CA" w14:textId="00100ACB">
            <w:pPr>
              <w:spacing w:after="0" w:line="269" w:lineRule="auto"/>
              <w:jc w:val="center"/>
            </w:pPr>
            <w:r>
              <w:rPr>
                <w:b w:val="0"/>
                <w:color w:val="000000"/>
                <w:sz w:val="20"/>
              </w:rPr>
              <w:t>E06</w:t>
            </w:r>
          </w:p>
        </w:tc>
        <w:tc>
          <w:tcPr>
            <w:tcW w:w="468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CC" w14:textId="00100ACD">
            <w:pPr>
              <w:spacing w:after="0" w:line="269" w:lineRule="auto"/>
            </w:pPr>
            <w:r>
              <w:rPr>
                <w:b w:val="0"/>
                <w:color w:val="000000"/>
                <w:sz w:val="20"/>
              </w:rPr>
              <w:t>inputs目录 / input_manifest_sha256.json</w:t>
            </w:r>
          </w:p>
        </w:tc>
        <w:tc>
          <w:tcPr>
            <w:tcW w:w="43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CE" w14:textId="00100ACF">
            <w:pPr>
              <w:spacing w:after="0" w:line="269" w:lineRule="auto"/>
            </w:pPr>
            <w:r>
              <w:rPr>
                <w:b w:val="0"/>
                <w:color w:val="000000"/>
                <w:sz w:val="20"/>
              </w:rPr>
              <w:t>72份仿真输入与逐文件SHA256</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D0" w14:textId="00100AD1">
            <w:pPr>
              <w:spacing w:after="0" w:line="269" w:lineRule="auto"/>
              <w:jc w:val="center"/>
            </w:pPr>
            <w:r>
              <w:rPr>
                <w:b w:val="0"/>
                <w:color w:val="000000"/>
                <w:sz w:val="20"/>
              </w:rPr>
              <w:t>E07</w:t>
            </w:r>
          </w:p>
        </w:tc>
        <w:tc>
          <w:tcPr>
            <w:tcW w:w="468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D2" w14:textId="00100AD3">
            <w:pPr>
              <w:spacing w:after="0" w:line="269" w:lineRule="auto"/>
            </w:pPr>
            <w:r>
              <w:rPr>
                <w:b w:val="0"/>
                <w:color w:val="000000"/>
                <w:sz w:val="20"/>
              </w:rPr>
              <w:t>cache_difference_audit.json / cache_outputs文件</w:t>
            </w:r>
          </w:p>
        </w:tc>
        <w:tc>
          <w:tcPr>
            <w:tcW w:w="43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D4" w14:textId="00100AD5">
            <w:pPr>
              <w:spacing w:after="0" w:line="269" w:lineRule="auto"/>
            </w:pPr>
            <w:r>
              <w:rPr>
                <w:b w:val="0"/>
                <w:color w:val="000000"/>
                <w:sz w:val="20"/>
              </w:rPr>
              <w:t>缓存A/B完整响应和差异路径</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D6" w14:textId="00100AD7">
            <w:pPr>
              <w:spacing w:after="0" w:line="269" w:lineRule="auto"/>
              <w:jc w:val="center"/>
            </w:pPr>
            <w:r>
              <w:rPr>
                <w:b w:val="0"/>
                <w:color w:val="000000"/>
                <w:sz w:val="20"/>
              </w:rPr>
              <w:t>E08</w:t>
            </w:r>
          </w:p>
        </w:tc>
        <w:tc>
          <w:tcPr>
            <w:tcW w:w="468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D8" w14:textId="00100AD9">
            <w:pPr>
              <w:spacing w:after="0" w:line="269" w:lineRule="auto"/>
            </w:pPr>
            <w:r>
              <w:rPr>
                <w:b w:val="0"/>
                <w:color w:val="000000"/>
                <w:sz w:val="20"/>
              </w:rPr>
              <w:t>latest/tools/benchmark_simulated_swarm.py</w:t>
            </w:r>
          </w:p>
        </w:tc>
        <w:tc>
          <w:tcPr>
            <w:tcW w:w="439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ADA" w14:textId="00100ADB">
            <w:pPr>
              <w:spacing w:after="0" w:line="269" w:lineRule="auto"/>
            </w:pPr>
            <w:r>
              <w:rPr>
                <w:b w:val="0"/>
                <w:color w:val="000000"/>
                <w:sz w:val="20"/>
              </w:rPr>
              <w:t>生成场景并执行路由及组件测量</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DC" w14:textId="00100ADD">
            <w:pPr>
              <w:spacing w:after="0" w:line="269" w:lineRule="auto"/>
              <w:jc w:val="center"/>
            </w:pPr>
            <w:r>
              <w:rPr>
                <w:b w:val="0"/>
                <w:color w:val="000000"/>
                <w:sz w:val="20"/>
              </w:rPr>
              <w:t>E09</w:t>
            </w:r>
          </w:p>
        </w:tc>
        <w:tc>
          <w:tcPr>
            <w:tcW w:w="468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DE" w14:textId="00100ADF">
            <w:pPr>
              <w:spacing w:after="0" w:line="269" w:lineRule="auto"/>
            </w:pPr>
            <w:r>
              <w:rPr>
                <w:b w:val="0"/>
                <w:color w:val="000000"/>
                <w:sz w:val="20"/>
              </w:rPr>
              <w:t>仿真性能测试报告.md / route_p95.png</w:t>
            </w:r>
          </w:p>
        </w:tc>
        <w:tc>
          <w:tcPr>
            <w:tcW w:w="439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AE0" w14:textId="00100AE1">
            <w:pPr>
              <w:spacing w:after="0" w:line="269" w:lineRule="auto"/>
            </w:pPr>
            <w:r>
              <w:rPr>
                <w:b w:val="0"/>
                <w:color w:val="000000"/>
                <w:sz w:val="20"/>
              </w:rPr>
              <w:t>完整方法、汇总表格和性能曲线</w:t>
            </w:r>
          </w:p>
        </w:tc>
      </w:tr>
    </w:tbl>
    <w:p w14:paraId="00100AE2" w14:textId="00100AE3">
      <w:pPr>
        <w:spacing w:after="40"/>
      </w:pPr>
    </w:p>
    <w:p w14:paraId="00100AE4" w14:textId="00100AE5">
      <w:pPr>
        <w:pStyle w:val="Heading2"/>
      </w:pPr>
      <w:r>
        <w:t>执行仿真与局部对照</w:t>
      </w:r>
    </w:p>
    <w:p w14:paraId="00100AE6" w14:textId="00100AE7">
      <w:pPr>
        <w:widowControl/>
      </w:pPr>
      <w:r>
        <w:rPr>
          <w:b w:val="0"/>
        </w:rPr>
        <w:t>进入 situationawareness latest 目录后执行；默认重新生成输入并覆盖同名本地测量结果，复核前可先保留当前证据目录。</w:t>
      </w:r>
    </w:p>
    <w:p w14:paraId="00100AE8" w14:textId="00100AE9">
      <w:pPr>
        <w:widowControl/>
        <w:spacing w:line="276" w:lineRule="auto"/>
      </w:pPr>
      <w:r>
        <w:rPr>
          <w:b w:val="0"/>
          <w:sz w:val="18"/>
        </w:rPr>
        <w:t>conda run -n study_flask --no-capture-output python tools/benchmark_simulated_swarm.py</w:t>
      </w:r>
    </w:p>
    <w:p w14:paraId="00100AEA" w14:textId="00100AEB">
      <w:pPr>
        <w:pStyle w:val="Heading2"/>
      </w:pPr>
      <w:r>
        <w:t>复核缓存差异</w:t>
      </w:r>
    </w:p>
    <w:p w14:paraId="00100AEC" w14:textId="00100AED">
      <w:pPr>
        <w:widowControl/>
      </w:pPr>
      <w:r>
        <w:rPr>
          <w:b w:val="0"/>
        </w:rPr>
        <w:t>同目录执行 tools/inspect_simulation_cache_difference.py，保存完整启用与禁用缓存响应，并递归列出差异路径。本次仅发现debug.generatedAt，排除调试墙钟时间后算法结果一致。</w:t>
      </w:r>
    </w:p>
    <w:p w14:paraId="00100AEE" w14:textId="00100AEF">
      <w:pPr>
        <w:pStyle w:val="Heading2"/>
      </w:pPr>
      <w:r>
        <w:t>统计和实验口径</w:t>
      </w:r>
    </w:p>
    <w:p w14:paraId="00100AF0" w14:textId="00100AF1">
      <w:pPr>
        <w:widowControl/>
      </w:pPr>
      <w:r>
        <w:rPr>
          <w:b w:val="0"/>
        </w:rPr>
        <w:t>正式规模测试为每组3种子、每种子2次预热和8次记录，合计576次；另有144次预热。行为组件每模式20次；回退分组每规模布局3种子各20次；跨度参考10次、矩阵30次；DBSCAN每组20次；缓存每模式15次记录和2次预热。组件实验不与路由请求次数混计。</w:t>
      </w:r>
    </w:p>
    <w:p w14:paraId="00100AF2" w14:textId="00100AF3">
      <w:pPr>
        <w:widowControl/>
      </w:pPr>
      <w:r>
        <w:rPr>
          <w:b w:val="0"/>
        </w:rPr>
        <w:t>原始JSON的sourceHashes包含测量脚本、关键源码、config.ini与模型哈希，已核对测量后保持一致。独立组件输入长度、正式路由的12点运动窗口和120秒意图窗口应分别记录，不用同一个窗口标签替代。</w:t>
      </w:r>
    </w:p>
    <w:p w14:paraId="00100AF4" w14:textId="00100AF5">
      <w:pPr>
        <w:widowControl/>
        <w:spacing w:line="276" w:lineRule="auto"/>
      </w:pPr>
      <w:r>
        <w:rPr>
          <w:b w:val="0"/>
          <w:sz w:val="18"/>
        </w:rPr>
        <w:t>实现与证据  E05至E09；project_reference第12.5节。</w:t>
      </w:r>
    </w:p>
    <w:p w14:paraId="00100AF6" w14:textId="00100AF7">
      <w:r>
        <w:br w:type="page"/>
      </w:r>
    </w:p>
    <w:p w14:paraId="00100AF8" w14:textId="00100AF9">
      <w:pPr>
        <w:pStyle w:val="Heading1"/>
      </w:pPr>
      <w:r>
        <w:t>22 参考资料与实现定位</w:t>
      </w:r>
    </w:p>
    <w:p w14:paraId="00100AFA" w14:textId="00100AFB">
      <w:pPr>
        <w:widowControl/>
      </w:pPr>
      <w:r>
        <w:rPr>
          <w:b w:val="0"/>
        </w:rPr>
        <w:t>文档内容以本地实现和实际测试记录为依据。以下路径均相对于工程根目录；latest指 situationawareness latest。project_reference提供完整背景及公式推导定位，本说明将其重组为原理、方法、可行性和验证四类内容。</w:t>
      </w:r>
    </w:p>
    <w:tbl>
      <w:tblPr>
        <w:tblW w:w="0" w:type="auto"/>
        <w:jc w:val="center"/>
        <w:tblLayout w:type="fixed"/>
        <w:tblLook w:val="04A0" w:firstRow="1" w:lastRow="0" w:firstColumn="1" w:lastColumn="0" w:noHBand="0" w:noVBand="1"/>
      </w:tblPr>
      <w:tblGrid>
        <w:gridCol w:w="864"/>
        <w:gridCol w:w="5760"/>
        <w:gridCol w:w="3312"/>
      </w:tblGrid>
      <w:tr>
        <w:trPr>
          <w:tblHeader/>
          <w:cantSplit/>
        </w:trPr>
        <w:tc>
          <w:tcPr>
            <w:tcW w:w="864"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AFC" w14:textId="00100AFD">
            <w:pPr>
              <w:spacing w:after="0" w:line="269" w:lineRule="auto"/>
              <w:jc w:val="center"/>
            </w:pPr>
            <w:r>
              <w:rPr>
                <w:b/>
                <w:color w:val="000000"/>
                <w:sz w:val="20"/>
              </w:rPr>
              <w:t>编号</w:t>
            </w:r>
          </w:p>
        </w:tc>
        <w:tc>
          <w:tcPr>
            <w:tcW w:w="5760"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AFE" w14:textId="00100AFF">
            <w:pPr>
              <w:spacing w:after="0" w:line="269" w:lineRule="auto"/>
            </w:pPr>
            <w:r>
              <w:rPr>
                <w:b/>
                <w:color w:val="000000"/>
                <w:sz w:val="20"/>
              </w:rPr>
              <w:t>资料或实现</w:t>
            </w:r>
          </w:p>
        </w:tc>
        <w:tc>
          <w:tcPr>
            <w:tcW w:w="3312" w:type="dxa"/>
            <w:vAlign w:val="center"/>
            <w:tcMar>
              <w:top w:w="75" w:type="dxa"/>
              <w:bottom w:w="75" w:type="dxa"/>
              <w:left w:w="95" w:type="dxa"/>
              <w:right w:w="95" w:type="dxa"/>
            </w:tcMar>
            <w:shd w:fill="DCE6EF"/>
            <w:tcBorders>
              <w:top w:val="single" w:color="D9D9D9" w:sz="4"/>
              <w:bottom w:val="single" w:color="D9D9D9" w:sz="4"/>
              <w:left w:val="single" w:color="D9D9D9" w:sz="4"/>
              <w:right w:val="single" w:color="D9D9D9" w:sz="4"/>
            </w:tcBorders>
          </w:tcPr>
          <w:p w14:paraId="00100B00" w14:textId="00100B01">
            <w:pPr>
              <w:spacing w:after="0" w:line="269" w:lineRule="auto"/>
            </w:pPr>
            <w:r>
              <w:rPr>
                <w:b/>
                <w:color w:val="000000"/>
                <w:sz w:val="20"/>
              </w:rPr>
              <w:t>对应内容</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02" w14:textId="00100B03">
            <w:pPr>
              <w:spacing w:after="0" w:line="269" w:lineRule="auto"/>
              <w:jc w:val="center"/>
            </w:pPr>
            <w:r>
              <w:rPr>
                <w:b w:val="0"/>
                <w:color w:val="000000"/>
                <w:sz w:val="20"/>
              </w:rPr>
              <w:t>S01</w:t>
            </w:r>
          </w:p>
        </w:tc>
        <w:tc>
          <w:tcPr>
            <w:tcW w:w="576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04" w14:textId="00100B05">
            <w:pPr>
              <w:spacing w:after="0" w:line="269" w:lineRule="auto"/>
            </w:pPr>
            <w:r>
              <w:rPr>
                <w:b w:val="0"/>
                <w:color w:val="000000"/>
                <w:sz w:val="20"/>
              </w:rPr>
              <w:t>project_reference.md</w:t>
            </w:r>
          </w:p>
        </w:tc>
        <w:tc>
          <w:tcPr>
            <w:tcW w:w="331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06" w14:textId="00100B07">
            <w:pPr>
              <w:spacing w:after="0" w:line="269" w:lineRule="auto"/>
            </w:pPr>
            <w:r>
              <w:rPr>
                <w:b w:val="0"/>
                <w:color w:val="000000"/>
                <w:sz w:val="20"/>
              </w:rPr>
              <w:t>方法、链路、边界及原始公式索引</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08" w14:textId="00100B09">
            <w:pPr>
              <w:spacing w:after="0" w:line="269" w:lineRule="auto"/>
              <w:jc w:val="center"/>
            </w:pPr>
            <w:r>
              <w:rPr>
                <w:b w:val="0"/>
                <w:color w:val="000000"/>
                <w:sz w:val="20"/>
              </w:rPr>
              <w:t>S02</w:t>
            </w:r>
          </w:p>
        </w:tc>
        <w:tc>
          <w:tcPr>
            <w:tcW w:w="576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0A" w14:textId="00100B0B">
            <w:pPr>
              <w:spacing w:after="0" w:line="269" w:lineRule="auto"/>
            </w:pPr>
            <w:r>
              <w:rPr>
                <w:b w:val="0"/>
                <w:color w:val="000000"/>
                <w:sz w:val="20"/>
              </w:rPr>
              <w:t>README.md；latest/README.md</w:t>
            </w:r>
          </w:p>
        </w:tc>
        <w:tc>
          <w:tcPr>
            <w:tcW w:w="331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0C" w14:textId="00100B0D">
            <w:pPr>
              <w:spacing w:after="0" w:line="269" w:lineRule="auto"/>
            </w:pPr>
            <w:r>
              <w:rPr>
                <w:b w:val="0"/>
                <w:color w:val="000000"/>
                <w:sz w:val="20"/>
              </w:rPr>
              <w:t>工程关系和交付范围</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0E" w14:textId="00100B0F">
            <w:pPr>
              <w:spacing w:after="0" w:line="269" w:lineRule="auto"/>
              <w:jc w:val="center"/>
            </w:pPr>
            <w:r>
              <w:rPr>
                <w:b w:val="0"/>
                <w:color w:val="000000"/>
                <w:sz w:val="20"/>
              </w:rPr>
              <w:t>S03</w:t>
            </w:r>
          </w:p>
        </w:tc>
        <w:tc>
          <w:tcPr>
            <w:tcW w:w="576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10" w14:textId="00100B11">
            <w:pPr>
              <w:spacing w:after="0" w:line="269" w:lineRule="auto"/>
            </w:pPr>
            <w:r>
              <w:rPr>
                <w:b w:val="0"/>
                <w:color w:val="000000"/>
                <w:sz w:val="20"/>
              </w:rPr>
              <w:t>latest/situation_judgment/engine.py</w:t>
            </w:r>
          </w:p>
        </w:tc>
        <w:tc>
          <w:tcPr>
            <w:tcW w:w="331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12" w14:textId="00100B13">
            <w:pPr>
              <w:spacing w:after="0" w:line="269" w:lineRule="auto"/>
            </w:pPr>
            <w:r>
              <w:rPr>
                <w:b w:val="0"/>
                <w:color w:val="000000"/>
                <w:sz w:val="20"/>
              </w:rPr>
              <w:t>主链路、轨迹、特征、意图与评分</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14" w14:textId="00100B15">
            <w:pPr>
              <w:spacing w:after="0" w:line="269" w:lineRule="auto"/>
              <w:jc w:val="center"/>
            </w:pPr>
            <w:r>
              <w:rPr>
                <w:b w:val="0"/>
                <w:color w:val="000000"/>
                <w:sz w:val="20"/>
              </w:rPr>
              <w:t>S04</w:t>
            </w:r>
          </w:p>
        </w:tc>
        <w:tc>
          <w:tcPr>
            <w:tcW w:w="576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16" w14:textId="00100B17">
            <w:pPr>
              <w:spacing w:after="0" w:line="269" w:lineRule="auto"/>
            </w:pPr>
            <w:r>
              <w:rPr>
                <w:b w:val="0"/>
                <w:color w:val="000000"/>
                <w:sz w:val="20"/>
              </w:rPr>
              <w:t>latest/situation_judgment/legacy_adapter.py</w:t>
            </w:r>
          </w:p>
        </w:tc>
        <w:tc>
          <w:tcPr>
            <w:tcW w:w="331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18" w14:textId="00100B19">
            <w:pPr>
              <w:spacing w:after="0" w:line="269" w:lineRule="auto"/>
            </w:pPr>
            <w:r>
              <w:rPr>
                <w:b w:val="0"/>
                <w:color w:val="000000"/>
                <w:sz w:val="20"/>
              </w:rPr>
              <w:t>DBSCAN、PointNet、行为和ETA适配</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1A" w14:textId="00100B1B">
            <w:pPr>
              <w:spacing w:after="0" w:line="269" w:lineRule="auto"/>
              <w:jc w:val="center"/>
            </w:pPr>
            <w:r>
              <w:rPr>
                <w:b w:val="0"/>
                <w:color w:val="000000"/>
                <w:sz w:val="20"/>
              </w:rPr>
              <w:t>S05</w:t>
            </w:r>
          </w:p>
        </w:tc>
        <w:tc>
          <w:tcPr>
            <w:tcW w:w="576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1C" w14:textId="00100B1D">
            <w:pPr>
              <w:spacing w:after="0" w:line="269" w:lineRule="auto"/>
            </w:pPr>
            <w:r>
              <w:rPr>
                <w:b w:val="0"/>
                <w:color w:val="000000"/>
                <w:sz w:val="20"/>
              </w:rPr>
              <w:t>latest/situation_judgment/v32_gateway.py；track_config.py</w:t>
            </w:r>
          </w:p>
        </w:tc>
        <w:tc>
          <w:tcPr>
            <w:tcW w:w="331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1E" w14:textId="00100B1F">
            <w:pPr>
              <w:spacing w:after="0" w:line="269" w:lineRule="auto"/>
            </w:pPr>
            <w:r>
              <w:rPr>
                <w:b w:val="0"/>
                <w:color w:val="000000"/>
                <w:sz w:val="20"/>
              </w:rPr>
              <w:t>源数据归一化及点数配置</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20" w14:textId="00100B21">
            <w:pPr>
              <w:spacing w:after="0" w:line="269" w:lineRule="auto"/>
              <w:jc w:val="center"/>
            </w:pPr>
            <w:r>
              <w:rPr>
                <w:b w:val="0"/>
                <w:color w:val="000000"/>
                <w:sz w:val="20"/>
              </w:rPr>
              <w:t>S06</w:t>
            </w:r>
          </w:p>
        </w:tc>
        <w:tc>
          <w:tcPr>
            <w:tcW w:w="576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22" w14:textId="00100B23">
            <w:pPr>
              <w:spacing w:after="0" w:line="269" w:lineRule="auto"/>
            </w:pPr>
            <w:r>
              <w:rPr>
                <w:b w:val="0"/>
                <w:color w:val="000000"/>
                <w:sz w:val="20"/>
              </w:rPr>
              <w:t>latest/formation_recognition/clusters_recognition.py</w:t>
            </w:r>
          </w:p>
        </w:tc>
        <w:tc>
          <w:tcPr>
            <w:tcW w:w="331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24" w14:textId="00100B25">
            <w:pPr>
              <w:spacing w:after="0" w:line="269" w:lineRule="auto"/>
            </w:pPr>
            <w:r>
              <w:rPr>
                <w:b w:val="0"/>
                <w:color w:val="000000"/>
                <w:sz w:val="20"/>
              </w:rPr>
              <w:t>可靠度距离与聚类</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26" w14:textId="00100B27">
            <w:pPr>
              <w:spacing w:after="0" w:line="269" w:lineRule="auto"/>
              <w:jc w:val="center"/>
            </w:pPr>
            <w:r>
              <w:rPr>
                <w:b w:val="0"/>
                <w:color w:val="000000"/>
                <w:sz w:val="20"/>
              </w:rPr>
              <w:t>S07</w:t>
            </w:r>
          </w:p>
        </w:tc>
        <w:tc>
          <w:tcPr>
            <w:tcW w:w="576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28" w14:textId="00100B29">
            <w:pPr>
              <w:spacing w:after="0" w:line="269" w:lineRule="auto"/>
            </w:pPr>
            <w:r>
              <w:rPr>
                <w:b w:val="0"/>
                <w:color w:val="000000"/>
                <w:sz w:val="20"/>
              </w:rPr>
              <w:t>latest/formation_recognition/formation_recognition_pointnet.py</w:t>
            </w:r>
          </w:p>
        </w:tc>
        <w:tc>
          <w:tcPr>
            <w:tcW w:w="331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2A" w14:textId="00100B2B">
            <w:pPr>
              <w:spacing w:after="0" w:line="269" w:lineRule="auto"/>
            </w:pPr>
            <w:r>
              <w:rPr>
                <w:b w:val="0"/>
                <w:color w:val="000000"/>
                <w:sz w:val="20"/>
              </w:rPr>
              <w:t>点集预处理与模型</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2C" w14:textId="00100B2D">
            <w:pPr>
              <w:spacing w:after="0" w:line="269" w:lineRule="auto"/>
              <w:jc w:val="center"/>
            </w:pPr>
            <w:r>
              <w:rPr>
                <w:b w:val="0"/>
                <w:color w:val="000000"/>
                <w:sz w:val="20"/>
              </w:rPr>
              <w:t>S08</w:t>
            </w:r>
          </w:p>
        </w:tc>
        <w:tc>
          <w:tcPr>
            <w:tcW w:w="576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2E" w14:textId="00100B2F">
            <w:pPr>
              <w:spacing w:after="0" w:line="269" w:lineRule="auto"/>
            </w:pPr>
            <w:r>
              <w:rPr>
                <w:b w:val="0"/>
                <w:color w:val="000000"/>
                <w:sz w:val="20"/>
              </w:rPr>
              <w:t>latest/situation_judgment/airspace_analysis.py</w:t>
            </w:r>
          </w:p>
        </w:tc>
        <w:tc>
          <w:tcPr>
            <w:tcW w:w="331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30" w14:textId="00100B31">
            <w:pPr>
              <w:spacing w:after="0" w:line="269" w:lineRule="auto"/>
            </w:pPr>
            <w:r>
              <w:rPr>
                <w:b w:val="0"/>
                <w:color w:val="000000"/>
                <w:sz w:val="20"/>
              </w:rPr>
              <w:t>几何与统一空间上下文</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32" w14:textId="00100B33">
            <w:pPr>
              <w:spacing w:after="0" w:line="269" w:lineRule="auto"/>
              <w:jc w:val="center"/>
            </w:pPr>
            <w:r>
              <w:rPr>
                <w:b w:val="0"/>
                <w:color w:val="000000"/>
                <w:sz w:val="20"/>
              </w:rPr>
              <w:t>S09</w:t>
            </w:r>
          </w:p>
        </w:tc>
        <w:tc>
          <w:tcPr>
            <w:tcW w:w="576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34" w14:textId="00100B35">
            <w:pPr>
              <w:spacing w:after="0" w:line="269" w:lineRule="auto"/>
            </w:pPr>
            <w:r>
              <w:rPr>
                <w:b w:val="0"/>
                <w:color w:val="000000"/>
                <w:sz w:val="20"/>
              </w:rPr>
              <w:t>latest/situation_judgment/intent_rules.py；intention_catalog.py</w:t>
            </w:r>
          </w:p>
        </w:tc>
        <w:tc>
          <w:tcPr>
            <w:tcW w:w="331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36" w14:textId="00100B37">
            <w:pPr>
              <w:spacing w:after="0" w:line="269" w:lineRule="auto"/>
            </w:pPr>
            <w:r>
              <w:rPr>
                <w:b w:val="0"/>
                <w:color w:val="000000"/>
                <w:sz w:val="20"/>
              </w:rPr>
              <w:t>规则候选与业务目录</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38" w14:textId="00100B39">
            <w:pPr>
              <w:spacing w:after="0" w:line="269" w:lineRule="auto"/>
              <w:jc w:val="center"/>
            </w:pPr>
            <w:r>
              <w:rPr>
                <w:b w:val="0"/>
                <w:color w:val="000000"/>
                <w:sz w:val="20"/>
              </w:rPr>
              <w:t>S10</w:t>
            </w:r>
          </w:p>
        </w:tc>
        <w:tc>
          <w:tcPr>
            <w:tcW w:w="576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3A" w14:textId="00100B3B">
            <w:pPr>
              <w:spacing w:after="0" w:line="269" w:lineRule="auto"/>
            </w:pPr>
            <w:r>
              <w:rPr>
                <w:b w:val="0"/>
                <w:color w:val="000000"/>
                <w:sz w:val="20"/>
              </w:rPr>
              <w:t>latest/situation_judgment/collision_intent.py</w:t>
            </w:r>
          </w:p>
        </w:tc>
        <w:tc>
          <w:tcPr>
            <w:tcW w:w="331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3C" w14:textId="00100B3D">
            <w:pPr>
              <w:spacing w:after="0" w:line="269" w:lineRule="auto"/>
            </w:pPr>
            <w:r>
              <w:rPr>
                <w:b w:val="0"/>
                <w:color w:val="000000"/>
                <w:sz w:val="20"/>
              </w:rPr>
              <w:t>I-24因果时间判据</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3E" w14:textId="00100B3F">
            <w:pPr>
              <w:spacing w:after="0" w:line="269" w:lineRule="auto"/>
              <w:jc w:val="center"/>
            </w:pPr>
            <w:r>
              <w:rPr>
                <w:b w:val="0"/>
                <w:color w:val="000000"/>
                <w:sz w:val="20"/>
              </w:rPr>
              <w:t>S11</w:t>
            </w:r>
          </w:p>
        </w:tc>
        <w:tc>
          <w:tcPr>
            <w:tcW w:w="576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40" w14:textId="00100B41">
            <w:pPr>
              <w:spacing w:after="0" w:line="269" w:lineRule="auto"/>
            </w:pPr>
            <w:r>
              <w:rPr>
                <w:b w:val="0"/>
                <w:color w:val="000000"/>
                <w:sz w:val="20"/>
              </w:rPr>
              <w:t>latest/文档/SituationEngine威胁值计算详解.docx</w:t>
            </w:r>
          </w:p>
        </w:tc>
        <w:tc>
          <w:tcPr>
            <w:tcW w:w="331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42" w14:textId="00100B43">
            <w:pPr>
              <w:spacing w:after="0" w:line="269" w:lineRule="auto"/>
            </w:pPr>
            <w:r>
              <w:rPr>
                <w:b w:val="0"/>
                <w:color w:val="000000"/>
                <w:sz w:val="20"/>
              </w:rPr>
              <w:t>现有威胁评分说明</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44" w14:textId="00100B45">
            <w:pPr>
              <w:spacing w:after="0" w:line="269" w:lineRule="auto"/>
              <w:jc w:val="center"/>
            </w:pPr>
            <w:r>
              <w:rPr>
                <w:b w:val="0"/>
                <w:color w:val="000000"/>
                <w:sz w:val="20"/>
              </w:rPr>
              <w:t>S12</w:t>
            </w:r>
          </w:p>
        </w:tc>
        <w:tc>
          <w:tcPr>
            <w:tcW w:w="576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46" w14:textId="00100B47">
            <w:pPr>
              <w:spacing w:after="0" w:line="269" w:lineRule="auto"/>
            </w:pPr>
            <w:r>
              <w:rPr>
                <w:b w:val="0"/>
                <w:color w:val="000000"/>
                <w:sz w:val="20"/>
              </w:rPr>
              <w:t>latest/situation_judgment/defense_analysis.py</w:t>
            </w:r>
          </w:p>
        </w:tc>
        <w:tc>
          <w:tcPr>
            <w:tcW w:w="331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48" w14:textId="00100B49">
            <w:pPr>
              <w:spacing w:after="0" w:line="269" w:lineRule="auto"/>
            </w:pPr>
            <w:r>
              <w:rPr>
                <w:b w:val="0"/>
                <w:color w:val="000000"/>
                <w:sz w:val="20"/>
              </w:rPr>
              <w:t>覆盖与资源评估</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4A" w14:textId="00100B4B">
            <w:pPr>
              <w:spacing w:after="0" w:line="269" w:lineRule="auto"/>
              <w:jc w:val="center"/>
            </w:pPr>
            <w:r>
              <w:rPr>
                <w:b w:val="0"/>
                <w:color w:val="000000"/>
                <w:sz w:val="20"/>
              </w:rPr>
              <w:t>S13</w:t>
            </w:r>
          </w:p>
        </w:tc>
        <w:tc>
          <w:tcPr>
            <w:tcW w:w="576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4C" w14:textId="00100B4D">
            <w:pPr>
              <w:spacing w:after="0" w:line="269" w:lineRule="auto"/>
            </w:pPr>
            <w:r>
              <w:rPr>
                <w:b w:val="0"/>
                <w:color w:val="000000"/>
                <w:sz w:val="20"/>
              </w:rPr>
              <w:t>latest/文档/HANDOVER.md</w:t>
            </w:r>
          </w:p>
        </w:tc>
        <w:tc>
          <w:tcPr>
            <w:tcW w:w="331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4E" w14:textId="00100B4F">
            <w:pPr>
              <w:spacing w:after="0" w:line="269" w:lineRule="auto"/>
            </w:pPr>
            <w:r>
              <w:rPr>
                <w:b w:val="0"/>
                <w:color w:val="000000"/>
                <w:sz w:val="20"/>
              </w:rPr>
              <w:t>历史验证记录与缺口</w:t>
            </w:r>
          </w:p>
        </w:tc>
      </w:tr>
      <w:tr>
        <w:trPr>
          <w:cantSplit/>
        </w:trPr>
        <w:tc>
          <w:tcPr>
            <w:tcW w:w="864"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50" w14:textId="00100B51">
            <w:pPr>
              <w:spacing w:after="0" w:line="269" w:lineRule="auto"/>
              <w:jc w:val="center"/>
            </w:pPr>
            <w:r>
              <w:rPr>
                <w:b w:val="0"/>
                <w:color w:val="000000"/>
                <w:sz w:val="20"/>
              </w:rPr>
              <w:t>S14</w:t>
            </w:r>
          </w:p>
        </w:tc>
        <w:tc>
          <w:tcPr>
            <w:tcW w:w="5760"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52" w14:textId="00100B53">
            <w:pPr>
              <w:spacing w:after="0" w:line="269" w:lineRule="auto"/>
            </w:pPr>
            <w:r>
              <w:rPr>
                <w:b w:val="0"/>
                <w:color w:val="000000"/>
                <w:sz w:val="20"/>
              </w:rPr>
              <w:t>latest/tools/benchmark_formation_device.py</w:t>
            </w:r>
          </w:p>
        </w:tc>
        <w:tc>
          <w:tcPr>
            <w:tcW w:w="3312" w:type="dxa"/>
            <w:vAlign w:val="center"/>
            <w:tcMar>
              <w:top w:w="75" w:type="dxa"/>
              <w:bottom w:w="75" w:type="dxa"/>
              <w:left w:w="95" w:type="dxa"/>
              <w:right w:w="95" w:type="dxa"/>
            </w:tcMar>
            <w:shd w:fill="F4F6F8"/>
            <w:tcBorders>
              <w:top w:val="single" w:color="D9D9D9" w:sz="4"/>
              <w:bottom w:val="single" w:color="D9D9D9" w:sz="4"/>
              <w:left w:val="single" w:color="D9D9D9" w:sz="4"/>
              <w:right w:val="single" w:color="D9D9D9" w:sz="4"/>
            </w:tcBorders>
          </w:tcPr>
          <w:p w14:paraId="00100B54" w14:textId="00100B55">
            <w:pPr>
              <w:spacing w:after="0" w:line="269" w:lineRule="auto"/>
            </w:pPr>
            <w:r>
              <w:rPr>
                <w:b w:val="0"/>
                <w:color w:val="000000"/>
                <w:sz w:val="20"/>
              </w:rPr>
              <w:t>本次性能测量底层程序</w:t>
            </w:r>
          </w:p>
        </w:tc>
      </w:tr>
      <w:tr>
        <w:trPr>
          <w:cantSplit/>
        </w:trPr>
        <w:tc>
          <w:tcPr>
            <w:tcW w:w="864"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56" w14:textId="00100B57">
            <w:pPr>
              <w:spacing w:after="0" w:line="269" w:lineRule="auto"/>
              <w:jc w:val="center"/>
            </w:pPr>
            <w:r>
              <w:rPr>
                <w:b w:val="0"/>
                <w:color w:val="000000"/>
                <w:sz w:val="20"/>
              </w:rPr>
              <w:t>S15</w:t>
            </w:r>
          </w:p>
        </w:tc>
        <w:tc>
          <w:tcPr>
            <w:tcW w:w="5760"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58" w14:textId="00100B59">
            <w:pPr>
              <w:spacing w:after="0" w:line="269" w:lineRule="auto"/>
            </w:pPr>
            <w:r>
              <w:rPr>
                <w:b w:val="0"/>
                <w:color w:val="000000"/>
                <w:sz w:val="20"/>
              </w:rPr>
              <w:t>latest/tests</w:t>
            </w:r>
          </w:p>
        </w:tc>
        <w:tc>
          <w:tcPr>
            <w:tcW w:w="3312" w:type="dxa"/>
            <w:vAlign w:val="center"/>
            <w:tcMar>
              <w:top w:w="75" w:type="dxa"/>
              <w:bottom w:w="75" w:type="dxa"/>
              <w:left w:w="95" w:type="dxa"/>
              <w:right w:w="95" w:type="dxa"/>
            </w:tcMar>
            <w:shd w:fill="FFFFFF"/>
            <w:tcBorders>
              <w:top w:val="single" w:color="D9D9D9" w:sz="4"/>
              <w:bottom w:val="single" w:color="D9D9D9" w:sz="4"/>
              <w:left w:val="single" w:color="D9D9D9" w:sz="4"/>
              <w:right w:val="single" w:color="D9D9D9" w:sz="4"/>
            </w:tcBorders>
          </w:tcPr>
          <w:p w14:paraId="00100B5A" w14:textId="00100B5B">
            <w:pPr>
              <w:spacing w:after="0" w:line="269" w:lineRule="auto"/>
            </w:pPr>
            <w:r>
              <w:rPr>
                <w:b w:val="0"/>
                <w:color w:val="000000"/>
                <w:sz w:val="20"/>
              </w:rPr>
              <w:t>本次选定回归测试源文件</w:t>
            </w:r>
          </w:p>
        </w:tc>
      </w:tr>
    </w:tbl>
    <w:p w14:paraId="00100B5C" w14:textId="00100B5D">
      <w:pPr>
        <w:spacing w:after="40"/>
      </w:pPr>
    </w:p>
    <w:p w14:paraId="00100B5E" w14:textId="00100B5F">
      <w:pPr>
        <w:widowControl/>
        <w:spacing w:line="276" w:lineRule="auto"/>
      </w:pPr>
      <w:r>
        <w:rPr>
          <w:b w:val="0"/>
          <w:sz w:val="18"/>
        </w:rPr>
        <w:t>公式对应：本报告式1至2对应参考资料F02，式3至4对应F03，式5至6对应F04，式7对应F06，式8对应F07，式9对应F08，式10至13对应F09至F11，式14对应F12，式15对应F13。式16为本报告补充的评价指标定义。</w:t>
      </w:r>
    </w:p>
    <w:p w14:paraId="00100B60" w14:textId="00100B61">
      <w:pPr>
        <w:widowControl/>
        <w:spacing w:line="276" w:lineRule="auto"/>
      </w:pPr>
      <w:r>
        <w:rPr>
          <w:b w:val="0"/>
          <w:sz w:val="18"/>
        </w:rPr>
        <w:t>原始规则规格书和研发表格保留需求定义，当前实现差异由参考资料单独记录。后续更新参数、模型或启用规则时，应同步更新测试基线、证据文件与本说明。</w:t>
      </w:r>
    </w:p>
    <w:p w14:paraId="00100B62" w14:textId="00100B63">
      <w:pPr>
        <w:widowControl/>
        <w:spacing w:line="276" w:lineRule="auto"/>
      </w:pPr>
      <w:r>
        <w:rPr>
          <w:b w:val="0"/>
          <w:sz w:val="18"/>
        </w:rPr>
        <w:t>新增性能实现定位：latest/situation_judgment/vectorized_features.py负责行为批量计算；engine.py负责跨度矩阵、请求内缓存及KD-tree回退；legacy_adapter.py及PointNet识别器负责模式选择、模型缓存和预热。测量入口与证据见第21.1节。新增式17至21分别说明批量速度、相对均速变化、耗时比与降幅、最大跨度与点对数、弦长查询半径。</w:t>
      </w:r>
    </w:p>
    <w:p w14:paraId="00100B64" w14:textId="00100B65">
      <w:r>
        <w:br w:type="page"/>
      </w:r>
    </w:p>
    <w:p w14:paraId="00100B66" w14:textId="00100B67">
      <w:pPr>
        <w:pStyle w:val="Heading1"/>
      </w:pPr>
      <w:r>
        <w:t>23 技术图解与实现复核</w:t>
      </w:r>
    </w:p>
    <w:p w14:paraId="00100B68" w14:textId="00100B69">
      <w:pPr>
        <w:pStyle w:val="Heading2"/>
      </w:pPr>
      <w:r>
        <w:t>23.1 身份实体关联与有效性判定</w:t>
      </w:r>
    </w:p>
    <w:p w14:paraId="00100B6A" w14:textId="00100B6B">
      <w:pPr>
        <w:spacing w:after="120"/>
      </w:pPr>
      <w:r>
        <w:t>对应流程学术版PPT第4、10页。本节说明当前实现与证据边界。</w:t>
      </w:r>
    </w:p>
    <w:p w14:paraId="00100B6C" w14:textId="00100B6D">
      <w:pPr>
        <w:spacing w:after="40"/>
      </w:pPr>
      <w:r>
        <w:drawing>
          <wp:inline xmlns:a="http://schemas.openxmlformats.org/drawingml/2006/main" xmlns:pic="http://schemas.openxmlformats.org/drawingml/2006/picture">
            <wp:extent cx="6309360" cy="2548572"/>
            <wp:docPr id="4" name="Picture 4"/>
            <wp:cNvGraphicFramePr>
              <a:graphicFrameLocks noChangeAspect="1"/>
            </wp:cNvGraphicFramePr>
            <a:graphic>
              <a:graphicData uri="http://schemas.openxmlformats.org/drawingml/2006/picture">
                <pic:pic>
                  <pic:nvPicPr>
                    <pic:cNvPr id="0" name="figure-01.png"/>
                    <pic:cNvPicPr/>
                  </pic:nvPicPr>
                  <pic:blipFill>
                    <a:blip r:embed="rId13"/>
                    <a:stretch>
                      <a:fillRect/>
                    </a:stretch>
                  </pic:blipFill>
                  <pic:spPr>
                    <a:xfrm>
                      <a:off x="0" y="0"/>
                      <a:ext cx="6309360" cy="2548572"/>
                    </a:xfrm>
                    <a:prstGeom prst="rect"/>
                  </pic:spPr>
                </pic:pic>
              </a:graphicData>
            </a:graphic>
          </wp:inline>
        </w:drawing>
      </w:r>
    </w:p>
    <w:p w14:paraId="00100B6E" w14:textId="00100B6F">
      <w:pPr>
        <w:spacing w:after="160"/>
        <w:jc w:val="center"/>
      </w:pPr>
      <w:r>
        <w:rPr>
          <w:color w:val="53657A"/>
          <w:sz w:val="18"/>
        </w:rPr>
        <w:t>图23-1 身份实体关联与有效性判定</w:t>
      </w:r>
    </w:p>
    <w:p w14:paraId="00100B70" w14:textId="00100B71">
      <w:r>
        <w:t>身份关联以目标ID绑定的规范化SN为主轴，关联设备、飞手、白名单和计划。完整度衡量四项信息是否存在，有效性则检查状态与时间。过期记录依然是存在的证据。同SN多条有效设备记录会拒绝请求；重复有效白名单或型号冲突会禁用相应豁免，并留下诊断。登记未知与明确未登记分别处理。</w:t>
      </w:r>
    </w:p>
    <w:p w14:paraId="00100B72" w14:textId="00100B73">
      <w:r>
        <w:t>关联完整度与有效性分开保存。SN、RemoteID、设备记录、飞手记录四项存在性形成完整度；有效状态和时间窗口另作校验，过期记录不能被改写成“从未提供”。飞手由设备的personId关联，不是直接按目标位置猜测。详见v32_gateway.py的身份源归一化。</w:t>
      </w:r>
    </w:p>
    <w:p w14:paraId="00100B74" w14:textId="00100B75">
      <w:pPr>
        <w:jc w:val="center"/>
      </w:pPr>
      <m:oMath>
        <m:sSub>
          <m:e>
            <m:r>
              <w:rPr>
                <w:rFonts w:ascii="Cambria Math" w:hAnsi="Cambria Math" w:eastAsia="Cambria Math"/>
                <w:sz w:val="22"/>
              </w:rPr>
              <m:t>C</m:t>
            </m:r>
          </m:e>
          <m:sub>
            <m:r>
              <w:rPr>
                <w:rFonts w:ascii="Cambria Math" w:hAnsi="Cambria Math" w:eastAsia="Cambria Math"/>
                <w:sz w:val="22"/>
              </w:rPr>
              <m:t>id</m:t>
            </m:r>
          </m:sub>
        </m:sSub>
        <m:r>
          <w:rPr>
            <w:rFonts w:ascii="Cambria Math" w:hAnsi="Cambria Math" w:eastAsia="Cambria Math"/>
            <w:sz w:val="22"/>
          </w:rPr>
          <m:t> = </m:t>
        </m:r>
        <m:f>
          <m:num>
            <m:sSub>
              <m:e>
                <m:r>
                  <w:rPr>
                    <w:rFonts w:ascii="Cambria Math" w:hAnsi="Cambria Math" w:eastAsia="Cambria Math"/>
                    <w:sz w:val="22"/>
                  </w:rPr>
                  <m:t>I</m:t>
                </m:r>
              </m:e>
              <m:sub>
                <m:r>
                  <w:rPr>
                    <w:rFonts w:ascii="Cambria Math" w:hAnsi="Cambria Math" w:eastAsia="Cambria Math"/>
                    <w:sz w:val="22"/>
                  </w:rPr>
                  <m:t>SN</m:t>
                </m:r>
              </m:sub>
            </m:sSub>
            <m:r>
              <w:rPr>
                <w:rFonts w:ascii="Cambria Math" w:hAnsi="Cambria Math" w:eastAsia="Cambria Math"/>
                <w:sz w:val="22"/>
              </w:rPr>
              <m:t> + </m:t>
            </m:r>
            <m:sSub>
              <m:e>
                <m:r>
                  <w:rPr>
                    <w:rFonts w:ascii="Cambria Math" w:hAnsi="Cambria Math" w:eastAsia="Cambria Math"/>
                    <w:sz w:val="22"/>
                  </w:rPr>
                  <m:t>I</m:t>
                </m:r>
              </m:e>
              <m:sub>
                <m:r>
                  <w:rPr>
                    <w:rFonts w:ascii="Cambria Math" w:hAnsi="Cambria Math" w:eastAsia="Cambria Math"/>
                    <w:sz w:val="22"/>
                  </w:rPr>
                  <m:t>RemoteID</m:t>
                </m:r>
              </m:sub>
            </m:sSub>
            <m:r>
              <w:rPr>
                <w:rFonts w:ascii="Cambria Math" w:hAnsi="Cambria Math" w:eastAsia="Cambria Math"/>
                <w:sz w:val="22"/>
              </w:rPr>
              <m:t> + </m:t>
            </m:r>
            <m:sSub>
              <m:e>
                <m:r>
                  <w:rPr>
                    <w:rFonts w:ascii="Cambria Math" w:hAnsi="Cambria Math" w:eastAsia="Cambria Math"/>
                    <w:sz w:val="22"/>
                  </w:rPr>
                  <m:t>I</m:t>
                </m:r>
              </m:e>
              <m:sub>
                <m:r>
                  <w:rPr>
                    <w:rFonts w:ascii="Cambria Math" w:hAnsi="Cambria Math" w:eastAsia="Cambria Math"/>
                    <w:sz w:val="22"/>
                  </w:rPr>
                  <m:t>device</m:t>
                </m:r>
              </m:sub>
            </m:sSub>
            <m:r>
              <w:rPr>
                <w:rFonts w:ascii="Cambria Math" w:hAnsi="Cambria Math" w:eastAsia="Cambria Math"/>
                <w:sz w:val="22"/>
              </w:rPr>
              <m:t> + </m:t>
            </m:r>
            <m:sSub>
              <m:e>
                <m:r>
                  <w:rPr>
                    <w:rFonts w:ascii="Cambria Math" w:hAnsi="Cambria Math" w:eastAsia="Cambria Math"/>
                    <w:sz w:val="22"/>
                  </w:rPr>
                  <m:t>I</m:t>
                </m:r>
              </m:e>
              <m:sub>
                <m:r>
                  <w:rPr>
                    <w:rFonts w:ascii="Cambria Math" w:hAnsi="Cambria Math" w:eastAsia="Cambria Math"/>
                    <w:sz w:val="22"/>
                  </w:rPr>
                  <m:t>person</m:t>
                </m:r>
              </m:sub>
            </m:sSub>
          </m:num>
          <m:den>
            <m:r>
              <w:rPr>
                <w:rFonts w:ascii="Cambria Math" w:hAnsi="Cambria Math" w:eastAsia="Cambria Math"/>
                <w:sz w:val="22"/>
              </w:rPr>
              <m:t>4</m:t>
            </m:r>
          </m:den>
        </m:f>
      </m:oMath>
    </w:p>
    <w:p w14:paraId="00100B76" w14:textId="00100B77">
      <w:r>
        <w:rPr>
          <w:sz w:val="18"/>
        </w:rPr>
        <w:t>实现与证据：v32_gateway.py normalize_identity_source；本轮身份分支回归</w:t>
      </w:r>
    </w:p>
    <w:p w14:paraId="00100B78" w14:textId="00100B79">
      <w:r>
        <w:br w:type="page"/>
      </w:r>
    </w:p>
    <w:p w14:paraId="00100B7A" w14:textId="00100B7B">
      <w:pPr>
        <w:pStyle w:val="Heading2"/>
      </w:pPr>
      <w:r>
        <w:t>23.2 聚类前逐目标豁免与计划匹配</w:t>
      </w:r>
    </w:p>
    <w:p w14:paraId="00100B7C" w14:textId="00100B7D">
      <w:pPr>
        <w:spacing w:after="120"/>
      </w:pPr>
      <w:r>
        <w:t>对应流程学术版PPT第10页。本节说明当前实现与证据边界。</w:t>
      </w:r>
    </w:p>
    <w:p w14:paraId="00100B7E" w14:textId="00100B7F">
      <w:pPr>
        <w:spacing w:after="40"/>
      </w:pPr>
      <w:r>
        <w:drawing>
          <wp:inline xmlns:a="http://schemas.openxmlformats.org/drawingml/2006/main" xmlns:pic="http://schemas.openxmlformats.org/drawingml/2006/picture">
            <wp:extent cx="6309360" cy="2548572"/>
            <wp:docPr id="5" name="Picture 5"/>
            <wp:cNvGraphicFramePr>
              <a:graphicFrameLocks noChangeAspect="1"/>
            </wp:cNvGraphicFramePr>
            <a:graphic>
              <a:graphicData uri="http://schemas.openxmlformats.org/drawingml/2006/picture">
                <pic:pic>
                  <pic:nvPicPr>
                    <pic:cNvPr id="0" name="figure-02.png"/>
                    <pic:cNvPicPr/>
                  </pic:nvPicPr>
                  <pic:blipFill>
                    <a:blip r:embed="rId14"/>
                    <a:stretch>
                      <a:fillRect/>
                    </a:stretch>
                  </pic:blipFill>
                  <pic:spPr>
                    <a:xfrm>
                      <a:off x="0" y="0"/>
                      <a:ext cx="6309360" cy="2548572"/>
                    </a:xfrm>
                    <a:prstGeom prst="rect"/>
                  </pic:spPr>
                </pic:pic>
              </a:graphicData>
            </a:graphic>
          </wp:inline>
        </w:drawing>
      </w:r>
    </w:p>
    <w:p w14:paraId="00100B80" w14:textId="00100B81">
      <w:pPr>
        <w:spacing w:after="160"/>
        <w:jc w:val="center"/>
      </w:pPr>
      <w:r>
        <w:rPr>
          <w:color w:val="53657A"/>
          <w:sz w:val="18"/>
        </w:rPr>
        <w:t>图23-2 聚类前逐目标豁免与计划匹配</w:t>
      </w:r>
    </w:p>
    <w:p w14:paraId="00100B82" w14:textId="00100B83">
      <w:r>
        <w:t>目标先经过有效白名单、演练允许清单和飞行计划判断，按此优先级选择豁免原因。飞行计划需要身份时间、当前位置航线容差与高度匹配，多条命中按横向偏差、申报时间和ID排序。长窗计划匹配分是航线和高度同时匹配的点数比例，用于合规意图证据，不等同豁免所需的全窗门槛。合法目标在聚类前移出，避免为邻近未报备目标一并豁免。</w:t>
      </w:r>
    </w:p>
    <w:p w14:paraId="00100B84" w14:textId="00100B85">
      <w:r>
        <w:t>当前点匹配与长窗比例对应不同用途：前者参与计划豁免门控；后者汇总历史轨迹点中航线与高度同时匹配的比例，为合规规则提供证据。不能将比例分数直接当成当前计划有效的充分条件。图中多分支汇入同一独立豁免输出，优先级仍按从左到右执行。</w:t>
      </w:r>
    </w:p>
    <w:p w14:paraId="00100B86" w14:textId="00100B87">
      <w:pPr>
        <w:jc w:val="center"/>
      </w:pPr>
      <m:oMath>
        <m:sSub>
          <m:e>
            <m:r>
              <w:rPr>
                <w:rFonts w:ascii="Cambria Math" w:hAnsi="Cambria Math" w:eastAsia="Cambria Math"/>
                <w:sz w:val="22"/>
              </w:rPr>
              <m:t>S</m:t>
            </m:r>
          </m:e>
          <m:sub>
            <m:r>
              <w:rPr>
                <w:rFonts w:ascii="Cambria Math" w:hAnsi="Cambria Math" w:eastAsia="Cambria Math"/>
                <w:sz w:val="22"/>
              </w:rPr>
              <m:t>plan</m:t>
            </m:r>
          </m:sub>
        </m:sSub>
        <m:r>
          <w:rPr>
            <w:rFonts w:ascii="Cambria Math" w:hAnsi="Cambria Math" w:eastAsia="Cambria Math"/>
            <w:sz w:val="22"/>
          </w:rPr>
          <m:t> = </m:t>
        </m:r>
        <m:f>
          <m:num>
            <m:sSub>
              <m:e>
                <m:r>
                  <w:rPr>
                    <w:rFonts w:ascii="Cambria Math" w:hAnsi="Cambria Math" w:eastAsia="Cambria Math"/>
                    <w:sz w:val="22"/>
                  </w:rPr>
                  <m:t>Σ</m:t>
                </m:r>
              </m:e>
              <m:sub>
                <m:r>
                  <w:rPr>
                    <w:rFonts w:ascii="Cambria Math" w:hAnsi="Cambria Math" w:eastAsia="Cambria Math"/>
                    <w:sz w:val="22"/>
                  </w:rPr>
                  <m:t>k</m:t>
                </m:r>
              </m:sub>
            </m:sSub>
            <m:r>
              <w:rPr>
                <w:rFonts w:ascii="Cambria Math" w:hAnsi="Cambria Math" w:eastAsia="Cambria Math"/>
                <w:sz w:val="22"/>
              </w:rPr>
              <m:t> I[routeOK ∧ altitudeOK]</m:t>
            </m:r>
          </m:num>
          <m:den>
            <m:r>
              <w:rPr>
                <w:rFonts w:ascii="Cambria Math" w:hAnsi="Cambria Math" w:eastAsia="Cambria Math"/>
                <w:sz w:val="22"/>
              </w:rPr>
              <m:t>n</m:t>
            </m:r>
          </m:den>
        </m:f>
      </m:oMath>
    </w:p>
    <w:p w14:paraId="00100B88" w14:textId="00100B89">
      <w:r>
        <w:rPr>
          <w:sz w:val="18"/>
        </w:rPr>
        <w:t>实现与证据：engine.py _target_exemption / _plan_match_score</w:t>
      </w:r>
    </w:p>
    <w:p w14:paraId="00100B8A" w14:textId="00100B8B">
      <w:r>
        <w:br w:type="page"/>
      </w:r>
    </w:p>
    <w:p w14:paraId="00100B8C" w14:textId="00100B8D">
      <w:pPr>
        <w:pStyle w:val="Heading2"/>
      </w:pPr>
      <w:r>
        <w:t>23.3 DBSCAN 邻域与实际分组机制</w:t>
      </w:r>
    </w:p>
    <w:p w14:paraId="00100B8E" w14:textId="00100B8F">
      <w:pPr>
        <w:spacing w:after="120"/>
      </w:pPr>
      <w:r>
        <w:t>对应流程学术版PPT第12页。本节说明当前实现与证据边界。</w:t>
      </w:r>
    </w:p>
    <w:p w14:paraId="00100B90" w14:textId="00100B91">
      <w:pPr>
        <w:spacing w:after="40"/>
      </w:pPr>
      <w:r>
        <w:drawing>
          <wp:inline xmlns:a="http://schemas.openxmlformats.org/drawingml/2006/main" xmlns:pic="http://schemas.openxmlformats.org/drawingml/2006/picture">
            <wp:extent cx="6309360" cy="2548572"/>
            <wp:docPr id="6" name="Picture 6"/>
            <wp:cNvGraphicFramePr>
              <a:graphicFrameLocks noChangeAspect="1"/>
            </wp:cNvGraphicFramePr>
            <a:graphic>
              <a:graphicData uri="http://schemas.openxmlformats.org/drawingml/2006/picture">
                <pic:pic>
                  <pic:nvPicPr>
                    <pic:cNvPr id="0" name="figure-03.png"/>
                    <pic:cNvPicPr/>
                  </pic:nvPicPr>
                  <pic:blipFill>
                    <a:blip r:embed="rId15"/>
                    <a:stretch>
                      <a:fillRect/>
                    </a:stretch>
                  </pic:blipFill>
                  <pic:spPr>
                    <a:xfrm>
                      <a:off x="0" y="0"/>
                      <a:ext cx="6309360" cy="2548572"/>
                    </a:xfrm>
                    <a:prstGeom prst="rect"/>
                  </pic:spPr>
                </pic:pic>
              </a:graphicData>
            </a:graphic>
          </wp:inline>
        </w:drawing>
      </w:r>
    </w:p>
    <w:p w14:paraId="00100B92" w14:textId="00100B93">
      <w:pPr>
        <w:spacing w:after="160"/>
        <w:jc w:val="center"/>
      </w:pPr>
      <w:r>
        <w:rPr>
          <w:color w:val="53657A"/>
          <w:sz w:val="18"/>
        </w:rPr>
        <w:t>图23-3 DBSCAN 邻域与实际分组机制</w:t>
      </w:r>
    </w:p>
    <w:p w14:paraId="00100B94" w14:textId="00100B95">
      <w:r>
        <w:t>先由轨迹计算标准化复合距离，再用预计算矩阵执行DBSCAN。当前min_samples为1，自身在邻域内，因此每个有效目标都能成为核心点，孤立目标也成簇。对当前对称距离矩阵，可将结果理解为阈值邻接图的连通分量。注意链式连接可能将端点距离较远的目标连接在同一簇。右图是算法解释图，阈值是归一化复合距离，不是地图米数。</w:t>
      </w:r>
    </w:p>
    <w:p w14:paraId="00100B96" w14:textId="00100B97">
      <w:r>
        <w:t>标准DBSCAN以密度可达关系扩展簇；本项目min_samples=1是一个重要特殊配置。邻域包含自身，因此每个有效目标都是核心点，单目标也可成簇。A与C即使超过阈值，只要存在A—B—C的邻接链，仍属于同一簇。这个设置应在评审中说明，不能笼统称为“去除噪声点的密度聚类”。</w:t>
      </w:r>
    </w:p>
    <w:p w14:paraId="00100B98" w14:textId="00100B99">
      <w:pPr>
        <w:jc w:val="center"/>
      </w:pPr>
      <m:oMath>
        <m:sSub>
          <m:e>
            <m:r>
              <w:rPr>
                <w:rFonts w:ascii="Cambria Math" w:hAnsi="Cambria Math" w:eastAsia="Cambria Math"/>
                <w:sz w:val="22"/>
              </w:rPr>
              <m:t>N</m:t>
            </m:r>
          </m:e>
          <m:sub>
            <m:r>
              <w:rPr>
                <w:rFonts w:ascii="Cambria Math" w:hAnsi="Cambria Math" w:eastAsia="Cambria Math"/>
                <w:sz w:val="22"/>
              </w:rPr>
              <m:t>ε</m:t>
            </m:r>
          </m:sub>
        </m:sSub>
        <m:r>
          <w:rPr>
            <w:rFonts w:ascii="Cambria Math" w:hAnsi="Cambria Math" w:eastAsia="Cambria Math"/>
            <w:sz w:val="22"/>
          </w:rPr>
          <m:t>(i) = {j : </m:t>
        </m:r>
        <m:sSub>
          <m:e>
            <m:r>
              <w:rPr>
                <w:rFonts w:ascii="Cambria Math" w:hAnsi="Cambria Math" w:eastAsia="Cambria Math"/>
                <w:sz w:val="22"/>
              </w:rPr>
              <m:t>D</m:t>
            </m:r>
          </m:e>
          <m:sub>
            <m:r>
              <w:rPr>
                <w:rFonts w:ascii="Cambria Math" w:hAnsi="Cambria Math" w:eastAsia="Cambria Math"/>
                <w:sz w:val="22"/>
              </w:rPr>
              <m:t>ij</m:t>
            </m:r>
          </m:sub>
        </m:sSub>
        <m:r>
          <w:rPr>
            <w:rFonts w:ascii="Cambria Math" w:hAnsi="Cambria Math" w:eastAsia="Cambria Math"/>
            <w:sz w:val="22"/>
          </w:rPr>
          <m:t> ≤ ε}</m:t>
        </m:r>
      </m:oMath>
    </w:p>
    <w:p w14:paraId="00100B9A" w14:textId="00100B9B">
      <w:r>
        <w:rPr>
          <w:sz w:val="18"/>
        </w:rPr>
        <w:t>实现与证据：clusters_recognition.py _make_clustering；Ester等 KDD 1996</w:t>
      </w:r>
    </w:p>
    <w:p w14:paraId="00100B9C" w14:textId="00100B9D">
      <w:r>
        <w:br w:type="page"/>
      </w:r>
    </w:p>
    <w:p w14:paraId="00100B9E" w14:textId="00100B9F">
      <w:pPr>
        <w:pStyle w:val="Heading2"/>
      </w:pPr>
      <w:r>
        <w:t>23.4 稳健运动统计与成对可靠度距离</w:t>
      </w:r>
    </w:p>
    <w:p w14:paraId="00100BA0" w14:textId="00100BA1">
      <w:pPr>
        <w:spacing w:after="120"/>
      </w:pPr>
      <w:r>
        <w:t>对应流程学术版PPT第11页。本节说明当前实现与证据边界。</w:t>
      </w:r>
    </w:p>
    <w:p w14:paraId="00100BA2" w14:textId="00100BA3">
      <w:pPr>
        <w:spacing w:after="40"/>
      </w:pPr>
      <w:r>
        <w:drawing>
          <wp:inline xmlns:a="http://schemas.openxmlformats.org/drawingml/2006/main" xmlns:pic="http://schemas.openxmlformats.org/drawingml/2006/picture">
            <wp:extent cx="6309360" cy="2548572"/>
            <wp:docPr id="7" name="Picture 7"/>
            <wp:cNvGraphicFramePr>
              <a:graphicFrameLocks noChangeAspect="1"/>
            </wp:cNvGraphicFramePr>
            <a:graphic>
              <a:graphicData uri="http://schemas.openxmlformats.org/drawingml/2006/picture">
                <pic:pic>
                  <pic:nvPicPr>
                    <pic:cNvPr id="0" name="figure-04.png"/>
                    <pic:cNvPicPr/>
                  </pic:nvPicPr>
                  <pic:blipFill>
                    <a:blip r:embed="rId16"/>
                    <a:stretch>
                      <a:fillRect/>
                    </a:stretch>
                  </pic:blipFill>
                  <pic:spPr>
                    <a:xfrm>
                      <a:off x="0" y="0"/>
                      <a:ext cx="6309360" cy="2548572"/>
                    </a:xfrm>
                    <a:prstGeom prst="rect"/>
                  </pic:spPr>
                </pic:pic>
              </a:graphicData>
            </a:graphic>
          </wp:inline>
        </w:drawing>
      </w:r>
    </w:p>
    <w:p w14:paraId="00100BA4" w14:textId="00100BA5">
      <w:pPr>
        <w:spacing w:after="160"/>
        <w:jc w:val="center"/>
      </w:pPr>
      <w:r>
        <w:rPr>
          <w:color w:val="53657A"/>
          <w:sz w:val="18"/>
        </w:rPr>
        <w:t>图23-4 稳健运动统计与成对可靠度距离</w:t>
      </w:r>
    </w:p>
    <w:p w14:paraId="00100BA6" w14:textId="00100BA7">
      <w:r>
        <w:t>短窗口中有效水平速度用中位数，单位方向用逐分量中位数后归一化，最多11段。低速时方向可靠度下降，启停速度过渡或明显转向会暂时关闭相应差异。成对可靠度取两目标可靠度最小值。这样一方方向未知时，不会因为零向量编码反而产生伪差异。位置尺度、方向尺度和速度尺度分别归一化，参数是当前配置基线。</w:t>
      </w:r>
    </w:p>
    <w:p w14:paraId="00100BA8" w14:textId="00100BA9">
      <w:r>
        <w:t>位置按候选点对距离的有效区间均值缩放，无有效点对时使用配置尺度；方向按允许角度对应的单位向量弦长缩放；速度按有效速度区间均值缩放。方向可靠度在稳定运动时随水平中位速度线性增加并截断到0至1；启停或明显转向过渡时关闭方向贡献。速度可靠度只在启停过渡时归零。成对贡献使用两侧可靠度较小值后再平方，不能把未知方向简单编码成零向量并按普通欧氏距离处理。</w:t>
      </w:r>
    </w:p>
    <w:p w14:paraId="00100BAA" w14:textId="00100BAB">
      <w:pPr>
        <w:jc w:val="center"/>
      </w:pPr>
      <m:oMath>
        <m:sSub>
          <m:e>
            <m:r>
              <w:rPr>
                <w:rFonts w:ascii="Cambria Math" w:hAnsi="Cambria Math" w:eastAsia="Cambria Math"/>
                <w:sz w:val="22"/>
              </w:rPr>
              <m:t>r</m:t>
            </m:r>
          </m:e>
          <m:sub>
            <m:r>
              <w:rPr>
                <w:rFonts w:ascii="Cambria Math" w:hAnsi="Cambria Math" w:eastAsia="Cambria Math"/>
                <w:sz w:val="22"/>
              </w:rPr>
              <m:t>ij</m:t>
            </m:r>
          </m:sub>
        </m:sSub>
        <m:r>
          <w:rPr>
            <w:rFonts w:ascii="Cambria Math" w:hAnsi="Cambria Math" w:eastAsia="Cambria Math"/>
            <w:sz w:val="22"/>
          </w:rPr>
          <m:t> = min(</m:t>
        </m:r>
        <m:sSub>
          <m:e>
            <m:r>
              <w:rPr>
                <w:rFonts w:ascii="Cambria Math" w:hAnsi="Cambria Math" w:eastAsia="Cambria Math"/>
                <w:sz w:val="22"/>
              </w:rPr>
              <m:t>r</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r</m:t>
            </m:r>
          </m:e>
          <m:sub>
            <m:r>
              <w:rPr>
                <w:rFonts w:ascii="Cambria Math" w:hAnsi="Cambria Math" w:eastAsia="Cambria Math"/>
                <w:sz w:val="22"/>
              </w:rPr>
              <m:t>j</m:t>
            </m:r>
          </m:sub>
        </m:sSub>
        <m:r>
          <w:rPr>
            <w:rFonts w:ascii="Cambria Math" w:hAnsi="Cambria Math" w:eastAsia="Cambria Math"/>
            <w:sz w:val="22"/>
          </w:rPr>
          <m:t>)</m:t>
        </m:r>
      </m:oMath>
    </w:p>
    <w:p w14:paraId="00100BAC" w14:textId="00100BAD">
      <w:r>
        <w:rPr>
          <w:sz w:val="18"/>
        </w:rPr>
        <w:t>实现与证据：clusters_recognition.py _robust_motion_components / _pairwise_feature_distances</w:t>
      </w:r>
    </w:p>
    <w:p w14:paraId="00100BAE" w14:textId="00100BAF">
      <w:r>
        <w:br w:type="page"/>
      </w:r>
    </w:p>
    <w:p w14:paraId="00100BB0" w14:textId="00100BB1">
      <w:pPr>
        <w:pStyle w:val="Heading2"/>
      </w:pPr>
      <w:r>
        <w:t>23.5 三类运动场景的聚类回归实值</w:t>
      </w:r>
    </w:p>
    <w:p w14:paraId="00100BB2" w14:textId="00100BB3">
      <w:pPr>
        <w:spacing w:after="120"/>
      </w:pPr>
      <w:r>
        <w:t>对应流程学术版PPT第12–13页。本节说明当前实现与证据边界。</w:t>
      </w:r>
    </w:p>
    <w:p w14:paraId="00100BB4" w14:textId="00100BB5">
      <w:pPr>
        <w:spacing w:after="40"/>
      </w:pPr>
      <w:r>
        <w:drawing>
          <wp:inline xmlns:a="http://schemas.openxmlformats.org/drawingml/2006/main" xmlns:pic="http://schemas.openxmlformats.org/drawingml/2006/picture">
            <wp:extent cx="6309360" cy="2548572"/>
            <wp:docPr id="8" name="Picture 8"/>
            <wp:cNvGraphicFramePr>
              <a:graphicFrameLocks noChangeAspect="1"/>
            </wp:cNvGraphicFramePr>
            <a:graphic>
              <a:graphicData uri="http://schemas.openxmlformats.org/drawingml/2006/picture">
                <pic:pic>
                  <pic:nvPicPr>
                    <pic:cNvPr id="0" name="figure-05.png"/>
                    <pic:cNvPicPr/>
                  </pic:nvPicPr>
                  <pic:blipFill>
                    <a:blip r:embed="rId17"/>
                    <a:stretch>
                      <a:fillRect/>
                    </a:stretch>
                  </pic:blipFill>
                  <pic:spPr>
                    <a:xfrm>
                      <a:off x="0" y="0"/>
                      <a:ext cx="6309360" cy="2548572"/>
                    </a:xfrm>
                    <a:prstGeom prst="rect"/>
                  </pic:spPr>
                </pic:pic>
              </a:graphicData>
            </a:graphic>
          </wp:inline>
        </w:drawing>
      </w:r>
    </w:p>
    <w:p w14:paraId="00100BB6" w14:textId="00100BB7">
      <w:pPr>
        <w:spacing w:after="160"/>
        <w:jc w:val="center"/>
      </w:pPr>
      <w:r>
        <w:rPr>
          <w:color w:val="53657A"/>
          <w:sz w:val="18"/>
        </w:rPr>
        <w:t>图23-5 三类运动场景的聚类回归实值</w:t>
      </w:r>
    </w:p>
    <w:p w14:paraId="00100BB8" w14:textId="00100BB9">
      <w:r>
        <w:t>三列来自已有回归固定输入的真实执行。第一组一个目标最后一帧转向，方向可靠度归零但仍与稳定同伴成组。第二组悬停和缓行，方向不被强行放大。第三组持续相反方向，运动差异稳定存在，应分为两个单机簇。显示的是这三例的行为，不是大样本聚类准确率。本轮选定12项回归通过，与历史103项存在重叠，不累加。</w:t>
      </w:r>
    </w:p>
    <w:p w14:paraId="00100BBA" w14:textId="00100BBB">
      <w:r>
        <w:t>三例固定输入的复合距离分别为1.000000、1.000050、5.844950；阈值为1.5。前两例输出同簇，持续反向例输出两个单机簇。左图和右图的菱形代表轨迹末点。每列采用独立等比缩放，不能比较不同列的绘图长度推断速度。完整坐标、可靠度、距离矩阵和标签保存在method_evidence.json。</w:t>
      </w:r>
    </w:p>
    <w:p w14:paraId="00100BBC" w14:textId="00100BBD">
      <w:r>
        <w:rPr>
          <w:sz w:val="18"/>
        </w:rPr>
        <w:t>实现与证据：method_evidence.json；现行SplitClusters；本轮实际执行</w:t>
      </w:r>
    </w:p>
    <w:p w14:paraId="00100BBE" w14:textId="00100BBF">
      <w:r>
        <w:br w:type="page"/>
      </w:r>
    </w:p>
    <w:p w14:paraId="00100BC0" w14:textId="00100BC1">
      <w:pPr>
        <w:pStyle w:val="Heading2"/>
      </w:pPr>
      <w:r>
        <w:t>23.6 队形输入的时间对齐与空间标准化</w:t>
      </w:r>
    </w:p>
    <w:p w14:paraId="00100BC2" w14:textId="00100BC3">
      <w:pPr>
        <w:spacing w:after="120"/>
      </w:pPr>
      <w:r>
        <w:t>对应流程学术版PPT第14页。本节说明当前实现与证据边界。</w:t>
      </w:r>
    </w:p>
    <w:p w14:paraId="00100BC4" w14:textId="00100BC5">
      <w:pPr>
        <w:spacing w:after="40"/>
      </w:pPr>
      <w:r>
        <w:drawing>
          <wp:inline xmlns:a="http://schemas.openxmlformats.org/drawingml/2006/main" xmlns:pic="http://schemas.openxmlformats.org/drawingml/2006/picture">
            <wp:extent cx="6309360" cy="2548572"/>
            <wp:docPr id="9" name="Picture 9"/>
            <wp:cNvGraphicFramePr>
              <a:graphicFrameLocks noChangeAspect="1"/>
            </wp:cNvGraphicFramePr>
            <a:graphic>
              <a:graphicData uri="http://schemas.openxmlformats.org/drawingml/2006/picture">
                <pic:pic>
                  <pic:nvPicPr>
                    <pic:cNvPr id="0" name="figure-06.png"/>
                    <pic:cNvPicPr/>
                  </pic:nvPicPr>
                  <pic:blipFill>
                    <a:blip r:embed="rId18"/>
                    <a:stretch>
                      <a:fillRect/>
                    </a:stretch>
                  </pic:blipFill>
                  <pic:spPr>
                    <a:xfrm>
                      <a:off x="0" y="0"/>
                      <a:ext cx="6309360" cy="2548572"/>
                    </a:xfrm>
                    <a:prstGeom prst="rect"/>
                  </pic:spPr>
                </pic:pic>
              </a:graphicData>
            </a:graphic>
          </wp:inline>
        </w:drawing>
      </w:r>
    </w:p>
    <w:p w14:paraId="00100BC6" w14:textId="00100BC7">
      <w:pPr>
        <w:spacing w:after="160"/>
        <w:jc w:val="center"/>
      </w:pPr>
      <w:r>
        <w:rPr>
          <w:color w:val="53657A"/>
          <w:sz w:val="18"/>
        </w:rPr>
        <w:t>图23-6 队形输入的时间对齐与空间标准化</w:t>
      </w:r>
    </w:p>
    <w:p w14:paraId="00100BC8" w14:textId="00100BC9">
      <w:r>
        <w:t>这里所有颜色始终表示相同成员，来自同次五成员案例。先取群内共同时间戳的前后两个位置集合，用平均位移估计方向，随后旋转到统一方向、均值居中和最大绝对坐标归一化。前帧主要用于方向计算，网络实际输入是当前二维点集。各子图独立等比缩放，所以尺度变化应由标注解释，不能从图上直接比较距离。归一化结果与正式类BasicFormProc逐点一致。</w:t>
      </w:r>
    </w:p>
    <w:p w14:paraId="00100BCA" w14:textId="00100BCB">
      <w:r>
        <w:t>归一化分母是居中坐标所有元素的最大绝对值；大于0.001时才执行除法。当前正式输入为二维坐标，前一共同时间帧用于估计群体方向，当前共同时间帧才构成分类点集。群内不具备两个共同时间戳时须走明确降级分支。五类几何队形不直接等价于真实协同行为。</w:t>
      </w:r>
    </w:p>
    <w:p w14:paraId="00100BCC" w14:textId="00100BCD">
      <w:pPr>
        <w:jc w:val="center"/>
      </w:pPr>
      <m:oMath>
        <m:sSub>
          <m:e>
            <m:r>
              <w:rPr>
                <w:rFonts w:ascii="Cambria Math" w:hAnsi="Cambria Math" w:eastAsia="Cambria Math"/>
                <w:sz w:val="22"/>
              </w:rPr>
              <m:t>q</m:t>
            </m:r>
          </m:e>
          <m:sub>
            <m:r>
              <w:rPr>
                <w:rFonts w:ascii="Cambria Math" w:hAnsi="Cambria Math" w:eastAsia="Cambria Math"/>
                <w:sz w:val="22"/>
              </w:rPr>
              <m:t>i</m:t>
            </m:r>
          </m:sub>
        </m:sSub>
        <m:r>
          <w:rPr>
            <w:rFonts w:ascii="Cambria Math" w:hAnsi="Cambria Math" w:eastAsia="Cambria Math"/>
            <w:sz w:val="22"/>
          </w:rPr>
          <m:t> = </m:t>
        </m:r>
        <m:sSub>
          <m:e>
            <m:r>
              <w:rPr>
                <w:rFonts w:ascii="Cambria Math" w:hAnsi="Cambria Math" w:eastAsia="Cambria Math"/>
                <w:sz w:val="22"/>
              </w:rPr>
              <m:t>R</m:t>
            </m:r>
          </m:e>
          <m:sub>
            <m:r>
              <w:rPr>
                <w:rFonts w:ascii="Cambria Math" w:hAnsi="Cambria Math" w:eastAsia="Cambria Math"/>
                <w:sz w:val="22"/>
              </w:rPr>
              <m:t>θ</m:t>
            </m:r>
          </m:sub>
        </m:sSub>
        <m:sSub>
          <m:e>
            <m:r>
              <w:rPr>
                <w:rFonts w:ascii="Cambria Math" w:hAnsi="Cambria Math" w:eastAsia="Cambria Math"/>
                <w:sz w:val="22"/>
              </w:rPr>
              <m:t>p</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z</m:t>
            </m:r>
          </m:e>
          <m:sub>
            <m:r>
              <w:rPr>
                <w:rFonts w:ascii="Cambria Math" w:hAnsi="Cambria Math" w:eastAsia="Cambria Math"/>
                <w:sz w:val="22"/>
              </w:rPr>
              <m:t>i</m:t>
            </m:r>
          </m:sub>
        </m:sSub>
        <m:r>
          <w:rPr>
            <w:rFonts w:ascii="Cambria Math" w:hAnsi="Cambria Math" w:eastAsia="Cambria Math"/>
            <w:sz w:val="22"/>
          </w:rPr>
          <m:t> = </m:t>
        </m:r>
        <m:f>
          <m:num>
            <m:sSub>
              <m:e>
                <m:r>
                  <w:rPr>
                    <w:rFonts w:ascii="Cambria Math" w:hAnsi="Cambria Math" w:eastAsia="Cambria Math"/>
                    <w:sz w:val="22"/>
                  </w:rPr>
                  <m:t>q</m:t>
                </m:r>
              </m:e>
              <m:sub>
                <m:r>
                  <w:rPr>
                    <w:rFonts w:ascii="Cambria Math" w:hAnsi="Cambria Math" w:eastAsia="Cambria Math"/>
                    <w:sz w:val="22"/>
                  </w:rPr>
                  <m:t>i</m:t>
                </m:r>
              </m:sub>
            </m:sSub>
            <m:r>
              <w:rPr>
                <w:rFonts w:ascii="Cambria Math" w:hAnsi="Cambria Math" w:eastAsia="Cambria Math"/>
                <w:sz w:val="22"/>
              </w:rPr>
              <m:t> − </m:t>
            </m:r>
            <m:bar>
              <m:barPr>
                <m:pos m:val="top"/>
              </m:barPr>
              <m:e>
                <m:r>
                  <w:rPr>
                    <w:rFonts w:ascii="Cambria Math" w:hAnsi="Cambria Math" w:eastAsia="Cambria Math"/>
                    <w:sz w:val="22"/>
                  </w:rPr>
                  <m:t>q</m:t>
                </m:r>
              </m:e>
            </m:bar>
          </m:num>
          <m:den>
            <m:r>
              <w:rPr>
                <w:rFonts w:ascii="Cambria Math" w:hAnsi="Cambria Math" w:eastAsia="Cambria Math"/>
                <w:sz w:val="22"/>
              </w:rPr>
              <m:t>s</m:t>
            </m:r>
          </m:den>
        </m:f>
        <m:r>
          <w:rPr>
            <w:rFonts w:ascii="Cambria Math" w:hAnsi="Cambria Math" w:eastAsia="Cambria Math"/>
            <w:sz w:val="22"/>
          </w:rPr>
          <m:t>    s = max |q − q̄|</m:t>
        </m:r>
      </m:oMath>
    </w:p>
    <w:p w14:paraId="00100BCE" w14:textId="00100BCF">
      <w:r>
        <w:rPr>
          <w:sz w:val="18"/>
        </w:rPr>
        <w:t>实现与证据：method_evidence.json pointnet；BasicFormProc；同次五成员输入</w:t>
      </w:r>
    </w:p>
    <w:p w14:paraId="00100BD0" w14:textId="00100BD1">
      <w:r>
        <w:br w:type="page"/>
      </w:r>
    </w:p>
    <w:p w14:paraId="00100BD2" w14:textId="00100BD3">
      <w:pPr>
        <w:pStyle w:val="Heading2"/>
      </w:pPr>
      <w:r>
        <w:t>23.7 PointNet 实际网络结构与张量维度</w:t>
      </w:r>
    </w:p>
    <w:p w14:paraId="00100BD4" w14:textId="00100BD5">
      <w:pPr>
        <w:spacing w:after="120"/>
      </w:pPr>
      <w:r>
        <w:t>对应流程学术版PPT第15页。本节说明当前实现与证据边界。</w:t>
      </w:r>
    </w:p>
    <w:p w14:paraId="00100BD6" w14:textId="00100BD7">
      <w:pPr>
        <w:spacing w:after="40"/>
      </w:pPr>
      <w:r>
        <w:drawing>
          <wp:inline xmlns:a="http://schemas.openxmlformats.org/drawingml/2006/main" xmlns:pic="http://schemas.openxmlformats.org/drawingml/2006/picture">
            <wp:extent cx="6309360" cy="2548572"/>
            <wp:docPr id="10" name="Picture 10"/>
            <wp:cNvGraphicFramePr>
              <a:graphicFrameLocks noChangeAspect="1"/>
            </wp:cNvGraphicFramePr>
            <a:graphic>
              <a:graphicData uri="http://schemas.openxmlformats.org/drawingml/2006/picture">
                <pic:pic>
                  <pic:nvPicPr>
                    <pic:cNvPr id="0" name="figure-07.png"/>
                    <pic:cNvPicPr/>
                  </pic:nvPicPr>
                  <pic:blipFill>
                    <a:blip r:embed="rId19"/>
                    <a:stretch>
                      <a:fillRect/>
                    </a:stretch>
                  </pic:blipFill>
                  <pic:spPr>
                    <a:xfrm>
                      <a:off x="0" y="0"/>
                      <a:ext cx="6309360" cy="2548572"/>
                    </a:xfrm>
                    <a:prstGeom prst="rect"/>
                  </pic:spPr>
                </pic:pic>
              </a:graphicData>
            </a:graphic>
          </wp:inline>
        </w:drawing>
      </w:r>
    </w:p>
    <w:p w14:paraId="00100BD8" w14:textId="00100BD9">
      <w:pPr>
        <w:spacing w:after="160"/>
        <w:jc w:val="center"/>
      </w:pPr>
      <w:r>
        <w:rPr>
          <w:color w:val="53657A"/>
          <w:sz w:val="18"/>
        </w:rPr>
        <w:t>图23-7 PointNet 实际网络结构与张量维度</w:t>
      </w:r>
    </w:p>
    <w:p w14:paraId="00100BDA" w14:textId="00100BDB">
      <w:r>
        <w:t>这张图按实际forward绘制。输入张量为B乘N乘2，先转置后依次经过三层核大小1的卷积，各层带BN和ReLU。每点共享同一组权重，保留N个点的128维特征。lengths掩码把填充位置从最大池化中排除，聚合为B乘128。分类头使用128维全连接、ReLU、Dropout0.3及五类输出。推理在eval模式关闭Dropout，通常逐群B为1。本网络没有T-Net，参数总数51333。</w:t>
      </w:r>
    </w:p>
    <w:p w14:paraId="00100BDC" w14:textId="00100BDD">
      <w:r>
        <w:t>三层Conv1d的卷积核均为1，逐点共享参数，不沿点序卷积。掩码在池化前屏蔽补齐点；最大池化使输出在理论上不依赖点的排列。当前代码没有原始PointNet论文中的输入T-Net或特征T-Net，因此图中不补画不存在的网络模块。51,333个可训练参数来自实际模型求和，不含BN运行均值和方差。</w:t>
      </w:r>
    </w:p>
    <w:p w14:paraId="00100BDE" w14:textId="00100BDF">
      <w:r>
        <w:rPr>
          <w:sz w:val="18"/>
        </w:rPr>
        <w:t>实现与证据：PointNetClassifier.forward；input=2，hidden=128，classes=5</w:t>
      </w:r>
    </w:p>
    <w:p w14:paraId="00100BE0" w14:textId="00100BE1">
      <w:r>
        <w:br w:type="page"/>
      </w:r>
    </w:p>
    <w:p w14:paraId="00100BE2" w14:textId="00100BE3">
      <w:pPr>
        <w:pStyle w:val="Heading2"/>
      </w:pPr>
      <w:r>
        <w:t>23.8 模型训练方法与当前可核验证据</w:t>
      </w:r>
    </w:p>
    <w:p w14:paraId="00100BE4" w14:textId="00100BE5">
      <w:pPr>
        <w:spacing w:after="120"/>
      </w:pPr>
      <w:r>
        <w:t>对应流程学术版PPT第15及33（附录A3）页。本节说明当前实现与证据边界。</w:t>
      </w:r>
    </w:p>
    <w:p w14:paraId="00100BE6" w14:textId="00100BE7">
      <w:pPr>
        <w:spacing w:after="40"/>
      </w:pPr>
      <w:r>
        <w:drawing>
          <wp:inline xmlns:a="http://schemas.openxmlformats.org/drawingml/2006/main" xmlns:pic="http://schemas.openxmlformats.org/drawingml/2006/picture">
            <wp:extent cx="6309360" cy="2548572"/>
            <wp:docPr id="11" name="Picture 11"/>
            <wp:cNvGraphicFramePr>
              <a:graphicFrameLocks noChangeAspect="1"/>
            </wp:cNvGraphicFramePr>
            <a:graphic>
              <a:graphicData uri="http://schemas.openxmlformats.org/drawingml/2006/picture">
                <pic:pic>
                  <pic:nvPicPr>
                    <pic:cNvPr id="0" name="figure-08.png"/>
                    <pic:cNvPicPr/>
                  </pic:nvPicPr>
                  <pic:blipFill>
                    <a:blip r:embed="rId20"/>
                    <a:stretch>
                      <a:fillRect/>
                    </a:stretch>
                  </pic:blipFill>
                  <pic:spPr>
                    <a:xfrm>
                      <a:off x="0" y="0"/>
                      <a:ext cx="6309360" cy="2548572"/>
                    </a:xfrm>
                    <a:prstGeom prst="rect"/>
                  </pic:spPr>
                </pic:pic>
              </a:graphicData>
            </a:graphic>
          </wp:inline>
        </w:drawing>
      </w:r>
    </w:p>
    <w:p w14:paraId="00100BE8" w14:textId="00100BE9">
      <w:pPr>
        <w:spacing w:after="160"/>
        <w:jc w:val="center"/>
      </w:pPr>
      <w:r>
        <w:rPr>
          <w:color w:val="53657A"/>
          <w:sz w:val="18"/>
        </w:rPr>
        <w:t>图23-8 模型训练方法与当前可核验证据</w:t>
      </w:r>
    </w:p>
    <w:p w14:paraId="00100BEA" w14:textId="00100D83">
      <w:r>
        <w:t xml:space="preserve">Origin保留变长点集训练代码：独立训练和评估文件，补齐与长度掩码，交叉熵，Adam和基于验证损失的学习率调度，并输出分类报告与混淆矩阵。这说明训练方法可追溯，但本轮没有重训，训练过程本身也没有留下完整日志。按配套评估文件可复现离线准确率 0.9053（见第6章），但训练与评估数据同源，不能作为真实场景准确率。当前可报告的是权重、架构、参数量、配套评估集指标、固定案例输出，以及一个成员逆序的一致性检查。逆序最大logits差约9.54e-7属于浮点量级，不等于严格逐位相同。</w:t>
      </w:r>
    </w:p>
    <w:p w14:paraId="00100BEC" w14:textId="00100D84">
      <w:r>
        <w:t xml:space="preserve">卷积参数量依次为384、16,512、16,512；三层BN的可训练参数合计768；两个全连接分别16,512和645。固定五成员输出vshape，逆序输入的logits最大绝对差为9.5367431640625×10⁻⁷。此结果仅支持该样本的数值一致性；第6章的 0.9053 来自配套评估集的同分布复核，仍不能写成当前系统准确率。</w:t>
      </w:r>
    </w:p>
    <w:p w14:paraId="00100BEE" w14:textId="00100BEF">
      <w:pPr>
        <w:jc w:val="center"/>
      </w:pPr>
      <m:oMath>
        <m:r>
          <w:rPr>
            <w:rFonts w:ascii="Cambria Math" w:hAnsi="Cambria Math" w:eastAsia="Cambria Math"/>
            <w:sz w:val="22"/>
          </w:rPr>
          <m:t>L = −</m:t>
        </m:r>
        <m:f>
          <m:num>
            <m:r>
              <w:rPr>
                <w:rFonts w:ascii="Cambria Math" w:hAnsi="Cambria Math" w:eastAsia="Cambria Math"/>
                <w:sz w:val="22"/>
              </w:rPr>
              <m:t>1</m:t>
            </m:r>
          </m:num>
          <m:den>
            <m:r>
              <w:rPr>
                <w:rFonts w:ascii="Cambria Math" w:hAnsi="Cambria Math" w:eastAsia="Cambria Math"/>
                <w:sz w:val="22"/>
              </w:rPr>
              <m:t>B</m:t>
            </m:r>
          </m:den>
        </m:f>
        <m:sSub>
          <m:e>
            <m:r>
              <w:rPr>
                <w:rFonts w:ascii="Cambria Math" w:hAnsi="Cambria Math" w:eastAsia="Cambria Math"/>
                <w:sz w:val="22"/>
              </w:rPr>
              <m:t>Σ</m:t>
            </m:r>
          </m:e>
          <m:sub>
            <m:r>
              <w:rPr>
                <w:rFonts w:ascii="Cambria Math" w:hAnsi="Cambria Math" w:eastAsia="Cambria Math"/>
                <w:sz w:val="22"/>
              </w:rPr>
              <m:t>b</m:t>
            </m:r>
          </m:sub>
        </m:sSub>
        <m:r>
          <w:rPr>
            <w:rFonts w:ascii="Cambria Math" w:hAnsi="Cambria Math" w:eastAsia="Cambria Math"/>
            <w:sz w:val="22"/>
          </w:rPr>
          <m:t> log </m:t>
        </m:r>
        <m:f>
          <m:num>
            <m:r>
              <w:rPr>
                <w:rFonts w:ascii="Cambria Math" w:hAnsi="Cambria Math" w:eastAsia="Cambria Math"/>
                <w:sz w:val="22"/>
              </w:rPr>
              <m:t>exp(</m:t>
            </m:r>
            <m:sSub>
              <m:e>
                <m:r>
                  <w:rPr>
                    <w:rFonts w:ascii="Cambria Math" w:hAnsi="Cambria Math" w:eastAsia="Cambria Math"/>
                    <w:sz w:val="22"/>
                  </w:rPr>
                  <m:t>o</m:t>
                </m:r>
              </m:e>
              <m:sub>
                <m:r>
                  <w:rPr>
                    <w:rFonts w:ascii="Cambria Math" w:hAnsi="Cambria Math" w:eastAsia="Cambria Math"/>
                    <w:sz w:val="22"/>
                  </w:rPr>
                  <m:t>b,yb</m:t>
                </m:r>
              </m:sub>
            </m:sSub>
            <m:r>
              <w:rPr>
                <w:rFonts w:ascii="Cambria Math" w:hAnsi="Cambria Math" w:eastAsia="Cambria Math"/>
                <w:sz w:val="22"/>
              </w:rPr>
              <m:t>)</m:t>
            </m:r>
          </m:num>
          <m:den>
            <m:sSub>
              <m:e>
                <m:r>
                  <w:rPr>
                    <w:rFonts w:ascii="Cambria Math" w:hAnsi="Cambria Math" w:eastAsia="Cambria Math"/>
                    <w:sz w:val="22"/>
                  </w:rPr>
                  <m:t>Σ</m:t>
                </m:r>
              </m:e>
              <m:sub>
                <m:r>
                  <w:rPr>
                    <w:rFonts w:ascii="Cambria Math" w:hAnsi="Cambria Math" w:eastAsia="Cambria Math"/>
                    <w:sz w:val="22"/>
                  </w:rPr>
                  <m:t>k</m:t>
                </m:r>
              </m:sub>
            </m:sSub>
            <m:r>
              <w:rPr>
                <w:rFonts w:ascii="Cambria Math" w:hAnsi="Cambria Math" w:eastAsia="Cambria Math"/>
                <w:sz w:val="22"/>
              </w:rPr>
              <m:t> exp(</m:t>
            </m:r>
            <m:sSub>
              <m:e>
                <m:r>
                  <w:rPr>
                    <w:rFonts w:ascii="Cambria Math" w:hAnsi="Cambria Math" w:eastAsia="Cambria Math"/>
                    <w:sz w:val="22"/>
                  </w:rPr>
                  <m:t>o</m:t>
                </m:r>
              </m:e>
              <m:sub>
                <m:r>
                  <w:rPr>
                    <w:rFonts w:ascii="Cambria Math" w:hAnsi="Cambria Math" w:eastAsia="Cambria Math"/>
                    <w:sz w:val="22"/>
                  </w:rPr>
                  <m:t>b,k</m:t>
                </m:r>
              </m:sub>
            </m:sSub>
            <m:r>
              <w:rPr>
                <w:rFonts w:ascii="Cambria Math" w:hAnsi="Cambria Math" w:eastAsia="Cambria Math"/>
                <w:sz w:val="22"/>
              </w:rPr>
              <m:t>)</m:t>
            </m:r>
          </m:den>
        </m:f>
      </m:oMath>
    </w:p>
    <w:p w14:paraId="00100BF0" w14:textId="00100BF1">
      <w:r>
        <w:rPr>
          <w:sz w:val="18"/>
        </w:rPr>
        <w:t>实现与证据：Origin fit_on_data / eval_accuracy；当前权重20260812_200622</w:t>
      </w:r>
    </w:p>
    <w:p w14:paraId="00100BF2" w14:textId="00100BF3">
      <w:r>
        <w:br w:type="page"/>
      </w:r>
    </w:p>
    <w:p w14:paraId="00100BF4" w14:textId="00100BF5">
      <w:pPr>
        <w:pStyle w:val="Heading2"/>
      </w:pPr>
      <w:r>
        <w:t>23.9 空间几何与边界距离趋势</w:t>
      </w:r>
    </w:p>
    <w:p w14:paraId="00100BF6" w14:textId="00100BF7">
      <w:pPr>
        <w:spacing w:after="120"/>
      </w:pPr>
      <w:r>
        <w:t>对应流程学术版PPT第8页。本节说明当前实现与证据边界。</w:t>
      </w:r>
    </w:p>
    <w:p w14:paraId="00100BF8" w14:textId="00100BF9">
      <w:pPr>
        <w:spacing w:after="40"/>
      </w:pPr>
      <w:r>
        <w:drawing>
          <wp:inline xmlns:a="http://schemas.openxmlformats.org/drawingml/2006/main" xmlns:pic="http://schemas.openxmlformats.org/drawingml/2006/picture">
            <wp:extent cx="6309360" cy="2548572"/>
            <wp:docPr id="12" name="Picture 12"/>
            <wp:cNvGraphicFramePr>
              <a:graphicFrameLocks noChangeAspect="1"/>
            </wp:cNvGraphicFramePr>
            <a:graphic>
              <a:graphicData uri="http://schemas.openxmlformats.org/drawingml/2006/picture">
                <pic:pic>
                  <pic:nvPicPr>
                    <pic:cNvPr id="0" name="figure-09.png"/>
                    <pic:cNvPicPr/>
                  </pic:nvPicPr>
                  <pic:blipFill>
                    <a:blip r:embed="rId21"/>
                    <a:stretch>
                      <a:fillRect/>
                    </a:stretch>
                  </pic:blipFill>
                  <pic:spPr>
                    <a:xfrm>
                      <a:off x="0" y="0"/>
                      <a:ext cx="6309360" cy="2548572"/>
                    </a:xfrm>
                    <a:prstGeom prst="rect"/>
                  </pic:spPr>
                </pic:pic>
              </a:graphicData>
            </a:graphic>
          </wp:inline>
        </w:drawing>
      </w:r>
    </w:p>
    <w:p w14:paraId="00100BFA" w14:textId="00100BFB">
      <w:pPr>
        <w:spacing w:after="160"/>
        <w:jc w:val="center"/>
      </w:pPr>
      <w:r>
        <w:rPr>
          <w:color w:val="53657A"/>
          <w:sz w:val="18"/>
        </w:rPr>
        <w:t>图23-9 空间几何与边界距离趋势</w:t>
      </w:r>
    </w:p>
    <w:p w14:paraId="00100BFC" w14:textId="00100BFD">
      <w:r>
        <w:t>几何分析同时考虑圆与多边形、最近边界、当前内外关系和高度匹配。趋势回归使用实际时间而非点序号。距离是到边界的非负距离，在区域外下降表示接近边界，在区域内下降表示向出口运动。只有运动条件满足时才推算边界穿越时间，未知高度不会被强行判为命中。右图是解释性数据，不能当独立测试结果。</w:t>
      </w:r>
    </w:p>
    <w:p w14:paraId="00100BFE" w14:textId="00100BFF">
      <w:r>
        <w:t>趋势拟合的自变量是轨迹真实时间。边界距离为非负值，需结合当前inside/outside状态解释斜率；下降既可能表示从外部趋近，也可能表示内部目标向出口运动。图中多边形和折线是方法示意，非实验散点；最近点投影落在边界线段上。</w:t>
      </w:r>
    </w:p>
    <w:p w14:paraId="00100C00" w14:textId="00100C01">
      <w:pPr>
        <w:jc w:val="center"/>
      </w:pPr>
      <m:oMath>
        <m:r>
          <w:rPr>
            <w:rFonts w:ascii="Cambria Math" w:hAnsi="Cambria Math" w:eastAsia="Cambria Math"/>
            <w:sz w:val="22"/>
          </w:rPr>
          <m:t>b = </m:t>
        </m:r>
        <m:f>
          <m:num>
            <m:sSub>
              <m:e>
                <m:r>
                  <w:rPr>
                    <w:rFonts w:ascii="Cambria Math" w:hAnsi="Cambria Math" w:eastAsia="Cambria Math"/>
                    <w:sz w:val="22"/>
                  </w:rPr>
                  <m:t>Σ</m:t>
                </m:r>
              </m:e>
              <m:sub>
                <m:r>
                  <w:rPr>
                    <w:rFonts w:ascii="Cambria Math" w:hAnsi="Cambria Math" w:eastAsia="Cambria Math"/>
                    <w:sz w:val="22"/>
                  </w:rPr>
                  <m:t>k</m:t>
                </m:r>
              </m:sub>
            </m:sSub>
            <m:r>
              <w:rPr>
                <w:rFonts w:ascii="Cambria Math" w:hAnsi="Cambria Math" w:eastAsia="Cambria Math"/>
                <w:sz w:val="22"/>
              </w:rPr>
              <m:t> (</m:t>
            </m:r>
            <m:sSub>
              <m:e>
                <m:r>
                  <w:rPr>
                    <w:rFonts w:ascii="Cambria Math" w:hAnsi="Cambria Math" w:eastAsia="Cambria Math"/>
                    <w:sz w:val="22"/>
                  </w:rPr>
                  <m:t>t</m:t>
                </m:r>
              </m:e>
              <m:sub>
                <m:r>
                  <w:rPr>
                    <w:rFonts w:ascii="Cambria Math" w:hAnsi="Cambria Math" w:eastAsia="Cambria Math"/>
                    <w:sz w:val="22"/>
                  </w:rPr>
                  <m:t>k</m:t>
                </m:r>
              </m:sub>
            </m:sSub>
            <m:r>
              <w:rPr>
                <w:rFonts w:ascii="Cambria Math" w:hAnsi="Cambria Math" w:eastAsia="Cambria Math"/>
                <w:sz w:val="22"/>
              </w:rPr>
              <m:t> − </m:t>
            </m:r>
            <m:bar>
              <m:barPr>
                <m:pos m:val="top"/>
              </m:barPr>
              <m:e>
                <m:r>
                  <w:rPr>
                    <w:rFonts w:ascii="Cambria Math" w:hAnsi="Cambria Math" w:eastAsia="Cambria Math"/>
                    <w:sz w:val="22"/>
                  </w:rPr>
                  <m:t>t</m:t>
                </m:r>
              </m:e>
            </m:bar>
            <m:r>
              <w:rPr>
                <w:rFonts w:ascii="Cambria Math" w:hAnsi="Cambria Math" w:eastAsia="Cambria Math"/>
                <w:sz w:val="22"/>
              </w:rPr>
              <m:t>)(</m:t>
            </m:r>
            <m:sSub>
              <m:e>
                <m:r>
                  <w:rPr>
                    <w:rFonts w:ascii="Cambria Math" w:hAnsi="Cambria Math" w:eastAsia="Cambria Math"/>
                    <w:sz w:val="22"/>
                  </w:rPr>
                  <m:t>d</m:t>
                </m:r>
              </m:e>
              <m:sub>
                <m:r>
                  <w:rPr>
                    <w:rFonts w:ascii="Cambria Math" w:hAnsi="Cambria Math" w:eastAsia="Cambria Math"/>
                    <w:sz w:val="22"/>
                  </w:rPr>
                  <m:t>k</m:t>
                </m:r>
              </m:sub>
            </m:sSub>
            <m:r>
              <w:rPr>
                <w:rFonts w:ascii="Cambria Math" w:hAnsi="Cambria Math" w:eastAsia="Cambria Math"/>
                <w:sz w:val="22"/>
              </w:rPr>
              <m:t> − </m:t>
            </m:r>
            <m:bar>
              <m:barPr>
                <m:pos m:val="top"/>
              </m:barPr>
              <m:e>
                <m:r>
                  <w:rPr>
                    <w:rFonts w:ascii="Cambria Math" w:hAnsi="Cambria Math" w:eastAsia="Cambria Math"/>
                    <w:sz w:val="22"/>
                  </w:rPr>
                  <m:t>d</m:t>
                </m:r>
              </m:e>
            </m:bar>
            <m:r>
              <w:rPr>
                <w:rFonts w:ascii="Cambria Math" w:hAnsi="Cambria Math" w:eastAsia="Cambria Math"/>
                <w:sz w:val="22"/>
              </w:rPr>
              <m:t>)</m:t>
            </m:r>
          </m:num>
          <m:den>
            <m:sSub>
              <m:e>
                <m:r>
                  <w:rPr>
                    <w:rFonts w:ascii="Cambria Math" w:hAnsi="Cambria Math" w:eastAsia="Cambria Math"/>
                    <w:sz w:val="22"/>
                  </w:rPr>
                  <m:t>Σ</m:t>
                </m:r>
              </m:e>
              <m:sub>
                <m:r>
                  <w:rPr>
                    <w:rFonts w:ascii="Cambria Math" w:hAnsi="Cambria Math" w:eastAsia="Cambria Math"/>
                    <w:sz w:val="22"/>
                  </w:rPr>
                  <m:t>k</m:t>
                </m:r>
              </m:sub>
            </m:sSub>
            <m:sSup>
              <m:e>
                <m:r>
                  <w:rPr>
                    <w:rFonts w:ascii="Cambria Math" w:hAnsi="Cambria Math" w:eastAsia="Cambria Math"/>
                    <w:sz w:val="22"/>
                  </w:rPr>
                  <m:t>(</m:t>
                </m:r>
                <m:sSub>
                  <m:e>
                    <m:r>
                      <w:rPr>
                        <w:rFonts w:ascii="Cambria Math" w:hAnsi="Cambria Math" w:eastAsia="Cambria Math"/>
                        <w:sz w:val="22"/>
                      </w:rPr>
                      <m:t>t</m:t>
                    </m:r>
                  </m:e>
                  <m:sub>
                    <m:r>
                      <w:rPr>
                        <w:rFonts w:ascii="Cambria Math" w:hAnsi="Cambria Math" w:eastAsia="Cambria Math"/>
                        <w:sz w:val="22"/>
                      </w:rPr>
                      <m:t>k</m:t>
                    </m:r>
                  </m:sub>
                </m:sSub>
                <m:r>
                  <w:rPr>
                    <w:rFonts w:ascii="Cambria Math" w:hAnsi="Cambria Math" w:eastAsia="Cambria Math"/>
                    <w:sz w:val="22"/>
                  </w:rPr>
                  <m:t> − </m:t>
                </m:r>
                <m:bar>
                  <m:barPr>
                    <m:pos m:val="top"/>
                  </m:barPr>
                  <m:e>
                    <m:r>
                      <w:rPr>
                        <w:rFonts w:ascii="Cambria Math" w:hAnsi="Cambria Math" w:eastAsia="Cambria Math"/>
                        <w:sz w:val="22"/>
                      </w:rPr>
                      <m:t>t</m:t>
                    </m:r>
                  </m:e>
                </m:bar>
                <m:r>
                  <w:rPr>
                    <w:rFonts w:ascii="Cambria Math" w:hAnsi="Cambria Math" w:eastAsia="Cambria Math"/>
                    <w:sz w:val="22"/>
                  </w:rPr>
                  <m:t>)</m:t>
                </m:r>
              </m:e>
              <m:sup>
                <m:r>
                  <w:rPr>
                    <w:rFonts w:ascii="Cambria Math" w:hAnsi="Cambria Math" w:eastAsia="Cambria Math"/>
                    <w:sz w:val="22"/>
                  </w:rPr>
                  <m:t>2</m:t>
                </m:r>
              </m:sup>
            </m:sSup>
          </m:den>
        </m:f>
      </m:oMath>
    </w:p>
    <w:p w14:paraId="00100C02" w14:textId="00100C03">
      <w:r>
        <w:rPr>
          <w:sz w:val="18"/>
        </w:rPr>
        <w:t>实现与证据：airspace_analysis.py horizontal_relation / _trend / _movement_relation</w:t>
      </w:r>
    </w:p>
    <w:p w14:paraId="00100C04" w14:textId="00100C05">
      <w:r>
        <w:br w:type="page"/>
      </w:r>
    </w:p>
    <w:p w14:paraId="00100C06" w14:textId="00100C07">
      <w:pPr>
        <w:pStyle w:val="Heading2"/>
      </w:pPr>
      <w:r>
        <w:t>23.10 候选区域筛选与 SpatialContext 构建</w:t>
      </w:r>
    </w:p>
    <w:p w14:paraId="00100C08" w14:textId="00100C09">
      <w:pPr>
        <w:spacing w:after="120"/>
      </w:pPr>
      <w:r>
        <w:t>对应流程学术版PPT第9页。本节说明当前实现与证据边界。</w:t>
      </w:r>
    </w:p>
    <w:p w14:paraId="00100C0A" w14:textId="00100C0B">
      <w:pPr>
        <w:spacing w:after="40"/>
      </w:pPr>
      <w:r>
        <w:drawing>
          <wp:inline xmlns:a="http://schemas.openxmlformats.org/drawingml/2006/main" xmlns:pic="http://schemas.openxmlformats.org/drawingml/2006/picture">
            <wp:extent cx="6309360" cy="2548572"/>
            <wp:docPr id="13" name="Picture 13"/>
            <wp:cNvGraphicFramePr>
              <a:graphicFrameLocks noChangeAspect="1"/>
            </wp:cNvGraphicFramePr>
            <a:graphic>
              <a:graphicData uri="http://schemas.openxmlformats.org/drawingml/2006/picture">
                <pic:pic>
                  <pic:nvPicPr>
                    <pic:cNvPr id="0" name="figure-10.png"/>
                    <pic:cNvPicPr/>
                  </pic:nvPicPr>
                  <pic:blipFill>
                    <a:blip r:embed="rId22"/>
                    <a:stretch>
                      <a:fillRect/>
                    </a:stretch>
                  </pic:blipFill>
                  <pic:spPr>
                    <a:xfrm>
                      <a:off x="0" y="0"/>
                      <a:ext cx="6309360" cy="2548572"/>
                    </a:xfrm>
                    <a:prstGeom prst="rect"/>
                  </pic:spPr>
                </pic:pic>
              </a:graphicData>
            </a:graphic>
          </wp:inline>
        </w:drawing>
      </w:r>
    </w:p>
    <w:p w14:paraId="00100C0C" w14:textId="00100C0D">
      <w:pPr>
        <w:spacing w:after="160"/>
        <w:jc w:val="center"/>
      </w:pPr>
      <w:r>
        <w:rPr>
          <w:color w:val="53657A"/>
          <w:sz w:val="18"/>
        </w:rPr>
        <w:t>图23-10 候选区域筛选与 SpatialContext 构建</w:t>
      </w:r>
    </w:p>
    <w:p w14:paraId="00100C0E" w14:textId="00100C0F">
      <w:r>
        <w:t>当前命中有效区域时形成相关候选；外部目标按所属防控空域最外warning边界衡量默认5000米关联范围。命中候选按严重程度优先，未命中候选按最近边界优先，再用稳定ID消除并列。主区域、所属空域与关联设施不是同一个字段。缺warning按可用圈层回退。高度未知时保留不确定性，不能错误落到已知不相关分支。</w:t>
      </w:r>
    </w:p>
    <w:p w14:paraId="00100C10" w14:textId="00100C11">
      <w:r>
        <w:t>已命中候选先看严重程度，未命中候选先看最近边界距离，再用稳定标识消除并列。默认关联范围是到所属防控空域最外warning边界的距离，不是到设施中心的固定半径；缺warning时有可用圈层兼容回退。法定禁飞区与防控空域使用不同标识，不应合并命名空间。</w:t>
      </w:r>
    </w:p>
    <w:p w14:paraId="00100C12" w14:textId="00100C13">
      <w:r>
        <w:rPr>
          <w:sz w:val="18"/>
        </w:rPr>
        <w:t>实现与证据：airspace_analysis.py _evaluate_target / _candidate_key / _spatial_context</w:t>
      </w:r>
    </w:p>
    <w:p w14:paraId="00100C14" w14:textId="00100C15">
      <w:r>
        <w:br w:type="page"/>
      </w:r>
    </w:p>
    <w:p w14:paraId="00100C16" w14:textId="00100C17">
      <w:pPr>
        <w:pStyle w:val="Heading2"/>
      </w:pPr>
      <w:r>
        <w:t>23.11 多设施场景下的证据作用域</w:t>
      </w:r>
    </w:p>
    <w:p w14:paraId="00100C18" w14:textId="00100C19">
      <w:pPr>
        <w:spacing w:after="120"/>
      </w:pPr>
      <w:r>
        <w:t>对应流程学术版PPT第9页。本节说明当前实现与证据边界。</w:t>
      </w:r>
    </w:p>
    <w:p w14:paraId="00100C1A" w14:textId="00100C1B">
      <w:pPr>
        <w:spacing w:after="40"/>
      </w:pPr>
      <w:r>
        <w:drawing>
          <wp:inline xmlns:a="http://schemas.openxmlformats.org/drawingml/2006/main" xmlns:pic="http://schemas.openxmlformats.org/drawingml/2006/picture">
            <wp:extent cx="6309360" cy="2548572"/>
            <wp:docPr id="14" name="Picture 14"/>
            <wp:cNvGraphicFramePr>
              <a:graphicFrameLocks noChangeAspect="1"/>
            </wp:cNvGraphicFramePr>
            <a:graphic>
              <a:graphicData uri="http://schemas.openxmlformats.org/drawingml/2006/picture">
                <pic:pic>
                  <pic:nvPicPr>
                    <pic:cNvPr id="0" name="figure-11.png"/>
                    <pic:cNvPicPr/>
                  </pic:nvPicPr>
                  <pic:blipFill>
                    <a:blip r:embed="rId23"/>
                    <a:stretch>
                      <a:fillRect/>
                    </a:stretch>
                  </pic:blipFill>
                  <pic:spPr>
                    <a:xfrm>
                      <a:off x="0" y="0"/>
                      <a:ext cx="6309360" cy="2548572"/>
                    </a:xfrm>
                    <a:prstGeom prst="rect"/>
                  </pic:spPr>
                </pic:pic>
              </a:graphicData>
            </a:graphic>
          </wp:inline>
        </w:drawing>
      </w:r>
    </w:p>
    <w:p w14:paraId="00100C1C" w14:textId="00100C1D">
      <w:pPr>
        <w:spacing w:after="160"/>
        <w:jc w:val="center"/>
      </w:pPr>
      <w:r>
        <w:rPr>
          <w:color w:val="53657A"/>
          <w:sz w:val="18"/>
        </w:rPr>
        <w:t>图23-11 多设施场景下的证据作用域</w:t>
      </w:r>
    </w:p>
    <w:p w14:paraId="00100C1E" w14:textId="00100C1F">
      <w:r>
        <w:t>群体内不同成员可能关联不同设施。引擎先选主空间上下文，再限定其空间评分成员集合。不能用设施A的趋近特征、设施B的距离和另一区域的命中拼成一个高风险结论。若圈层未明确绑定设施，仅在无竞争候选且全图只有一个设施时允许兼容回退，多设施情况下不会随意找全图最近者。这里的图是方法反例，实际状态还由高度和有效期共同确定。</w:t>
      </w:r>
    </w:p>
    <w:p w14:paraId="00100C20" w14:textId="00100C21">
      <w:r>
        <w:t>空间上下文至少区分已知相关、已知不相关和不可用或不确定。高度缺失导致无法比较时，应保留uncertainty，不能直接套用已知不相关的低档限制。多设施情况下，圈层未绑定设施时不任意选取全图最近设施；参与空间评分的成员集合与主上下文保持一致。</w:t>
      </w:r>
    </w:p>
    <w:p w14:paraId="00100C22" w14:textId="00100C23">
      <w:r>
        <w:rPr>
          <w:sz w:val="18"/>
        </w:rPr>
        <w:t>实现与证据：engine.py _spatial_context_key / _same_primary_context / _facilities_for_context</w:t>
      </w:r>
    </w:p>
    <w:p w14:paraId="00100C24" w14:textId="00100C25">
      <w:r>
        <w:br w:type="page"/>
      </w:r>
    </w:p>
    <w:p w14:paraId="00100C26" w14:textId="00100C27">
      <w:pPr>
        <w:pStyle w:val="Heading2"/>
      </w:pPr>
      <w:r>
        <w:t>23.12 边界时间与设施 ETA 的三条计算路径</w:t>
      </w:r>
    </w:p>
    <w:p w14:paraId="00100C28" w14:textId="00100C29">
      <w:pPr>
        <w:spacing w:after="120"/>
      </w:pPr>
      <w:r>
        <w:t>对应流程学术版PPT第18页。本节说明当前实现与证据边界。</w:t>
      </w:r>
    </w:p>
    <w:p w14:paraId="00100C2A" w14:textId="00100C2B">
      <w:pPr>
        <w:spacing w:after="40"/>
      </w:pPr>
      <w:r>
        <w:drawing>
          <wp:inline xmlns:a="http://schemas.openxmlformats.org/drawingml/2006/main" xmlns:pic="http://schemas.openxmlformats.org/drawingml/2006/picture">
            <wp:extent cx="6309360" cy="2548572"/>
            <wp:docPr id="15" name="Picture 15"/>
            <wp:cNvGraphicFramePr>
              <a:graphicFrameLocks noChangeAspect="1"/>
            </wp:cNvGraphicFramePr>
            <a:graphic>
              <a:graphicData uri="http://schemas.openxmlformats.org/drawingml/2006/picture">
                <pic:pic>
                  <pic:nvPicPr>
                    <pic:cNvPr id="0" name="figure-12.png"/>
                    <pic:cNvPicPr/>
                  </pic:nvPicPr>
                  <pic:blipFill>
                    <a:blip r:embed="rId24"/>
                    <a:stretch>
                      <a:fillRect/>
                    </a:stretch>
                  </pic:blipFill>
                  <pic:spPr>
                    <a:xfrm>
                      <a:off x="0" y="0"/>
                      <a:ext cx="6309360" cy="2548572"/>
                    </a:xfrm>
                    <a:prstGeom prst="rect"/>
                  </pic:spPr>
                </pic:pic>
              </a:graphicData>
            </a:graphic>
          </wp:inline>
        </w:drawing>
      </w:r>
    </w:p>
    <w:p w14:paraId="00100C2C" w14:textId="00100C2D">
      <w:pPr>
        <w:spacing w:after="160"/>
        <w:jc w:val="center"/>
      </w:pPr>
      <w:r>
        <w:rPr>
          <w:color w:val="53657A"/>
          <w:sz w:val="18"/>
        </w:rPr>
        <w:t>图23-12 边界时间与设施 ETA 的三条计算路径</w:t>
      </w:r>
    </w:p>
    <w:p w14:paraId="00100C2E" w14:textId="00100C2F">
      <w:r>
        <w:t>边界时间来自对边界距离随真实时间的回归，仅在满足趋近或离开条件时估计。设施ETA优先采用适配器的有效同设施估计，它使用最近3点距离变化和取用窗口平均采样间隔。若没有有效值，主引擎在空间相关、设施明确、趋近与有效速度条件满足时，以主设施距离除以作用域最大速度回退。两种设施量多成员汇总可能不是同一成员的距离速度组合，属于近似。没有依据时返回null，不能统归因为缺资源。</w:t>
      </w:r>
    </w:p>
    <w:p w14:paraId="00100C30" w14:textId="00100C31">
      <w:r>
        <w:t>这里统一解释已有时间字段的来源和不可用原因，不新增预测模型。边界时间由边界距离趋势估计，设施ETA有适配器优先值与主引擎条件回退两条路径。三种量的距离、速度、时间窗口和单位不同，报告时应分别标注。当前均未给出真实场景误差分布，缺失有效依据时保留空值。</w:t>
      </w:r>
    </w:p>
    <w:p w14:paraId="00100C32" w14:textId="00100C33">
      <w:r>
        <w:rPr>
          <w:sz w:val="18"/>
        </w:rPr>
        <w:t>实现与证据：airspace_analysis.py；intention_recognition.py:429；engine.py:2103</w:t>
      </w:r>
    </w:p>
    <w:p w14:paraId="00100C34" w14:textId="00100C35">
      <w:r>
        <w:br w:type="page"/>
      </w:r>
    </w:p>
    <w:p w14:paraId="00100C36" w14:textId="00100C37">
      <w:pPr>
        <w:pStyle w:val="Heading2"/>
      </w:pPr>
      <w:r>
        <w:t>23.13 代表点探测覆盖与组合评估</w:t>
      </w:r>
    </w:p>
    <w:p w14:paraId="00100C38" w14:textId="00100C39">
      <w:pPr>
        <w:spacing w:after="120"/>
      </w:pPr>
      <w:r>
        <w:t>对应流程学术版PPT第24页。本节说明当前实现与证据边界。</w:t>
      </w:r>
    </w:p>
    <w:p w14:paraId="00100C3A" w14:textId="00100C3B">
      <w:pPr>
        <w:spacing w:after="40"/>
      </w:pPr>
      <w:r>
        <w:drawing>
          <wp:inline xmlns:a="http://schemas.openxmlformats.org/drawingml/2006/main" xmlns:pic="http://schemas.openxmlformats.org/drawingml/2006/picture">
            <wp:extent cx="6309360" cy="2548572"/>
            <wp:docPr id="16" name="Picture 16"/>
            <wp:cNvGraphicFramePr>
              <a:graphicFrameLocks noChangeAspect="1"/>
            </wp:cNvGraphicFramePr>
            <a:graphic>
              <a:graphicData uri="http://schemas.openxmlformats.org/drawingml/2006/picture">
                <pic:pic>
                  <pic:nvPicPr>
                    <pic:cNvPr id="0" name="figure-13.png"/>
                    <pic:cNvPicPr/>
                  </pic:nvPicPr>
                  <pic:blipFill>
                    <a:blip r:embed="rId25"/>
                    <a:stretch>
                      <a:fillRect/>
                    </a:stretch>
                  </pic:blipFill>
                  <pic:spPr>
                    <a:xfrm>
                      <a:off x="0" y="0"/>
                      <a:ext cx="6309360" cy="2548572"/>
                    </a:xfrm>
                    <a:prstGeom prst="rect"/>
                  </pic:spPr>
                </pic:pic>
              </a:graphicData>
            </a:graphic>
          </wp:inline>
        </w:drawing>
      </w:r>
    </w:p>
    <w:p w14:paraId="00100C3C" w14:textId="00100C3D">
      <w:pPr>
        <w:spacing w:after="160"/>
        <w:jc w:val="center"/>
      </w:pPr>
      <w:r>
        <w:rPr>
          <w:color w:val="53657A"/>
          <w:sz w:val="18"/>
        </w:rPr>
        <w:t>图23-13 代表点探测覆盖与组合评估</w:t>
      </w:r>
    </w:p>
    <w:p w14:paraId="00100C3E" w14:textId="00100C3F">
      <w:r>
        <w:t>当前以群体成员经纬度均值作为代表点，检查启用设备的有效半径。覆盖集合中的输入探测概率按失败乘积的补集组合，采用独立事件形式，但独立性和概率均未实测校准。图中特意放置覆盖外成员，说明代表点被覆盖不等于每个成员被覆盖。缺设备是unavailable，有设备但没覆盖则可以计算为不足，二者不混同。</w:t>
      </w:r>
    </w:p>
    <w:p w14:paraId="00100C40" w14:textId="00100C41">
      <w:r>
        <w:t>图中的覆盖区域用于解释当前字段局限：群体代表点落入覆盖并不意味着所有成员都被覆盖。组合值来自输入参数和独立事件形式，并非实测探测率；不应在验收中用它替代查全率、漏检率或现场观测。评估状态说明是否具备计算条件，与能力是否足够属于不同概念。</w:t>
      </w:r>
    </w:p>
    <w:p w14:paraId="00100C42" w14:textId="00100C43">
      <w:r>
        <w:rPr>
          <w:sz w:val="18"/>
        </w:rPr>
        <w:t>实现与证据：defense_analysis.py _cluster_point / _detection_vulnerability</w:t>
      </w:r>
    </w:p>
    <w:p w14:paraId="00100C44" w14:textId="00100C45">
      <w:r>
        <w:br w:type="page"/>
      </w:r>
    </w:p>
    <w:p w14:paraId="00100C46" w14:textId="00100C47">
      <w:pPr>
        <w:pStyle w:val="Heading2"/>
      </w:pPr>
      <w:r>
        <w:t>23.14 请求内基础资源评估流程</w:t>
      </w:r>
    </w:p>
    <w:p w14:paraId="00100C48" w14:textId="00100C49">
      <w:pPr>
        <w:spacing w:after="120"/>
      </w:pPr>
      <w:r>
        <w:t>对应流程学术版PPT第25页。本节说明当前实现与证据边界。</w:t>
      </w:r>
    </w:p>
    <w:p w14:paraId="00100C4A" w14:textId="00100C4B">
      <w:pPr>
        <w:spacing w:after="40"/>
      </w:pPr>
      <w:r>
        <w:drawing>
          <wp:inline xmlns:a="http://schemas.openxmlformats.org/drawingml/2006/main" xmlns:pic="http://schemas.openxmlformats.org/drawingml/2006/picture">
            <wp:extent cx="6309360" cy="2548572"/>
            <wp:docPr id="17" name="Picture 17"/>
            <wp:cNvGraphicFramePr>
              <a:graphicFrameLocks noChangeAspect="1"/>
            </wp:cNvGraphicFramePr>
            <a:graphic>
              <a:graphicData uri="http://schemas.openxmlformats.org/drawingml/2006/picture">
                <pic:pic>
                  <pic:nvPicPr>
                    <pic:cNvPr id="0" name="figure-14.png"/>
                    <pic:cNvPicPr/>
                  </pic:nvPicPr>
                  <pic:blipFill>
                    <a:blip r:embed="rId26"/>
                    <a:stretch>
                      <a:fillRect/>
                    </a:stretch>
                  </pic:blipFill>
                  <pic:spPr>
                    <a:xfrm>
                      <a:off x="0" y="0"/>
                      <a:ext cx="6309360" cy="2548572"/>
                    </a:xfrm>
                    <a:prstGeom prst="rect"/>
                  </pic:spPr>
                </pic:pic>
              </a:graphicData>
            </a:graphic>
          </wp:inline>
        </w:drawing>
      </w:r>
    </w:p>
    <w:p w14:paraId="00100C4C" w14:textId="00100C4D">
      <w:pPr>
        <w:spacing w:after="160"/>
        <w:jc w:val="center"/>
      </w:pPr>
      <w:r>
        <w:rPr>
          <w:color w:val="53657A"/>
          <w:sz w:val="18"/>
        </w:rPr>
        <w:t>图23-14 请求内基础资源评估流程</w:t>
      </w:r>
    </w:p>
    <w:p w14:paraId="00100C4E" w14:textId="00100C4F">
      <w:r>
        <w:t>既有评估先按群体威胁等级与分数排序；资源候选检查状态、范围和有ETA时的响应条件，之后按响应时间和距离排序。逐群按成员需求取可用数量，本次请求内扣减余量。当前是启发式辅助评估，没有跨请求库存事务或全局最优保证。successRate采用旧公式适配，本页只说明定义，不把它当成实测装备能力。</w:t>
      </w:r>
    </w:p>
    <w:p w14:paraId="00100C50" w14:textId="00100C51">
      <w:r>
        <w:t>本节仅记录既有辅助评估的输入、处理阶段和输出边界，不提出装备配置或调度策略。请求内数量状态不表示真实库存事务；评估字段不表示已执行设备控制。successRate沿用现有模型字段，不能表述为实测效能或全群处置成功概率。其数据标定与业务适用性仍需单独评审。</w:t>
      </w:r>
    </w:p>
    <w:p w14:paraId="00100C52" w14:textId="00100C53">
      <w:r>
        <w:rPr>
          <w:sz w:val="18"/>
        </w:rPr>
        <w:t>实现与证据：defense_analysis.py evaluate / _allocate_defense</w:t>
      </w:r>
    </w:p>
    <w:p w14:paraId="00100C54" w14:textId="00100C55">
      <w:r>
        <w:br w:type="page"/>
      </w:r>
    </w:p>
    <w:p w14:paraId="00100C56" w14:textId="00100C57">
      <w:pPr>
        <w:pStyle w:val="Heading2"/>
      </w:pPr>
      <w:r>
        <w:t>23.15 身份、分组与缺失输入的分支回归</w:t>
      </w:r>
    </w:p>
    <w:p w14:paraId="00100C58" w14:textId="00100C59">
      <w:pPr>
        <w:spacing w:after="120"/>
      </w:pPr>
      <w:r>
        <w:t>对应流程学术版PPT第29页。本节说明当前实现与证据边界。</w:t>
      </w:r>
    </w:p>
    <w:p w14:paraId="00100C5A" w14:textId="00100C5B">
      <w:pPr>
        <w:spacing w:after="40"/>
      </w:pPr>
      <w:r>
        <w:drawing>
          <wp:inline xmlns:a="http://schemas.openxmlformats.org/drawingml/2006/main" xmlns:pic="http://schemas.openxmlformats.org/drawingml/2006/picture">
            <wp:extent cx="6309360" cy="2548572"/>
            <wp:docPr id="18" name="Picture 18"/>
            <wp:cNvGraphicFramePr>
              <a:graphicFrameLocks noChangeAspect="1"/>
            </wp:cNvGraphicFramePr>
            <a:graphic>
              <a:graphicData uri="http://schemas.openxmlformats.org/drawingml/2006/picture">
                <pic:pic>
                  <pic:nvPicPr>
                    <pic:cNvPr id="0" name="figure-15.png"/>
                    <pic:cNvPicPr/>
                  </pic:nvPicPr>
                  <pic:blipFill>
                    <a:blip r:embed="rId27"/>
                    <a:stretch>
                      <a:fillRect/>
                    </a:stretch>
                  </pic:blipFill>
                  <pic:spPr>
                    <a:xfrm>
                      <a:off x="0" y="0"/>
                      <a:ext cx="6309360" cy="2548572"/>
                    </a:xfrm>
                    <a:prstGeom prst="rect"/>
                  </pic:spPr>
                </pic:pic>
              </a:graphicData>
            </a:graphic>
          </wp:inline>
        </w:drawing>
      </w:r>
    </w:p>
    <w:p w14:paraId="00100C5C" w14:textId="00100C5D">
      <w:pPr>
        <w:spacing w:after="160"/>
        <w:jc w:val="center"/>
      </w:pPr>
      <w:r>
        <w:rPr>
          <w:color w:val="53657A"/>
          <w:sz w:val="18"/>
        </w:rPr>
        <w:t>图23-15 身份、分组与缺失输入的分支回归</w:t>
      </w:r>
    </w:p>
    <w:p w14:paraId="00100C5E" w14:textId="00100C5F">
      <w:r>
        <w:t>本轮针对新方法图选取12项已有回归实际执行，覆盖三种聚类行为、身份状态和重复记录、白名单冲突、计划偏离、合法成员不能豁免邻近目标，以及资源完整或缺失时的输出。全部通过。它们与历史103项重叠，不累加。这里的分支结果来自测试断言；完整资源分支是独立测试夹具，不是13目标贯穿案例的响应。</w:t>
      </w:r>
    </w:p>
    <w:p w14:paraId="00100C60" w14:textId="00100C61">
      <w:r>
        <w:t>本轮回归由3项聚类、7项身份与豁免、2项辅助输入状态测试组成。资源完整分支来自独立测试夹具，不与13目标贯穿案例混为同一个响应。本轮没有重新执行24组合性能矩阵，也没有重训分类器。已有性能优化方法与完整结果继续以第18.1至18.13节为准。</w:t>
      </w:r>
    </w:p>
    <w:p w14:paraId="00100C62" w14:textId="00100C63">
      <w:r>
        <w:rPr>
          <w:sz w:val="18"/>
        </w:rPr>
        <w:t>实现与证据：method_evidence.json regression；本轮12项定向回归</w:t>
      </w:r>
    </w:p>
    <w:p w14:paraId="00100C64" w14:textId="00100C65">
      <w:pPr>
        <w:pageBreakBefore/>
        <w:spacing w:after="120" w:line="330" w:lineRule="auto"/>
      </w:pPr>
      <w:r>
        <w:rPr>
          <w:rFonts w:ascii="Microsoft YaHei" w:eastAsia="Microsoft YaHei"/>
          <w:b/>
          <w:color w:val="000000"/>
          <w:sz w:val="30"/>
        </w:rPr>
        <w:t>24 算法流程讲解与本轮材料同步</w:t>
      </w:r>
    </w:p>
    <w:p w14:paraId="00100C66" w14:textId="00100C67">
      <w:pPr>
        <w:spacing w:after="120" w:line="330" w:lineRule="auto"/>
      </w:pPr>
      <w:r>
        <w:rPr>
          <w:rFonts w:ascii="Microsoft YaHei" w:eastAsia="Microsoft YaHei"/>
          <w:color w:val="000000"/>
          <w:sz w:val="22"/>
        </w:rPr>
        <w:t>本轮将配套PPT重构为30页正文和9页答疑附录，按一次请求从输入到输出讲解，预计33分45秒。正文估时不是试讲测量。本文保留原有算法、图解和实验记录，第23章页码引用已同步。</w:t>
      </w:r>
    </w:p>
    <w:p w14:paraId="00100C68" w14:textId="00100C69">
      <w:pPr>
        <w:spacing w:after="120" w:line="330" w:lineRule="auto"/>
      </w:pPr>
      <w:r>
        <w:rPr>
          <w:rFonts w:ascii="Microsoft YaHei" w:eastAsia="Microsoft YaHei"/>
          <w:b/>
          <w:color w:val="000000"/>
          <w:sz w:val="25"/>
        </w:rPr>
        <w:t>24.1 入口与事实形成</w:t>
      </w:r>
    </w:p>
    <w:p w14:paraId="00100C6A" w14:textId="00100C6B">
      <w:pPr>
        <w:spacing w:after="120" w:line="330" w:lineRule="auto"/>
      </w:pPr>
      <w:r>
        <w:rPr>
          <w:rFonts w:ascii="Microsoft YaHei" w:eastAsia="Microsoft YaHei"/>
          <w:color w:val="000000"/>
          <w:sz w:val="22"/>
        </w:rPr>
        <w:t>外部请求经网关校验后，以目标编号与规范化序列号关联设备、飞手、白名单和飞行计划，生成内部请求与身份诊断；地图来源单独记录。进入引擎后先检查有界幂等缓存。请求标准化是接口与业务语义整理，与队形点集的坐标归一化不同。</w:t>
      </w:r>
    </w:p>
    <w:p w14:paraId="00100C6C" w14:textId="00100C6D">
      <w:pPr>
        <w:spacing w:after="120" w:line="330" w:lineRule="auto"/>
      </w:pPr>
      <w:r>
        <w:rPr>
          <w:rFonts w:ascii="Microsoft YaHei" w:eastAsia="Microsoft YaHei"/>
          <w:color w:val="000000"/>
          <w:sz w:val="22"/>
        </w:rPr>
        <w:t>轨迹解析保留同位置不同时刻的观测，同时间戳保留最后完整观测。历史窗口按末点向前120秒且最多240点裁剪，短窗口采用尾部12点。运动量按各自用途和窗口计算。空间分析随后形成每目标上下文，保存主区域、设施、圈层、边界趋势及不确定性，供后续模块共享。</w:t>
      </w:r>
    </w:p>
    <w:p w14:paraId="00100C6E" w14:textId="00100C6F">
      <w:pPr>
        <w:spacing w:after="120" w:line="330" w:lineRule="auto"/>
      </w:pPr>
      <w:r>
        <w:rPr>
          <w:rFonts w:ascii="Microsoft YaHei" w:eastAsia="Microsoft YaHei"/>
          <w:b/>
          <w:color w:val="000000"/>
          <w:sz w:val="25"/>
        </w:rPr>
        <w:t>24.2 分支与方法的讲解位置</w:t>
      </w:r>
    </w:p>
    <w:p w14:paraId="00100C70" w14:textId="00100C71">
      <w:pPr>
        <w:spacing w:after="120" w:line="330" w:lineRule="auto"/>
      </w:pPr>
      <w:r>
        <w:rPr>
          <w:rFonts w:ascii="Microsoft YaHei" w:eastAsia="Microsoft YaHei"/>
          <w:color w:val="000000"/>
          <w:sz w:val="22"/>
        </w:rPr>
        <w:t>身份关联在入口，豁免在轨迹与空间事实形成后逐目标判定。非豁免无人机进入聚类、队形和行为计算，再分别生成集群与成员的意图和评分。边界时间位于空间阶段，设施估计位于适配器，条件回退位于引擎评估；P18集中解释三者，不表示三个步骤串行执行。</w:t>
      </w:r>
    </w:p>
    <w:p w14:paraId="00100C72" w14:textId="00100C73">
      <w:pPr>
        <w:spacing w:after="120" w:line="330" w:lineRule="auto"/>
      </w:pPr>
      <w:r>
        <w:rPr>
          <w:rFonts w:ascii="Microsoft YaHei" w:eastAsia="Microsoft YaHei"/>
          <w:color w:val="000000"/>
          <w:sz w:val="22"/>
        </w:rPr>
        <w:t>P4–7讲请求、双窗口、基础特征与跨度优化；P8–10讲空间上下文与豁免；P11–17讲聚类、回退、PointNet与行为优化；P18–23讲时间量、意图、缓存与评分；P24–27讲辅助评估及完整输出；P28–30总结端到端核验、证据缺口和阶段贡献。</w:t>
      </w:r>
    </w:p>
    <w:p w14:paraId="00100C74" w14:textId="00100C75">
      <w:pPr>
        <w:pageBreakBefore/>
        <w:spacing w:after="120" w:line="330" w:lineRule="auto"/>
      </w:pPr>
      <w:r>
        <w:rPr>
          <w:rFonts w:ascii="Microsoft YaHei" w:eastAsia="Microsoft YaHei"/>
          <w:b/>
          <w:color w:val="000000"/>
          <w:sz w:val="30"/>
        </w:rPr>
        <w:t>24.3 优化证据归位与补充分支核验</w:t>
      </w:r>
    </w:p>
    <w:p w14:paraId="00100C76" w14:textId="00100C77">
      <w:pPr>
        <w:spacing w:after="120" w:line="330" w:lineRule="auto"/>
      </w:pPr>
      <w:r>
        <w:rPr>
          <w:rFonts w:ascii="Microsoft YaHei" w:eastAsia="Microsoft YaHei"/>
          <w:color w:val="000000"/>
          <w:sz w:val="22"/>
        </w:rPr>
        <w:t>跨度矩阵化、KD-tree回退分组、行为向量化和请求内成员特征缓存分别对应P7、P13、P17、P22。历史性能数据继续使用2026-10-23原始JSON，未因本次排版更新而重新计时。局部耗时比不作为整请求加速比。</w:t>
      </w:r>
    </w:p>
    <w:p w14:paraId="00100C78" w14:textId="00100C79">
      <w:pPr>
        <w:spacing w:after="120" w:line="330" w:lineRule="auto"/>
      </w:pPr>
      <w:r>
        <w:rPr>
          <w:rFonts w:ascii="Microsoft YaHei" w:eastAsia="Microsoft YaHei"/>
          <w:color w:val="000000"/>
          <w:sz w:val="22"/>
        </w:rPr>
        <w:t>KD-tree仅属于回退分组，密集布局退化继续保留。行为向量化的100目标、120点组件对照存在6个加速判定和3个转向判定差异，不能称为完全等价加速；正式路由适配器窗口为12点。空间共享、模型复用和入口缓存仅说明现有机制，没有补造独立性能数字。</w:t>
      </w:r>
    </w:p>
    <w:p w14:paraId="00100C7A" w14:textId="00100C7B">
      <w:pPr>
        <w:spacing w:after="120" w:line="330" w:lineRule="auto"/>
      </w:pPr>
      <w:r>
        <w:rPr>
          <w:rFonts w:ascii="Microsoft YaHei" w:eastAsia="Microsoft YaHei"/>
          <w:color w:val="000000"/>
          <w:sz w:val="22"/>
        </w:rPr>
        <w:t>本轮实际重放7项既有测试，保存8次请求与响应，全部通过；所核对代码和模型哈希与前次方法证据一致。测试覆盖合法成员与邻机分流、计划航线、重叠区域顺序稳定性、不跨候选借设施，以及完整或缺失能力输入。测试集合与原有记录重叠，不累加成独立样本数。</w:t>
      </w:r>
    </w:p>
    <w:p w14:paraId="00100C7C" w14:textId="00100C7D">
      <w:pPr>
        <w:spacing w:after="120" w:line="330" w:lineRule="auto"/>
      </w:pPr>
      <w:r>
        <w:rPr>
          <w:rFonts w:ascii="Microsoft YaHei" w:eastAsia="Microsoft YaHei"/>
          <w:color w:val="000000"/>
          <w:sz w:val="22"/>
        </w:rPr>
        <w:t>完整能力输入夹具返回allocatedCount为1、remainingCount为2，缺失输入夹具返回unavailable及空值。重叠区域夹具的一项边界关系为距离1042.301米、距离趋势每秒负15.1133米、预测边界时间69秒；同响应设施ETA为0且采用旧估计方法。二者对象及计算方式不同，不能混读。</w:t>
      </w:r>
    </w:p>
    <w:p w14:paraId="00100C7E" w14:textId="00100C7F">
      <w:pPr>
        <w:spacing w:after="120" w:line="330" w:lineRule="auto"/>
      </w:pPr>
      <w:r>
        <w:rPr>
          <w:rFonts w:ascii="Microsoft YaHei" w:eastAsia="Microsoft YaHei"/>
          <w:color w:val="000000"/>
          <w:sz w:val="22"/>
        </w:rPr>
        <w:t>13目标贯穿案例仍是原保存请求：4个目标独立豁免，9个目标形成5成员和4成员两组，分别输出I-13、46分mid与I-29、32分low。两组设施ETA为空；该请求没有探测设备及资源输入。补充夹具与主案例分别归档，不拼接为同次响应。</w:t>
      </w:r>
    </w:p>
    <w:p w14:paraId="00100C80" w14:textId="00100C81">
      <w:pPr>
        <w:spacing w:after="120" w:line="330" w:lineRule="auto"/>
      </w:pPr>
      <w:r>
        <w:rPr>
          <w:rFonts w:ascii="Microsoft YaHei" w:eastAsia="Microsoft YaHei"/>
          <w:color w:val="000000"/>
          <w:sz w:val="22"/>
        </w:rPr>
        <w:t>证据文件位于projects/算法评审PPT_20261024/流程学术重构工作区。逐页来源、LaTeX公式、输入输出记录、正文时间预算和演讲稿由同一份页面内容生成。独立分类效果、真实场景误差、概率校准及部署条件核验仍按第20至22章的边界推进。</w:t>
      </w:r>
    </w:p>
    <w:sectPr w:rsidRPr="0006063C" w:rsidR="00FC693F" w:rsidSect="00034616">
      <w:footerReference w:type="default" r:id="rId9"/>
      <w:pgSz w:w="12240" w:h="15840"/>
      <w:pgMar w:top="1037" w:right="1123" w:bottom="979"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C82" w14:textId="00100C83">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40" w:line="300" w:lineRule="auto"/>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imes New Roman" w:hAnsi="Times New Roman" w:eastAsia="微软雅黑" w:asciiTheme="majorHAnsi" w:hAnsiTheme="majorHAnsi" w:eastAsiaTheme="majorEastAsia"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imes New Roman" w:hAnsi="Times New Roman" w:eastAsia="微软雅黑" w:asciiTheme="majorHAnsi" w:hAnsiTheme="majorHAnsi" w:eastAsiaTheme="majorEastAsia"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imes New Roman" w:hAnsi="Times New Roman" w:eastAsia="微软雅黑" w:asciiTheme="majorHAnsi" w:hAnsiTheme="majorHAnsi" w:eastAsiaTheme="majorEastAsia"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spacing w:before="0" w:after="280" w:line="240" w:lineRule="auto"/>
      <w:contextualSpacing/>
    </w:pPr>
    <w:rPr>
      <w:rFonts w:ascii="Times New Roman" w:hAnsi="Times New Roman" w:eastAsia="微软雅黑" w:asciiTheme="majorHAnsi" w:hAnsiTheme="majorHAnsi" w:eastAsiaTheme="majorEastAsia" w:cstheme="majorBidi"/>
      <w:color w:val="000000"/>
      <w:spacing w:val="5"/>
      <w:kern w:val="28"/>
      <w:sz w:val="4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imes New Roman" w:hAnsi="Times New Roman" w:eastAsia="微软雅黑" w:asciiTheme="majorHAnsi" w:hAnsiTheme="majorHAnsi" w:eastAsiaTheme="majorEastAsia" w:cstheme="majorBidi"/>
      <w:i w:val="0"/>
      <w:iCs/>
      <w:color w:val="000000"/>
      <w:spacing w:val="15"/>
      <w:sz w:val="26"/>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0" w:after="140" w:line="240" w:lineRule="auto"/>
    </w:pPr>
    <w:rPr>
      <w:rFonts w:ascii="Times New Roman" w:hAnsi="Times New Roman" w:eastAsia="微软雅黑"/>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无人机态势判读算法原理方法与阶段验证说明</dc:title>
  <dc:subject>项目算法阶段评审</dc:subject>
  <dc:creator/>
  <cp:keywords>DBSCAN PointNet 意图识别 威胁评估 算法验证</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2026-10-25T14:25:16Z</vt:lpwstr>
  </op:property>
</op:Properties>
</file>