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2E6BF">
      <w:pPr>
        <w:spacing w:before="1400"/>
        <w:jc w:val="center"/>
      </w:pPr>
      <w:r>
        <w:rPr>
          <w:rFonts w:ascii="Noto Sans CJK SC" w:hAnsi="Noto Sans CJK SC" w:eastAsia="Noto Sans CJK SC"/>
          <w:b/>
          <w:color w:val="1F4E79"/>
          <w:sz w:val="44"/>
        </w:rPr>
        <w:t>新系统参数下双通道 GMTI 仿真数据生成</w:t>
      </w:r>
      <w:r>
        <w:rPr>
          <w:rFonts w:ascii="Noto Sans CJK SC" w:hAnsi="Noto Sans CJK SC" w:eastAsia="Noto Sans CJK SC"/>
          <w:b/>
          <w:color w:val="1F4E79"/>
          <w:sz w:val="44"/>
        </w:rPr>
        <w:br w:type="textWrapping"/>
      </w:r>
      <w:r>
        <w:rPr>
          <w:rFonts w:ascii="Noto Sans CJK SC" w:hAnsi="Noto Sans CJK SC" w:eastAsia="Noto Sans CJK SC"/>
          <w:b/>
          <w:color w:val="1F4E79"/>
          <w:sz w:val="44"/>
        </w:rPr>
        <w:t>三级实施方案与工作计划</w:t>
      </w:r>
    </w:p>
    <w:p w14:paraId="63190D2C">
      <w:pPr>
        <w:jc w:val="center"/>
      </w:pPr>
      <w:r>
        <w:rPr>
          <w:rFonts w:ascii="Noto Sans CJK SC" w:hAnsi="Noto Sans CJK SC" w:eastAsia="Noto Sans CJK SC"/>
          <w:color w:val="595959"/>
          <w:sz w:val="26"/>
        </w:rPr>
        <w:t>面向实测 IQ 复用、统计杂波纯仿真与场景反演物理正演的分级验证体系</w:t>
      </w:r>
    </w:p>
    <w:p w14:paraId="5CF3F578">
      <w:pPr>
        <w:spacing w:before="1600"/>
        <w:jc w:val="center"/>
      </w:pPr>
      <w:r>
        <w:rPr>
          <w:rFonts w:ascii="Noto Sans CJK SC" w:hAnsi="Noto Sans CJK SC" w:eastAsia="Noto Sans CJK SC"/>
          <w:sz w:val="24"/>
        </w:rPr>
        <w:t>版本：v3.0</w:t>
      </w:r>
      <w:r>
        <w:rPr>
          <w:rFonts w:ascii="Noto Sans CJK SC" w:hAnsi="Noto Sans CJK SC" w:eastAsia="Noto Sans CJK SC"/>
          <w:sz w:val="24"/>
        </w:rPr>
        <w:br w:type="textWrapping"/>
      </w:r>
      <w:r>
        <w:rPr>
          <w:rFonts w:ascii="Noto Sans CJK SC" w:hAnsi="Noto Sans CJK SC" w:eastAsia="Noto Sans CJK SC"/>
          <w:sz w:val="24"/>
        </w:rPr>
        <w:t>日期：2026 年 6 月</w:t>
      </w:r>
    </w:p>
    <w:p w14:paraId="05AA9262">
      <w:r>
        <w:br w:type="page"/>
      </w:r>
    </w:p>
    <w:p w14:paraId="28EF0E02">
      <w:pPr>
        <w:pStyle w:val="3"/>
      </w:pPr>
      <w:r>
        <w:t>一、修订说明与总体定位</w:t>
      </w:r>
    </w:p>
    <w:p w14:paraId="012A15C1">
      <w:pPr>
        <w:spacing w:after="100" w:line="300" w:lineRule="auto"/>
      </w:pPr>
      <w:r>
        <w:rPr>
          <w:rFonts w:ascii="Noto Sans CJK SC" w:hAnsi="Noto Sans CJK SC" w:eastAsia="Noto Sans CJK SC"/>
          <w:sz w:val="21"/>
        </w:rPr>
        <w:t>本版方案在 v2.1 的基础上重新梳理技术路线，将原先“实测背景复用、合作目标注入、算法验证、DBS 图像反投影”等任务重新组织为三级数据集建设思路。调整后的方案不再把第一阶段的 DBS 图像质量作为主要目标，而是明确区分工程链路验证、新系统参数自洽验证和真实背景几何验证三个层次。</w:t>
      </w:r>
    </w:p>
    <w:p w14:paraId="03E70591">
      <w:pPr>
        <w:spacing w:after="100" w:line="300" w:lineRule="auto"/>
      </w:pPr>
      <w:r>
        <w:rPr>
          <w:rFonts w:ascii="Noto Sans CJK SC" w:hAnsi="Noto Sans CJK SC" w:eastAsia="Noto Sans CJK SC"/>
          <w:sz w:val="21"/>
        </w:rPr>
        <w:t>总体思路：先保证数据能生成、算法能读取、GMTI 检测与航迹能验证；再使用纯仿真方法构建符合新系统参数的统计杂波背景；最终通过场景反演与物理正演生成更接近真实地物背景的宽角数据。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5386"/>
        <w:gridCol w:w="2835"/>
      </w:tblGrid>
      <w:tr w14:paraId="1ABD1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1F4E79"/>
            <w:vAlign w:val="center"/>
          </w:tcPr>
          <w:p w14:paraId="57BC94E6">
            <w:pPr>
              <w:spacing w:after="0" w:line="252" w:lineRule="auto"/>
            </w:pPr>
            <w:r>
              <w:rPr>
                <w:rFonts w:ascii="Noto Sans CJK SC" w:hAnsi="Noto Sans CJK SC" w:eastAsia="Noto Sans CJK SC"/>
                <w:b/>
                <w:color w:val="FFFFFF"/>
                <w:sz w:val="17"/>
              </w:rPr>
              <w:t>版本</w:t>
            </w:r>
          </w:p>
        </w:tc>
        <w:tc>
          <w:tcPr>
            <w:tcW w:w="5386" w:type="dxa"/>
            <w:shd w:val="clear" w:color="auto" w:fill="1F4E79"/>
            <w:vAlign w:val="center"/>
          </w:tcPr>
          <w:p w14:paraId="3A12D2F6">
            <w:pPr>
              <w:spacing w:after="0" w:line="252" w:lineRule="auto"/>
            </w:pPr>
            <w:r>
              <w:rPr>
                <w:rFonts w:ascii="Noto Sans CJK SC" w:hAnsi="Noto Sans CJK SC" w:eastAsia="Noto Sans CJK SC"/>
                <w:b/>
                <w:color w:val="FFFFFF"/>
                <w:sz w:val="17"/>
              </w:rPr>
              <w:t>主要变化</w:t>
            </w:r>
          </w:p>
        </w:tc>
        <w:tc>
          <w:tcPr>
            <w:tcW w:w="2835" w:type="dxa"/>
            <w:shd w:val="clear" w:color="auto" w:fill="1F4E79"/>
            <w:vAlign w:val="center"/>
          </w:tcPr>
          <w:p w14:paraId="3EDC6341">
            <w:pPr>
              <w:spacing w:after="0" w:line="252" w:lineRule="auto"/>
            </w:pPr>
            <w:r>
              <w:rPr>
                <w:rFonts w:ascii="Noto Sans CJK SC" w:hAnsi="Noto Sans CJK SC" w:eastAsia="Noto Sans CJK SC"/>
                <w:b/>
                <w:color w:val="FFFFFF"/>
                <w:sz w:val="17"/>
              </w:rPr>
              <w:t>目的</w:t>
            </w:r>
          </w:p>
        </w:tc>
      </w:tr>
      <w:tr w14:paraId="2DB6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top"/>
          </w:tcPr>
          <w:p w14:paraId="7387001C">
            <w:pPr>
              <w:spacing w:after="0" w:line="252" w:lineRule="auto"/>
            </w:pPr>
            <w:r>
              <w:rPr>
                <w:rFonts w:ascii="Noto Sans CJK SC" w:hAnsi="Noto Sans CJK SC" w:eastAsia="Noto Sans CJK SC"/>
                <w:b w:val="0"/>
                <w:sz w:val="17"/>
              </w:rPr>
              <w:t>v2.1</w:t>
            </w:r>
          </w:p>
        </w:tc>
        <w:tc>
          <w:tcPr>
            <w:tcW w:w="5386" w:type="dxa"/>
            <w:vAlign w:val="top"/>
          </w:tcPr>
          <w:p w14:paraId="02755112">
            <w:pPr>
              <w:spacing w:after="0" w:line="252" w:lineRule="auto"/>
            </w:pPr>
            <w:r>
              <w:rPr>
                <w:rFonts w:ascii="Noto Sans CJK SC" w:hAnsi="Noto Sans CJK SC" w:eastAsia="Noto Sans CJK SC"/>
                <w:b w:val="0"/>
                <w:sz w:val="17"/>
              </w:rPr>
              <w:t>采用实测背景镜像扩展 + 合作目标注入 + 后续 DBS 散射点正演的分阶段路线</w:t>
            </w:r>
          </w:p>
        </w:tc>
        <w:tc>
          <w:tcPr>
            <w:tcW w:w="2835" w:type="dxa"/>
            <w:vAlign w:val="top"/>
          </w:tcPr>
          <w:p w14:paraId="7A6062E2">
            <w:pPr>
              <w:spacing w:after="0" w:line="252" w:lineRule="auto"/>
            </w:pPr>
            <w:r>
              <w:rPr>
                <w:rFonts w:ascii="Noto Sans CJK SC" w:hAnsi="Noto Sans CJK SC" w:eastAsia="Noto Sans CJK SC"/>
                <w:b w:val="0"/>
                <w:sz w:val="17"/>
              </w:rPr>
              <w:t>解决旧数据向新系统格式转换和初步验证问题</w:t>
            </w:r>
          </w:p>
        </w:tc>
      </w:tr>
      <w:tr w14:paraId="41DBA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top"/>
          </w:tcPr>
          <w:p w14:paraId="4F2A52B2">
            <w:pPr>
              <w:spacing w:after="0" w:line="252" w:lineRule="auto"/>
            </w:pPr>
            <w:r>
              <w:rPr>
                <w:rFonts w:ascii="Noto Sans CJK SC" w:hAnsi="Noto Sans CJK SC" w:eastAsia="Noto Sans CJK SC"/>
                <w:b w:val="0"/>
                <w:sz w:val="17"/>
              </w:rPr>
              <w:t>v3.0</w:t>
            </w:r>
          </w:p>
        </w:tc>
        <w:tc>
          <w:tcPr>
            <w:tcW w:w="5386" w:type="dxa"/>
            <w:vAlign w:val="top"/>
          </w:tcPr>
          <w:p w14:paraId="7051CA85">
            <w:pPr>
              <w:spacing w:after="0" w:line="252" w:lineRule="auto"/>
            </w:pPr>
            <w:r>
              <w:rPr>
                <w:rFonts w:ascii="Noto Sans CJK SC" w:hAnsi="Noto Sans CJK SC" w:eastAsia="Noto Sans CJK SC"/>
                <w:b w:val="0"/>
                <w:sz w:val="17"/>
              </w:rPr>
              <w:t>重构为三阶段：实测 IQ 复用、统计杂波纯仿真、场景反演与物理正演</w:t>
            </w:r>
          </w:p>
        </w:tc>
        <w:tc>
          <w:tcPr>
            <w:tcW w:w="2835" w:type="dxa"/>
            <w:vAlign w:val="top"/>
          </w:tcPr>
          <w:p w14:paraId="7249EC68">
            <w:pPr>
              <w:spacing w:after="0" w:line="252" w:lineRule="auto"/>
            </w:pPr>
            <w:r>
              <w:rPr>
                <w:rFonts w:ascii="Noto Sans CJK SC" w:hAnsi="Noto Sans CJK SC" w:eastAsia="Noto Sans CJK SC"/>
                <w:b w:val="0"/>
                <w:sz w:val="17"/>
              </w:rPr>
              <w:t>明确每类数据的适用边界，避免用第一阶段数据错误评价宽角 DBS 成像质量</w:t>
            </w:r>
          </w:p>
        </w:tc>
      </w:tr>
    </w:tbl>
    <w:p w14:paraId="29544AC6"/>
    <w:p w14:paraId="07A67835">
      <w:pPr>
        <w:pStyle w:val="3"/>
      </w:pPr>
      <w:r>
        <w:t>二、任务背景与总体目标</w:t>
      </w:r>
    </w:p>
    <w:p w14:paraId="4081F72D">
      <w:pPr>
        <w:spacing w:after="100" w:line="300" w:lineRule="auto"/>
      </w:pPr>
      <w:r>
        <w:rPr>
          <w:rFonts w:ascii="Noto Sans CJK SC" w:hAnsi="Noto Sans CJK SC" w:eastAsia="Noto Sans CJK SC"/>
          <w:sz w:val="21"/>
        </w:rPr>
        <w:t>现有数据为既有双通道 GMTI 实测数据，覆盖角度约为 -25°～25°，包含多周期、双通道、每波位 256 脉冲、每脉冲 4096 个复数采样点。由于是实采数据，实际波束中心会受到平台姿态、航迹、天线安装误差和飞行抖动影响，因此不能简单认为每个波位严格等于理想角度。</w:t>
      </w:r>
    </w:p>
    <w:p w14:paraId="3857981B">
      <w:pPr>
        <w:spacing w:after="100" w:line="300" w:lineRule="auto"/>
      </w:pPr>
      <w:r>
        <w:rPr>
          <w:rFonts w:ascii="Noto Sans CJK SC" w:hAnsi="Noto Sans CJK SC" w:eastAsia="Noto Sans CJK SC"/>
          <w:sz w:val="21"/>
        </w:rPr>
        <w:t>新系统要求生成 -60°～60°（可选 -59°～61° 调试网格）、步进 2°、共 61 个波位的数据，每个波位 130 个脉冲，每个脉冲为 DDC 后 11820 点，并在算法内部完成补零、脉压和 4096 点截取。</w:t>
      </w:r>
    </w:p>
    <w:p w14:paraId="7FD328CF">
      <w:pPr>
        <w:spacing w:after="100" w:line="300" w:lineRule="auto"/>
      </w:pPr>
      <w:r>
        <w:rPr>
          <w:rFonts w:ascii="Noto Sans CJK SC" w:hAnsi="Noto Sans CJK SC" w:eastAsia="Noto Sans CJK SC"/>
          <w:sz w:val="21"/>
        </w:rPr>
        <w:t>前期尝试过搬移多普勒中心和复制 IQ 的方式生成新波位数据，但由于旧 IQ 的真实相位历程、斜距历程、距离窗口、脉冲体制和新系统几何不一致，DBS 图像会出现明显畸变。因此，后续必须明确不同阶段数据的用途：第一阶段用于工程验证和 GMTI 链路验证，第二阶段用于新系统参数自洽的统计仿真，第三阶段用于真实背景几何逼近。</w:t>
      </w:r>
    </w:p>
    <w:p w14:paraId="677F815D">
      <w:pPr>
        <w:pStyle w:val="16"/>
        <w:spacing w:after="40" w:line="288" w:lineRule="auto"/>
      </w:pPr>
      <w:r>
        <w:rPr>
          <w:rFonts w:ascii="Noto Sans CJK SC" w:hAnsi="Noto Sans CJK SC" w:eastAsia="Noto Sans CJK SC"/>
          <w:sz w:val="20"/>
        </w:rPr>
        <w:t>构建 61 波位 × 130 脉冲 × 11820 点的双通道 DDC 仿真数据。</w:t>
      </w:r>
    </w:p>
    <w:p w14:paraId="768576CA">
      <w:pPr>
        <w:pStyle w:val="16"/>
        <w:spacing w:after="40" w:line="288" w:lineRule="auto"/>
      </w:pPr>
      <w:r>
        <w:rPr>
          <w:rFonts w:ascii="Noto Sans CJK SC" w:hAnsi="Noto Sans CJK SC" w:eastAsia="Noto Sans CJK SC"/>
          <w:sz w:val="20"/>
        </w:rPr>
        <w:t>形成统一的合作运动目标注入、truth.csv 真值输出和 GMTI 检测/航迹评估框架。</w:t>
      </w:r>
    </w:p>
    <w:p w14:paraId="4B4EFEC1">
      <w:pPr>
        <w:pStyle w:val="16"/>
        <w:spacing w:after="40" w:line="288" w:lineRule="auto"/>
      </w:pPr>
      <w:r>
        <w:rPr>
          <w:rFonts w:ascii="Noto Sans CJK SC" w:hAnsi="Noto Sans CJK SC" w:eastAsia="Noto Sans CJK SC"/>
          <w:sz w:val="20"/>
        </w:rPr>
        <w:t>通过三级数据集分别验证工程链路、新系统参数自洽性和真实背景几何一致性。</w:t>
      </w:r>
    </w:p>
    <w:p w14:paraId="60F5B4C0">
      <w:pPr>
        <w:pStyle w:val="16"/>
        <w:spacing w:after="40" w:line="288" w:lineRule="auto"/>
      </w:pPr>
      <w:r>
        <w:rPr>
          <w:rFonts w:ascii="Noto Sans CJK SC" w:hAnsi="Noto Sans CJK SC" w:eastAsia="Noto Sans CJK SC"/>
          <w:sz w:val="20"/>
        </w:rPr>
        <w:t>为后续真实 61 波位数据采集、算法实时化和工程验证提供可复现实验条件。</w:t>
      </w:r>
    </w:p>
    <w:p w14:paraId="3280E2BB">
      <w:pPr>
        <w:pStyle w:val="3"/>
      </w:pPr>
      <w:r>
        <w:t>三、新旧系统参数与基本约束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984"/>
        <w:gridCol w:w="2721"/>
        <w:gridCol w:w="2835"/>
      </w:tblGrid>
      <w:tr w14:paraId="4CB92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1F4E79"/>
            <w:vAlign w:val="center"/>
          </w:tcPr>
          <w:p w14:paraId="5D037FB6">
            <w:pPr>
              <w:spacing w:after="0" w:line="252" w:lineRule="auto"/>
            </w:pPr>
            <w:r>
              <w:rPr>
                <w:rFonts w:ascii="Noto Sans CJK SC" w:hAnsi="Noto Sans CJK SC" w:eastAsia="Noto Sans CJK SC"/>
                <w:b/>
                <w:color w:val="FFFFFF"/>
                <w:sz w:val="16"/>
              </w:rPr>
              <w:t>项目</w:t>
            </w:r>
          </w:p>
        </w:tc>
        <w:tc>
          <w:tcPr>
            <w:tcW w:w="1984" w:type="dxa"/>
            <w:shd w:val="clear" w:color="auto" w:fill="1F4E79"/>
            <w:vAlign w:val="center"/>
          </w:tcPr>
          <w:p w14:paraId="094D3367">
            <w:pPr>
              <w:spacing w:after="0" w:line="252" w:lineRule="auto"/>
            </w:pPr>
            <w:r>
              <w:rPr>
                <w:rFonts w:ascii="Noto Sans CJK SC" w:hAnsi="Noto Sans CJK SC" w:eastAsia="Noto Sans CJK SC"/>
                <w:b/>
                <w:color w:val="FFFFFF"/>
                <w:sz w:val="16"/>
              </w:rPr>
              <w:t>旧系统</w:t>
            </w:r>
          </w:p>
        </w:tc>
        <w:tc>
          <w:tcPr>
            <w:tcW w:w="2721" w:type="dxa"/>
            <w:shd w:val="clear" w:color="auto" w:fill="1F4E79"/>
            <w:vAlign w:val="center"/>
          </w:tcPr>
          <w:p w14:paraId="21B22BB5">
            <w:pPr>
              <w:spacing w:after="0" w:line="252" w:lineRule="auto"/>
            </w:pPr>
            <w:r>
              <w:rPr>
                <w:rFonts w:ascii="Noto Sans CJK SC" w:hAnsi="Noto Sans CJK SC" w:eastAsia="Noto Sans CJK SC"/>
                <w:b/>
                <w:color w:val="FFFFFF"/>
                <w:sz w:val="16"/>
              </w:rPr>
              <w:t>新系统</w:t>
            </w:r>
          </w:p>
        </w:tc>
        <w:tc>
          <w:tcPr>
            <w:tcW w:w="2835" w:type="dxa"/>
            <w:shd w:val="clear" w:color="auto" w:fill="1F4E79"/>
            <w:vAlign w:val="center"/>
          </w:tcPr>
          <w:p w14:paraId="027ECD4D">
            <w:pPr>
              <w:spacing w:after="0" w:line="252" w:lineRule="auto"/>
            </w:pPr>
            <w:r>
              <w:rPr>
                <w:rFonts w:ascii="Noto Sans CJK SC" w:hAnsi="Noto Sans CJK SC" w:eastAsia="Noto Sans CJK SC"/>
                <w:b/>
                <w:color w:val="FFFFFF"/>
                <w:sz w:val="16"/>
              </w:rPr>
              <w:t>说明</w:t>
            </w:r>
          </w:p>
        </w:tc>
      </w:tr>
      <w:tr w14:paraId="6336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top"/>
          </w:tcPr>
          <w:p w14:paraId="490C2968">
            <w:pPr>
              <w:spacing w:after="0" w:line="252" w:lineRule="auto"/>
            </w:pPr>
            <w:r>
              <w:rPr>
                <w:rFonts w:ascii="Noto Sans CJK SC" w:hAnsi="Noto Sans CJK SC" w:eastAsia="Noto Sans CJK SC"/>
                <w:b w:val="0"/>
                <w:sz w:val="16"/>
              </w:rPr>
              <w:t>扫描角度范围</w:t>
            </w:r>
          </w:p>
        </w:tc>
        <w:tc>
          <w:tcPr>
            <w:tcW w:w="1984" w:type="dxa"/>
            <w:vAlign w:val="top"/>
          </w:tcPr>
          <w:p w14:paraId="2A314DF6">
            <w:pPr>
              <w:spacing w:after="0" w:line="252" w:lineRule="auto"/>
            </w:pPr>
            <w:r>
              <w:rPr>
                <w:rFonts w:ascii="Noto Sans CJK SC" w:hAnsi="Noto Sans CJK SC" w:eastAsia="Noto Sans CJK SC"/>
                <w:b w:val="0"/>
                <w:sz w:val="16"/>
              </w:rPr>
              <w:t>-25°～25°</w:t>
            </w:r>
          </w:p>
        </w:tc>
        <w:tc>
          <w:tcPr>
            <w:tcW w:w="2721" w:type="dxa"/>
            <w:vAlign w:val="top"/>
          </w:tcPr>
          <w:p w14:paraId="5A6E7091">
            <w:pPr>
              <w:spacing w:after="0" w:line="252" w:lineRule="auto"/>
            </w:pPr>
            <w:r>
              <w:rPr>
                <w:rFonts w:ascii="Noto Sans CJK SC" w:hAnsi="Noto Sans CJK SC" w:eastAsia="Noto Sans CJK SC"/>
                <w:b w:val="0"/>
                <w:sz w:val="16"/>
              </w:rPr>
              <w:t>-60°～60°，可选 -59°～61°</w:t>
            </w:r>
          </w:p>
        </w:tc>
        <w:tc>
          <w:tcPr>
            <w:tcW w:w="2835" w:type="dxa"/>
            <w:vAlign w:val="top"/>
          </w:tcPr>
          <w:p w14:paraId="686C241F">
            <w:pPr>
              <w:spacing w:after="0" w:line="252" w:lineRule="auto"/>
            </w:pPr>
            <w:r>
              <w:rPr>
                <w:rFonts w:ascii="Noto Sans CJK SC" w:hAnsi="Noto Sans CJK SC" w:eastAsia="Noto Sans CJK SC"/>
                <w:b w:val="0"/>
                <w:sz w:val="16"/>
              </w:rPr>
              <w:t>新系统覆盖角度显著扩大</w:t>
            </w:r>
          </w:p>
        </w:tc>
      </w:tr>
      <w:tr w14:paraId="29092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top"/>
          </w:tcPr>
          <w:p w14:paraId="68343C92">
            <w:pPr>
              <w:spacing w:after="0" w:line="252" w:lineRule="auto"/>
            </w:pPr>
            <w:r>
              <w:rPr>
                <w:rFonts w:ascii="Noto Sans CJK SC" w:hAnsi="Noto Sans CJK SC" w:eastAsia="Noto Sans CJK SC"/>
                <w:b w:val="0"/>
                <w:sz w:val="16"/>
              </w:rPr>
              <w:t>波位数量</w:t>
            </w:r>
          </w:p>
        </w:tc>
        <w:tc>
          <w:tcPr>
            <w:tcW w:w="1984" w:type="dxa"/>
            <w:vAlign w:val="top"/>
          </w:tcPr>
          <w:p w14:paraId="65DD4C6F">
            <w:pPr>
              <w:spacing w:after="0" w:line="252" w:lineRule="auto"/>
            </w:pPr>
            <w:r>
              <w:rPr>
                <w:rFonts w:ascii="Noto Sans CJK SC" w:hAnsi="Noto Sans CJK SC" w:eastAsia="Noto Sans CJK SC"/>
                <w:b w:val="0"/>
                <w:sz w:val="16"/>
              </w:rPr>
              <w:t>26</w:t>
            </w:r>
          </w:p>
        </w:tc>
        <w:tc>
          <w:tcPr>
            <w:tcW w:w="2721" w:type="dxa"/>
            <w:vAlign w:val="top"/>
          </w:tcPr>
          <w:p w14:paraId="7DD0ACE3">
            <w:pPr>
              <w:spacing w:after="0" w:line="252" w:lineRule="auto"/>
            </w:pPr>
            <w:r>
              <w:rPr>
                <w:rFonts w:ascii="Noto Sans CJK SC" w:hAnsi="Noto Sans CJK SC" w:eastAsia="Noto Sans CJK SC"/>
                <w:b w:val="0"/>
                <w:sz w:val="16"/>
              </w:rPr>
              <w:t>61</w:t>
            </w:r>
          </w:p>
        </w:tc>
        <w:tc>
          <w:tcPr>
            <w:tcW w:w="2835" w:type="dxa"/>
            <w:vAlign w:val="top"/>
          </w:tcPr>
          <w:p w14:paraId="1825DC16">
            <w:pPr>
              <w:spacing w:after="0" w:line="252" w:lineRule="auto"/>
            </w:pPr>
            <w:r>
              <w:rPr>
                <w:rFonts w:ascii="Noto Sans CJK SC" w:hAnsi="Noto Sans CJK SC" w:eastAsia="Noto Sans CJK SC"/>
                <w:b w:val="0"/>
                <w:sz w:val="16"/>
              </w:rPr>
              <w:t>闭区间且步进 2°</w:t>
            </w:r>
          </w:p>
        </w:tc>
      </w:tr>
      <w:tr w14:paraId="3E402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vAlign w:val="top"/>
          </w:tcPr>
          <w:p w14:paraId="3C1CE967">
            <w:pPr>
              <w:spacing w:after="0" w:line="252" w:lineRule="auto"/>
            </w:pPr>
            <w:r>
              <w:rPr>
                <w:rFonts w:ascii="Noto Sans CJK SC" w:hAnsi="Noto Sans CJK SC" w:eastAsia="Noto Sans CJK SC"/>
                <w:b w:val="0"/>
                <w:sz w:val="16"/>
              </w:rPr>
              <w:t>单波位脉冲数</w:t>
            </w:r>
          </w:p>
        </w:tc>
        <w:tc>
          <w:tcPr>
            <w:tcW w:w="1984" w:type="dxa"/>
            <w:vAlign w:val="top"/>
          </w:tcPr>
          <w:p w14:paraId="72E2AE95">
            <w:pPr>
              <w:spacing w:after="0" w:line="252" w:lineRule="auto"/>
            </w:pPr>
            <w:r>
              <w:rPr>
                <w:rFonts w:ascii="Noto Sans CJK SC" w:hAnsi="Noto Sans CJK SC" w:eastAsia="Noto Sans CJK SC"/>
                <w:b w:val="0"/>
                <w:sz w:val="16"/>
              </w:rPr>
              <w:t>256</w:t>
            </w:r>
          </w:p>
        </w:tc>
        <w:tc>
          <w:tcPr>
            <w:tcW w:w="2721" w:type="dxa"/>
            <w:vAlign w:val="top"/>
          </w:tcPr>
          <w:p w14:paraId="64FB490D">
            <w:pPr>
              <w:spacing w:after="0" w:line="252" w:lineRule="auto"/>
            </w:pPr>
            <w:r>
              <w:rPr>
                <w:rFonts w:ascii="Noto Sans CJK SC" w:hAnsi="Noto Sans CJK SC" w:eastAsia="Noto Sans CJK SC"/>
                <w:b w:val="0"/>
                <w:sz w:val="16"/>
              </w:rPr>
              <w:t>130</w:t>
            </w:r>
          </w:p>
        </w:tc>
        <w:tc>
          <w:tcPr>
            <w:tcW w:w="2835" w:type="dxa"/>
            <w:vAlign w:val="top"/>
          </w:tcPr>
          <w:p w14:paraId="277B986C">
            <w:pPr>
              <w:spacing w:after="0" w:line="252" w:lineRule="auto"/>
            </w:pPr>
            <w:r>
              <w:rPr>
                <w:rFonts w:ascii="Noto Sans CJK SC" w:hAnsi="Noto Sans CJK SC" w:eastAsia="Noto Sans CJK SC"/>
                <w:b w:val="0"/>
                <w:sz w:val="16"/>
              </w:rPr>
              <w:t>新系统驻留时间为 0.1 s</w:t>
            </w:r>
          </w:p>
        </w:tc>
      </w:tr>
      <w:tr w14:paraId="5A302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top"/>
          </w:tcPr>
          <w:p w14:paraId="1211812B">
            <w:pPr>
              <w:spacing w:after="0" w:line="252" w:lineRule="auto"/>
            </w:pPr>
            <w:r>
              <w:rPr>
                <w:rFonts w:ascii="Noto Sans CJK SC" w:hAnsi="Noto Sans CJK SC" w:eastAsia="Noto Sans CJK SC"/>
                <w:b w:val="0"/>
                <w:sz w:val="16"/>
              </w:rPr>
              <w:t>PRF</w:t>
            </w:r>
          </w:p>
        </w:tc>
        <w:tc>
          <w:tcPr>
            <w:tcW w:w="1984" w:type="dxa"/>
            <w:vAlign w:val="top"/>
          </w:tcPr>
          <w:p w14:paraId="09207D12">
            <w:pPr>
              <w:spacing w:after="0" w:line="252" w:lineRule="auto"/>
            </w:pPr>
            <w:r>
              <w:rPr>
                <w:rFonts w:ascii="Noto Sans CJK SC" w:hAnsi="Noto Sans CJK SC" w:eastAsia="Noto Sans CJK SC"/>
                <w:b w:val="0"/>
                <w:sz w:val="16"/>
              </w:rPr>
              <w:t>2000 Hz</w:t>
            </w:r>
          </w:p>
        </w:tc>
        <w:tc>
          <w:tcPr>
            <w:tcW w:w="2721" w:type="dxa"/>
            <w:vAlign w:val="top"/>
          </w:tcPr>
          <w:p w14:paraId="4043FB7A">
            <w:pPr>
              <w:spacing w:after="0" w:line="252" w:lineRule="auto"/>
            </w:pPr>
            <w:r>
              <w:rPr>
                <w:rFonts w:ascii="Noto Sans CJK SC" w:hAnsi="Noto Sans CJK SC" w:eastAsia="Noto Sans CJK SC"/>
                <w:b w:val="0"/>
                <w:sz w:val="16"/>
              </w:rPr>
              <w:t>1300 Hz</w:t>
            </w:r>
          </w:p>
        </w:tc>
        <w:tc>
          <w:tcPr>
            <w:tcW w:w="2835" w:type="dxa"/>
            <w:vAlign w:val="top"/>
          </w:tcPr>
          <w:p w14:paraId="3ED2D451">
            <w:pPr>
              <w:spacing w:after="0" w:line="252" w:lineRule="auto"/>
            </w:pPr>
            <w:r>
              <w:rPr>
                <w:rFonts w:ascii="Noto Sans CJK SC" w:hAnsi="Noto Sans CJK SC" w:eastAsia="Noto Sans CJK SC"/>
                <w:b w:val="0"/>
                <w:sz w:val="16"/>
              </w:rPr>
              <w:t>慢时间采样率改变</w:t>
            </w:r>
          </w:p>
        </w:tc>
      </w:tr>
      <w:tr w14:paraId="2CB81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top"/>
          </w:tcPr>
          <w:p w14:paraId="02D7C8E1">
            <w:pPr>
              <w:spacing w:after="0" w:line="252" w:lineRule="auto"/>
            </w:pPr>
            <w:r>
              <w:rPr>
                <w:rFonts w:ascii="Noto Sans CJK SC" w:hAnsi="Noto Sans CJK SC" w:eastAsia="Noto Sans CJK SC"/>
                <w:b w:val="0"/>
                <w:sz w:val="16"/>
              </w:rPr>
              <w:t>每脉冲点数</w:t>
            </w:r>
          </w:p>
        </w:tc>
        <w:tc>
          <w:tcPr>
            <w:tcW w:w="1984" w:type="dxa"/>
            <w:vAlign w:val="top"/>
          </w:tcPr>
          <w:p w14:paraId="7A952D86">
            <w:pPr>
              <w:spacing w:after="0" w:line="252" w:lineRule="auto"/>
            </w:pPr>
            <w:r>
              <w:rPr>
                <w:rFonts w:ascii="Noto Sans CJK SC" w:hAnsi="Noto Sans CJK SC" w:eastAsia="Noto Sans CJK SC"/>
                <w:b w:val="0"/>
                <w:sz w:val="16"/>
              </w:rPr>
              <w:t>4096</w:t>
            </w:r>
          </w:p>
        </w:tc>
        <w:tc>
          <w:tcPr>
            <w:tcW w:w="2721" w:type="dxa"/>
            <w:vAlign w:val="top"/>
          </w:tcPr>
          <w:p w14:paraId="307A6C6B">
            <w:pPr>
              <w:spacing w:after="0" w:line="252" w:lineRule="auto"/>
            </w:pPr>
            <w:r>
              <w:rPr>
                <w:rFonts w:ascii="Noto Sans CJK SC" w:hAnsi="Noto Sans CJK SC" w:eastAsia="Noto Sans CJK SC"/>
                <w:b w:val="0"/>
                <w:sz w:val="16"/>
              </w:rPr>
              <w:t>11820</w:t>
            </w:r>
          </w:p>
        </w:tc>
        <w:tc>
          <w:tcPr>
            <w:tcW w:w="2835" w:type="dxa"/>
            <w:vAlign w:val="top"/>
          </w:tcPr>
          <w:p w14:paraId="4CA46502">
            <w:pPr>
              <w:spacing w:after="0" w:line="252" w:lineRule="auto"/>
            </w:pPr>
            <w:r>
              <w:rPr>
                <w:rFonts w:ascii="Noto Sans CJK SC" w:hAnsi="Noto Sans CJK SC" w:eastAsia="Noto Sans CJK SC"/>
                <w:b w:val="0"/>
                <w:sz w:val="16"/>
              </w:rPr>
              <w:t>新系统算法输入为 DDC 后 11820 点</w:t>
            </w:r>
          </w:p>
        </w:tc>
      </w:tr>
      <w:tr w14:paraId="55B91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top"/>
          </w:tcPr>
          <w:p w14:paraId="05B2F1F4">
            <w:pPr>
              <w:spacing w:after="0" w:line="252" w:lineRule="auto"/>
            </w:pPr>
            <w:r>
              <w:rPr>
                <w:rFonts w:ascii="Noto Sans CJK SC" w:hAnsi="Noto Sans CJK SC" w:eastAsia="Noto Sans CJK SC"/>
                <w:b w:val="0"/>
                <w:sz w:val="16"/>
              </w:rPr>
              <w:t>FFT 脉冲长度</w:t>
            </w:r>
          </w:p>
        </w:tc>
        <w:tc>
          <w:tcPr>
            <w:tcW w:w="1984" w:type="dxa"/>
            <w:vAlign w:val="top"/>
          </w:tcPr>
          <w:p w14:paraId="528327FE">
            <w:pPr>
              <w:spacing w:after="0" w:line="252" w:lineRule="auto"/>
            </w:pPr>
            <w:r>
              <w:rPr>
                <w:rFonts w:ascii="Noto Sans CJK SC" w:hAnsi="Noto Sans CJK SC" w:eastAsia="Noto Sans CJK SC"/>
                <w:b w:val="0"/>
                <w:sz w:val="16"/>
              </w:rPr>
              <w:t>4096</w:t>
            </w:r>
          </w:p>
        </w:tc>
        <w:tc>
          <w:tcPr>
            <w:tcW w:w="2721" w:type="dxa"/>
            <w:vAlign w:val="top"/>
          </w:tcPr>
          <w:p w14:paraId="28DDD55B">
            <w:pPr>
              <w:spacing w:after="0" w:line="252" w:lineRule="auto"/>
            </w:pPr>
            <w:r>
              <w:rPr>
                <w:rFonts w:ascii="Noto Sans CJK SC" w:hAnsi="Noto Sans CJK SC" w:eastAsia="Noto Sans CJK SC"/>
                <w:b w:val="0"/>
                <w:sz w:val="16"/>
              </w:rPr>
              <w:t>12288</w:t>
            </w:r>
          </w:p>
        </w:tc>
        <w:tc>
          <w:tcPr>
            <w:tcW w:w="2835" w:type="dxa"/>
            <w:vAlign w:val="top"/>
          </w:tcPr>
          <w:p w14:paraId="7AA2DBED">
            <w:pPr>
              <w:spacing w:after="0" w:line="252" w:lineRule="auto"/>
            </w:pPr>
            <w:r>
              <w:rPr>
                <w:rFonts w:ascii="Noto Sans CJK SC" w:hAnsi="Noto Sans CJK SC" w:eastAsia="Noto Sans CJK SC"/>
                <w:b w:val="0"/>
                <w:sz w:val="16"/>
              </w:rPr>
              <w:t>新系统补零到 1024 整数倍</w:t>
            </w:r>
          </w:p>
        </w:tc>
      </w:tr>
      <w:tr w14:paraId="4995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vAlign w:val="top"/>
          </w:tcPr>
          <w:p w14:paraId="6D620448">
            <w:pPr>
              <w:spacing w:after="0" w:line="252" w:lineRule="auto"/>
            </w:pPr>
            <w:r>
              <w:rPr>
                <w:rFonts w:ascii="Noto Sans CJK SC" w:hAnsi="Noto Sans CJK SC" w:eastAsia="Noto Sans CJK SC"/>
                <w:b w:val="0"/>
                <w:sz w:val="16"/>
              </w:rPr>
              <w:t>脉压截取</w:t>
            </w:r>
          </w:p>
        </w:tc>
        <w:tc>
          <w:tcPr>
            <w:tcW w:w="1984" w:type="dxa"/>
            <w:vAlign w:val="top"/>
          </w:tcPr>
          <w:p w14:paraId="66BDC91C">
            <w:pPr>
              <w:spacing w:after="0" w:line="252" w:lineRule="auto"/>
            </w:pPr>
            <w:r>
              <w:rPr>
                <w:rFonts w:ascii="Noto Sans CJK SC" w:hAnsi="Noto Sans CJK SC" w:eastAsia="Noto Sans CJK SC"/>
                <w:b w:val="0"/>
                <w:sz w:val="16"/>
              </w:rPr>
              <w:t>起点 0，长度 4096</w:t>
            </w:r>
          </w:p>
        </w:tc>
        <w:tc>
          <w:tcPr>
            <w:tcW w:w="2721" w:type="dxa"/>
            <w:vAlign w:val="top"/>
          </w:tcPr>
          <w:p w14:paraId="18C57F8B">
            <w:pPr>
              <w:spacing w:after="0" w:line="252" w:lineRule="auto"/>
            </w:pPr>
            <w:r>
              <w:rPr>
                <w:rFonts w:ascii="Noto Sans CJK SC" w:hAnsi="Noto Sans CJK SC" w:eastAsia="Noto Sans CJK SC"/>
                <w:b w:val="0"/>
                <w:sz w:val="16"/>
              </w:rPr>
              <w:t>起点 3864，长度 4096</w:t>
            </w:r>
          </w:p>
        </w:tc>
        <w:tc>
          <w:tcPr>
            <w:tcW w:w="2835" w:type="dxa"/>
            <w:vAlign w:val="top"/>
          </w:tcPr>
          <w:p w14:paraId="346825D8">
            <w:pPr>
              <w:spacing w:after="0" w:line="252" w:lineRule="auto"/>
            </w:pPr>
            <w:r>
              <w:rPr>
                <w:rFonts w:ascii="Noto Sans CJK SC" w:hAnsi="Noto Sans CJK SC" w:eastAsia="Noto Sans CJK SC"/>
                <w:b w:val="0"/>
                <w:sz w:val="16"/>
              </w:rPr>
              <w:t>算法内完成脉压并截取</w:t>
            </w:r>
          </w:p>
        </w:tc>
      </w:tr>
      <w:tr w14:paraId="05657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top"/>
          </w:tcPr>
          <w:p w14:paraId="5459C79C">
            <w:pPr>
              <w:spacing w:after="0" w:line="252" w:lineRule="auto"/>
            </w:pPr>
            <w:r>
              <w:rPr>
                <w:rFonts w:ascii="Noto Sans CJK SC" w:hAnsi="Noto Sans CJK SC" w:eastAsia="Noto Sans CJK SC"/>
                <w:b w:val="0"/>
                <w:sz w:val="16"/>
              </w:rPr>
              <w:t>载频</w:t>
            </w:r>
          </w:p>
        </w:tc>
        <w:tc>
          <w:tcPr>
            <w:tcW w:w="1984" w:type="dxa"/>
            <w:vAlign w:val="top"/>
          </w:tcPr>
          <w:p w14:paraId="4EB41518">
            <w:pPr>
              <w:spacing w:after="0" w:line="252" w:lineRule="auto"/>
            </w:pPr>
            <w:r>
              <w:rPr>
                <w:rFonts w:ascii="Noto Sans CJK SC" w:hAnsi="Noto Sans CJK SC" w:eastAsia="Noto Sans CJK SC"/>
                <w:b w:val="0"/>
                <w:sz w:val="16"/>
              </w:rPr>
              <w:t>17 GHz</w:t>
            </w:r>
          </w:p>
        </w:tc>
        <w:tc>
          <w:tcPr>
            <w:tcW w:w="2721" w:type="dxa"/>
            <w:vAlign w:val="top"/>
          </w:tcPr>
          <w:p w14:paraId="01C726A2">
            <w:pPr>
              <w:spacing w:after="0" w:line="252" w:lineRule="auto"/>
            </w:pPr>
            <w:r>
              <w:rPr>
                <w:rFonts w:ascii="Noto Sans CJK SC" w:hAnsi="Noto Sans CJK SC" w:eastAsia="Noto Sans CJK SC"/>
                <w:b w:val="0"/>
                <w:sz w:val="16"/>
              </w:rPr>
              <w:t>16 GHz</w:t>
            </w:r>
          </w:p>
        </w:tc>
        <w:tc>
          <w:tcPr>
            <w:tcW w:w="2835" w:type="dxa"/>
            <w:vAlign w:val="top"/>
          </w:tcPr>
          <w:p w14:paraId="499EC08A">
            <w:pPr>
              <w:spacing w:after="0" w:line="252" w:lineRule="auto"/>
            </w:pPr>
            <w:r>
              <w:rPr>
                <w:rFonts w:ascii="Noto Sans CJK SC" w:hAnsi="Noto Sans CJK SC" w:eastAsia="Noto Sans CJK SC"/>
                <w:b w:val="0"/>
                <w:sz w:val="16"/>
              </w:rPr>
              <w:t>影响波长、相位和通道相位差</w:t>
            </w:r>
          </w:p>
        </w:tc>
      </w:tr>
      <w:tr w14:paraId="7D299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top"/>
          </w:tcPr>
          <w:p w14:paraId="000772EB">
            <w:pPr>
              <w:spacing w:after="0" w:line="252" w:lineRule="auto"/>
            </w:pPr>
            <w:r>
              <w:rPr>
                <w:rFonts w:ascii="Noto Sans CJK SC" w:hAnsi="Noto Sans CJK SC" w:eastAsia="Noto Sans CJK SC"/>
                <w:b w:val="0"/>
                <w:sz w:val="16"/>
              </w:rPr>
              <w:t>带宽</w:t>
            </w:r>
          </w:p>
        </w:tc>
        <w:tc>
          <w:tcPr>
            <w:tcW w:w="1984" w:type="dxa"/>
            <w:vAlign w:val="top"/>
          </w:tcPr>
          <w:p w14:paraId="1BC5DA66">
            <w:pPr>
              <w:spacing w:after="0" w:line="252" w:lineRule="auto"/>
            </w:pPr>
            <w:r>
              <w:rPr>
                <w:rFonts w:ascii="Noto Sans CJK SC" w:hAnsi="Noto Sans CJK SC" w:eastAsia="Noto Sans CJK SC"/>
                <w:b w:val="0"/>
                <w:sz w:val="16"/>
              </w:rPr>
              <w:t>50 MHz</w:t>
            </w:r>
          </w:p>
        </w:tc>
        <w:tc>
          <w:tcPr>
            <w:tcW w:w="2721" w:type="dxa"/>
            <w:vAlign w:val="top"/>
          </w:tcPr>
          <w:p w14:paraId="44C66398">
            <w:pPr>
              <w:spacing w:after="0" w:line="252" w:lineRule="auto"/>
            </w:pPr>
            <w:r>
              <w:rPr>
                <w:rFonts w:ascii="Noto Sans CJK SC" w:hAnsi="Noto Sans CJK SC" w:eastAsia="Noto Sans CJK SC"/>
                <w:b w:val="0"/>
                <w:sz w:val="16"/>
              </w:rPr>
              <w:t>50 MHz</w:t>
            </w:r>
          </w:p>
        </w:tc>
        <w:tc>
          <w:tcPr>
            <w:tcW w:w="2835" w:type="dxa"/>
            <w:vAlign w:val="top"/>
          </w:tcPr>
          <w:p w14:paraId="73CE9D6A">
            <w:pPr>
              <w:spacing w:after="0" w:line="252" w:lineRule="auto"/>
            </w:pPr>
            <w:r>
              <w:rPr>
                <w:rFonts w:ascii="Noto Sans CJK SC" w:hAnsi="Noto Sans CJK SC" w:eastAsia="Noto Sans CJK SC"/>
                <w:b w:val="0"/>
                <w:sz w:val="16"/>
              </w:rPr>
              <w:t>距离分辨能力基本保持</w:t>
            </w:r>
          </w:p>
        </w:tc>
      </w:tr>
      <w:tr w14:paraId="6C3A4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top"/>
          </w:tcPr>
          <w:p w14:paraId="60178EAD">
            <w:pPr>
              <w:spacing w:after="0" w:line="252" w:lineRule="auto"/>
            </w:pPr>
            <w:r>
              <w:rPr>
                <w:rFonts w:ascii="Noto Sans CJK SC" w:hAnsi="Noto Sans CJK SC" w:eastAsia="Noto Sans CJK SC"/>
                <w:b w:val="0"/>
                <w:sz w:val="16"/>
              </w:rPr>
              <w:t>DDC 后采样率</w:t>
            </w:r>
          </w:p>
        </w:tc>
        <w:tc>
          <w:tcPr>
            <w:tcW w:w="1984" w:type="dxa"/>
            <w:vAlign w:val="top"/>
          </w:tcPr>
          <w:p w14:paraId="41635778">
            <w:pPr>
              <w:spacing w:after="0" w:line="252" w:lineRule="auto"/>
            </w:pPr>
            <w:r>
              <w:rPr>
                <w:rFonts w:ascii="Noto Sans CJK SC" w:hAnsi="Noto Sans CJK SC" w:eastAsia="Noto Sans CJK SC"/>
                <w:b w:val="0"/>
                <w:sz w:val="16"/>
              </w:rPr>
              <w:t>75 MHz</w:t>
            </w:r>
          </w:p>
        </w:tc>
        <w:tc>
          <w:tcPr>
            <w:tcW w:w="2721" w:type="dxa"/>
            <w:vAlign w:val="top"/>
          </w:tcPr>
          <w:p w14:paraId="6BDB619B">
            <w:pPr>
              <w:spacing w:after="0" w:line="252" w:lineRule="auto"/>
            </w:pPr>
            <w:r>
              <w:rPr>
                <w:rFonts w:ascii="Noto Sans CJK SC" w:hAnsi="Noto Sans CJK SC" w:eastAsia="Noto Sans CJK SC"/>
                <w:b w:val="0"/>
                <w:sz w:val="16"/>
              </w:rPr>
              <w:t>60 MHz</w:t>
            </w:r>
          </w:p>
        </w:tc>
        <w:tc>
          <w:tcPr>
            <w:tcW w:w="2835" w:type="dxa"/>
            <w:vAlign w:val="top"/>
          </w:tcPr>
          <w:p w14:paraId="1D30D00F">
            <w:pPr>
              <w:spacing w:after="0" w:line="252" w:lineRule="auto"/>
            </w:pPr>
            <w:r>
              <w:rPr>
                <w:rFonts w:ascii="Noto Sans CJK SC" w:hAnsi="Noto Sans CJK SC" w:eastAsia="Noto Sans CJK SC"/>
                <w:b w:val="0"/>
                <w:sz w:val="16"/>
              </w:rPr>
              <w:t>距离采样间隔改变</w:t>
            </w:r>
          </w:p>
        </w:tc>
      </w:tr>
      <w:tr w14:paraId="202F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vAlign w:val="top"/>
          </w:tcPr>
          <w:p w14:paraId="4E68BBE2">
            <w:pPr>
              <w:spacing w:after="0" w:line="252" w:lineRule="auto"/>
            </w:pPr>
            <w:r>
              <w:rPr>
                <w:rFonts w:ascii="Noto Sans CJK SC" w:hAnsi="Noto Sans CJK SC" w:eastAsia="Noto Sans CJK SC"/>
                <w:b w:val="0"/>
                <w:sz w:val="16"/>
              </w:rPr>
              <w:t>信号脉宽</w:t>
            </w:r>
          </w:p>
        </w:tc>
        <w:tc>
          <w:tcPr>
            <w:tcW w:w="1984" w:type="dxa"/>
            <w:vAlign w:val="top"/>
          </w:tcPr>
          <w:p w14:paraId="52BF52C9">
            <w:pPr>
              <w:spacing w:after="0" w:line="252" w:lineRule="auto"/>
            </w:pPr>
            <w:r>
              <w:rPr>
                <w:rFonts w:ascii="Noto Sans CJK SC" w:hAnsi="Noto Sans CJK SC" w:eastAsia="Noto Sans CJK SC"/>
                <w:b w:val="0"/>
                <w:sz w:val="16"/>
              </w:rPr>
              <w:t>38 μs</w:t>
            </w:r>
          </w:p>
        </w:tc>
        <w:tc>
          <w:tcPr>
            <w:tcW w:w="2721" w:type="dxa"/>
            <w:vAlign w:val="top"/>
          </w:tcPr>
          <w:p w14:paraId="15844F63">
            <w:pPr>
              <w:spacing w:after="0" w:line="252" w:lineRule="auto"/>
            </w:pPr>
            <w:r>
              <w:rPr>
                <w:rFonts w:ascii="Noto Sans CJK SC" w:hAnsi="Noto Sans CJK SC" w:eastAsia="Noto Sans CJK SC"/>
                <w:b w:val="0"/>
                <w:sz w:val="16"/>
              </w:rPr>
              <w:t>130 μs</w:t>
            </w:r>
          </w:p>
        </w:tc>
        <w:tc>
          <w:tcPr>
            <w:tcW w:w="2835" w:type="dxa"/>
            <w:vAlign w:val="top"/>
          </w:tcPr>
          <w:p w14:paraId="74485BD1">
            <w:pPr>
              <w:spacing w:after="0" w:line="252" w:lineRule="auto"/>
            </w:pPr>
            <w:r>
              <w:rPr>
                <w:rFonts w:ascii="Noto Sans CJK SC" w:hAnsi="Noto Sans CJK SC" w:eastAsia="Noto Sans CJK SC"/>
                <w:b w:val="0"/>
                <w:sz w:val="16"/>
              </w:rPr>
              <w:t>匹配滤波参考信号改变</w:t>
            </w:r>
          </w:p>
        </w:tc>
      </w:tr>
      <w:tr w14:paraId="0EDE0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top"/>
          </w:tcPr>
          <w:p w14:paraId="3344EA1C">
            <w:pPr>
              <w:spacing w:after="0" w:line="252" w:lineRule="auto"/>
            </w:pPr>
            <w:r>
              <w:rPr>
                <w:rFonts w:ascii="Noto Sans CJK SC" w:hAnsi="Noto Sans CJK SC" w:eastAsia="Noto Sans CJK SC"/>
                <w:b w:val="0"/>
                <w:sz w:val="16"/>
              </w:rPr>
              <w:t>采样延迟</w:t>
            </w:r>
          </w:p>
        </w:tc>
        <w:tc>
          <w:tcPr>
            <w:tcW w:w="1984" w:type="dxa"/>
            <w:vAlign w:val="top"/>
          </w:tcPr>
          <w:p w14:paraId="3FEF7E0B">
            <w:pPr>
              <w:spacing w:after="0" w:line="252" w:lineRule="auto"/>
            </w:pPr>
            <w:r>
              <w:rPr>
                <w:rFonts w:ascii="Noto Sans CJK SC" w:hAnsi="Noto Sans CJK SC" w:eastAsia="Noto Sans CJK SC"/>
                <w:b w:val="0"/>
                <w:sz w:val="16"/>
              </w:rPr>
              <w:t>约 93 μs</w:t>
            </w:r>
          </w:p>
        </w:tc>
        <w:tc>
          <w:tcPr>
            <w:tcW w:w="2721" w:type="dxa"/>
            <w:vAlign w:val="top"/>
          </w:tcPr>
          <w:p w14:paraId="0B6BB1A9">
            <w:pPr>
              <w:spacing w:after="0" w:line="252" w:lineRule="auto"/>
            </w:pPr>
            <w:r>
              <w:rPr>
                <w:rFonts w:ascii="Noto Sans CJK SC" w:hAnsi="Noto Sans CJK SC" w:eastAsia="Noto Sans CJK SC"/>
                <w:b w:val="0"/>
                <w:sz w:val="16"/>
              </w:rPr>
              <w:t>488 μs</w:t>
            </w:r>
          </w:p>
        </w:tc>
        <w:tc>
          <w:tcPr>
            <w:tcW w:w="2835" w:type="dxa"/>
            <w:vAlign w:val="top"/>
          </w:tcPr>
          <w:p w14:paraId="60B34B62">
            <w:pPr>
              <w:spacing w:after="0" w:line="252" w:lineRule="auto"/>
            </w:pPr>
            <w:r>
              <w:rPr>
                <w:rFonts w:ascii="Noto Sans CJK SC" w:hAnsi="Noto Sans CJK SC" w:eastAsia="Noto Sans CJK SC"/>
                <w:b w:val="0"/>
                <w:sz w:val="16"/>
              </w:rPr>
              <w:t>对应约 73.2 km 起始距离</w:t>
            </w:r>
          </w:p>
        </w:tc>
      </w:tr>
      <w:tr w14:paraId="3A25F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top"/>
          </w:tcPr>
          <w:p w14:paraId="3955DE10">
            <w:pPr>
              <w:spacing w:after="0" w:line="252" w:lineRule="auto"/>
            </w:pPr>
            <w:r>
              <w:rPr>
                <w:rFonts w:ascii="Noto Sans CJK SC" w:hAnsi="Noto Sans CJK SC" w:eastAsia="Noto Sans CJK SC"/>
                <w:b w:val="0"/>
                <w:sz w:val="16"/>
              </w:rPr>
              <w:t>采样窗口长度</w:t>
            </w:r>
          </w:p>
        </w:tc>
        <w:tc>
          <w:tcPr>
            <w:tcW w:w="1984" w:type="dxa"/>
            <w:vAlign w:val="top"/>
          </w:tcPr>
          <w:p w14:paraId="3477A9F7">
            <w:pPr>
              <w:spacing w:after="0" w:line="252" w:lineRule="auto"/>
            </w:pPr>
            <w:r>
              <w:rPr>
                <w:rFonts w:ascii="Noto Sans CJK SC" w:hAnsi="Noto Sans CJK SC" w:eastAsia="Noto Sans CJK SC"/>
                <w:b w:val="0"/>
                <w:sz w:val="16"/>
              </w:rPr>
              <w:t>约 54.6 μs</w:t>
            </w:r>
          </w:p>
        </w:tc>
        <w:tc>
          <w:tcPr>
            <w:tcW w:w="2721" w:type="dxa"/>
            <w:vAlign w:val="top"/>
          </w:tcPr>
          <w:p w14:paraId="66DCF74C">
            <w:pPr>
              <w:spacing w:after="0" w:line="252" w:lineRule="auto"/>
            </w:pPr>
            <w:r>
              <w:rPr>
                <w:rFonts w:ascii="Noto Sans CJK SC" w:hAnsi="Noto Sans CJK SC" w:eastAsia="Noto Sans CJK SC"/>
                <w:b w:val="0"/>
                <w:sz w:val="16"/>
              </w:rPr>
              <w:t>197 μs</w:t>
            </w:r>
          </w:p>
        </w:tc>
        <w:tc>
          <w:tcPr>
            <w:tcW w:w="2835" w:type="dxa"/>
            <w:vAlign w:val="top"/>
          </w:tcPr>
          <w:p w14:paraId="415A9116">
            <w:pPr>
              <w:spacing w:after="0" w:line="252" w:lineRule="auto"/>
            </w:pPr>
            <w:r>
              <w:rPr>
                <w:rFonts w:ascii="Noto Sans CJK SC" w:hAnsi="Noto Sans CJK SC" w:eastAsia="Noto Sans CJK SC"/>
                <w:b w:val="0"/>
                <w:sz w:val="16"/>
              </w:rPr>
              <w:t>60 MHz × 197 μs = 11820 点</w:t>
            </w:r>
          </w:p>
        </w:tc>
      </w:tr>
      <w:tr w14:paraId="15F18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top"/>
          </w:tcPr>
          <w:p w14:paraId="210878F5">
            <w:pPr>
              <w:spacing w:after="0" w:line="252" w:lineRule="auto"/>
            </w:pPr>
            <w:r>
              <w:rPr>
                <w:rFonts w:ascii="Noto Sans CJK SC" w:hAnsi="Noto Sans CJK SC" w:eastAsia="Noto Sans CJK SC"/>
                <w:b w:val="0"/>
                <w:sz w:val="16"/>
              </w:rPr>
              <w:t>作用距离</w:t>
            </w:r>
          </w:p>
        </w:tc>
        <w:tc>
          <w:tcPr>
            <w:tcW w:w="1984" w:type="dxa"/>
            <w:vAlign w:val="top"/>
          </w:tcPr>
          <w:p w14:paraId="257C7781">
            <w:pPr>
              <w:spacing w:after="0" w:line="252" w:lineRule="auto"/>
            </w:pPr>
            <w:r>
              <w:rPr>
                <w:rFonts w:ascii="Noto Sans CJK SC" w:hAnsi="Noto Sans CJK SC" w:eastAsia="Noto Sans CJK SC"/>
                <w:b w:val="0"/>
                <w:sz w:val="16"/>
              </w:rPr>
              <w:t>约 14 km</w:t>
            </w:r>
          </w:p>
        </w:tc>
        <w:tc>
          <w:tcPr>
            <w:tcW w:w="2721" w:type="dxa"/>
            <w:vAlign w:val="top"/>
          </w:tcPr>
          <w:p w14:paraId="6AEEEF59">
            <w:pPr>
              <w:spacing w:after="0" w:line="252" w:lineRule="auto"/>
            </w:pPr>
            <w:r>
              <w:rPr>
                <w:rFonts w:ascii="Noto Sans CJK SC" w:hAnsi="Noto Sans CJK SC" w:eastAsia="Noto Sans CJK SC"/>
                <w:b w:val="0"/>
                <w:sz w:val="16"/>
              </w:rPr>
              <w:t>83 km</w:t>
            </w:r>
          </w:p>
        </w:tc>
        <w:tc>
          <w:tcPr>
            <w:tcW w:w="2835" w:type="dxa"/>
            <w:vAlign w:val="top"/>
          </w:tcPr>
          <w:p w14:paraId="3CDDD470">
            <w:pPr>
              <w:spacing w:after="0" w:line="252" w:lineRule="auto"/>
            </w:pPr>
            <w:r>
              <w:rPr>
                <w:rFonts w:ascii="Noto Sans CJK SC" w:hAnsi="Noto Sans CJK SC" w:eastAsia="Noto Sans CJK SC"/>
                <w:b w:val="0"/>
                <w:sz w:val="16"/>
              </w:rPr>
              <w:t>脉压截取窗口近端约 82.8 km</w:t>
            </w:r>
          </w:p>
        </w:tc>
      </w:tr>
    </w:tbl>
    <w:p w14:paraId="6E98284C"/>
    <w:p w14:paraId="69272972">
      <w:pPr>
        <w:spacing w:after="100" w:line="300" w:lineRule="auto"/>
      </w:pPr>
      <w:r>
        <w:rPr>
          <w:rFonts w:ascii="Noto Sans CJK SC" w:hAnsi="Noto Sans CJK SC" w:eastAsia="Noto Sans CJK SC"/>
          <w:sz w:val="21"/>
        </w:rPr>
        <w:t>新系统若按 61 个波位、每波位 130 脉冲、PRF 为 1300 Hz 计算，单周期采集时间为 61×130/1300=6.1 s。按照处理时间不超过采集时间 80% 的要求，单周期处理时间阈值为 4.88 s；若工程指标仍按 6 s 和 4.8 s 执行，则可将 4.8 s 作为更严格的考核门限。</w:t>
      </w:r>
    </w:p>
    <w:p w14:paraId="0E30B898">
      <w:pPr>
        <w:pStyle w:val="3"/>
      </w:pPr>
      <w:r>
        <w:t>四、三级数据集总体路线</w:t>
      </w:r>
    </w:p>
    <w:p w14:paraId="18BC8754">
      <w:pPr>
        <w:spacing w:after="100" w:line="300" w:lineRule="auto"/>
      </w:pPr>
      <w:r>
        <w:rPr>
          <w:rFonts w:ascii="Noto Sans CJK SC" w:hAnsi="Noto Sans CJK SC" w:eastAsia="Noto Sans CJK SC"/>
          <w:sz w:val="21"/>
        </w:rPr>
        <w:t>本方案构建从低到高的三级验证体系：第一阶段解决“数据能接入、GMTI 能检测跟踪”的工程问题；第二阶段解决“数据严格符合新系统参数”的自洽问题；第三阶段解决“背景尽量接近真实地物空间结构”的物理逼近问题。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1697"/>
        <w:gridCol w:w="1813"/>
        <w:gridCol w:w="2064"/>
        <w:gridCol w:w="1363"/>
        <w:gridCol w:w="2081"/>
      </w:tblGrid>
      <w:tr w14:paraId="000D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0" w:type="dxa"/>
            <w:shd w:val="clear" w:color="auto" w:fill="1F4E79"/>
            <w:vAlign w:val="center"/>
          </w:tcPr>
          <w:p w14:paraId="2E6838D9">
            <w:pPr>
              <w:spacing w:after="0" w:line="252" w:lineRule="auto"/>
            </w:pPr>
            <w:r>
              <w:rPr>
                <w:rFonts w:ascii="Noto Sans CJK SC" w:hAnsi="Noto Sans CJK SC" w:eastAsia="Noto Sans CJK SC"/>
                <w:b/>
                <w:color w:val="FFFFFF"/>
                <w:sz w:val="15"/>
              </w:rPr>
              <w:t>阶段</w:t>
            </w:r>
          </w:p>
        </w:tc>
        <w:tc>
          <w:tcPr>
            <w:tcW w:w="1871" w:type="dxa"/>
            <w:shd w:val="clear" w:color="auto" w:fill="1F4E79"/>
            <w:vAlign w:val="center"/>
          </w:tcPr>
          <w:p w14:paraId="5048A104">
            <w:pPr>
              <w:spacing w:after="0" w:line="252" w:lineRule="auto"/>
            </w:pPr>
            <w:r>
              <w:rPr>
                <w:rFonts w:ascii="Noto Sans CJK SC" w:hAnsi="Noto Sans CJK SC" w:eastAsia="Noto Sans CJK SC"/>
                <w:b/>
                <w:color w:val="FFFFFF"/>
                <w:sz w:val="15"/>
              </w:rPr>
              <w:t>数据类型</w:t>
            </w:r>
          </w:p>
        </w:tc>
        <w:tc>
          <w:tcPr>
            <w:tcW w:w="1984" w:type="dxa"/>
            <w:shd w:val="clear" w:color="auto" w:fill="1F4E79"/>
            <w:vAlign w:val="center"/>
          </w:tcPr>
          <w:p w14:paraId="5E7DD7A0">
            <w:pPr>
              <w:spacing w:after="0" w:line="252" w:lineRule="auto"/>
            </w:pPr>
            <w:r>
              <w:rPr>
                <w:rFonts w:ascii="Noto Sans CJK SC" w:hAnsi="Noto Sans CJK SC" w:eastAsia="Noto Sans CJK SC"/>
                <w:b/>
                <w:color w:val="FFFFFF"/>
                <w:sz w:val="15"/>
              </w:rPr>
              <w:t>背景来源</w:t>
            </w:r>
          </w:p>
        </w:tc>
        <w:tc>
          <w:tcPr>
            <w:tcW w:w="2268" w:type="dxa"/>
            <w:shd w:val="clear" w:color="auto" w:fill="1F4E79"/>
            <w:vAlign w:val="center"/>
          </w:tcPr>
          <w:p w14:paraId="7CEBD8C8">
            <w:pPr>
              <w:spacing w:after="0" w:line="252" w:lineRule="auto"/>
            </w:pPr>
            <w:r>
              <w:rPr>
                <w:rFonts w:ascii="Noto Sans CJK SC" w:hAnsi="Noto Sans CJK SC" w:eastAsia="Noto Sans CJK SC"/>
                <w:b/>
                <w:color w:val="FFFFFF"/>
                <w:sz w:val="15"/>
              </w:rPr>
              <w:t>是否符合新系统参数</w:t>
            </w:r>
          </w:p>
        </w:tc>
        <w:tc>
          <w:tcPr>
            <w:tcW w:w="1474" w:type="dxa"/>
            <w:shd w:val="clear" w:color="auto" w:fill="1F4E79"/>
            <w:vAlign w:val="center"/>
          </w:tcPr>
          <w:p w14:paraId="59D7AB4D">
            <w:pPr>
              <w:spacing w:after="0" w:line="252" w:lineRule="auto"/>
            </w:pPr>
            <w:r>
              <w:rPr>
                <w:rFonts w:ascii="Noto Sans CJK SC" w:hAnsi="Noto Sans CJK SC" w:eastAsia="Noto Sans CJK SC"/>
                <w:b/>
                <w:color w:val="FFFFFF"/>
                <w:sz w:val="15"/>
              </w:rPr>
              <w:t>DBS 图像可信度</w:t>
            </w:r>
          </w:p>
        </w:tc>
        <w:tc>
          <w:tcPr>
            <w:tcW w:w="2268" w:type="dxa"/>
            <w:shd w:val="clear" w:color="auto" w:fill="1F4E79"/>
            <w:vAlign w:val="center"/>
          </w:tcPr>
          <w:p w14:paraId="2C0745D6">
            <w:pPr>
              <w:spacing w:after="0" w:line="252" w:lineRule="auto"/>
            </w:pPr>
            <w:r>
              <w:rPr>
                <w:rFonts w:ascii="Noto Sans CJK SC" w:hAnsi="Noto Sans CJK SC" w:eastAsia="Noto Sans CJK SC"/>
                <w:b/>
                <w:color w:val="FFFFFF"/>
                <w:sz w:val="15"/>
              </w:rPr>
              <w:t>主要用途</w:t>
            </w:r>
          </w:p>
        </w:tc>
      </w:tr>
      <w:tr w14:paraId="2658D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top"/>
          </w:tcPr>
          <w:p w14:paraId="56BC765C">
            <w:pPr>
              <w:spacing w:after="0" w:line="252" w:lineRule="auto"/>
            </w:pPr>
            <w:r>
              <w:rPr>
                <w:rFonts w:ascii="Noto Sans CJK SC" w:hAnsi="Noto Sans CJK SC" w:eastAsia="Noto Sans CJK SC"/>
                <w:b w:val="0"/>
                <w:sz w:val="15"/>
              </w:rPr>
              <w:t>阶段一</w:t>
            </w:r>
          </w:p>
        </w:tc>
        <w:tc>
          <w:tcPr>
            <w:tcW w:w="1871" w:type="dxa"/>
            <w:vAlign w:val="top"/>
          </w:tcPr>
          <w:p w14:paraId="74F7802E">
            <w:pPr>
              <w:spacing w:after="0" w:line="252" w:lineRule="auto"/>
            </w:pPr>
            <w:r>
              <w:rPr>
                <w:rFonts w:ascii="Noto Sans CJK SC" w:hAnsi="Noto Sans CJK SC" w:eastAsia="Noto Sans CJK SC"/>
                <w:b w:val="0"/>
                <w:sz w:val="15"/>
              </w:rPr>
              <w:t>实测 IQ 复用型工程验证数据</w:t>
            </w:r>
          </w:p>
        </w:tc>
        <w:tc>
          <w:tcPr>
            <w:tcW w:w="1984" w:type="dxa"/>
            <w:vAlign w:val="top"/>
          </w:tcPr>
          <w:p w14:paraId="56721AF6">
            <w:pPr>
              <w:spacing w:after="0" w:line="252" w:lineRule="auto"/>
            </w:pPr>
            <w:r>
              <w:rPr>
                <w:rFonts w:ascii="Noto Sans CJK SC" w:hAnsi="Noto Sans CJK SC" w:eastAsia="Noto Sans CJK SC"/>
                <w:b w:val="0"/>
                <w:sz w:val="15"/>
              </w:rPr>
              <w:t>旧实测 IQ 镜像/复制/插值</w:t>
            </w:r>
          </w:p>
        </w:tc>
        <w:tc>
          <w:tcPr>
            <w:tcW w:w="2268" w:type="dxa"/>
            <w:vAlign w:val="top"/>
          </w:tcPr>
          <w:p w14:paraId="728D006A">
            <w:pPr>
              <w:spacing w:after="0" w:line="252" w:lineRule="auto"/>
            </w:pPr>
            <w:r>
              <w:rPr>
                <w:rFonts w:ascii="Noto Sans CJK SC" w:hAnsi="Noto Sans CJK SC" w:eastAsia="Noto Sans CJK SC"/>
                <w:b w:val="0"/>
                <w:sz w:val="15"/>
              </w:rPr>
              <w:t>数据格式符合；背景相位不严格符合</w:t>
            </w:r>
          </w:p>
        </w:tc>
        <w:tc>
          <w:tcPr>
            <w:tcW w:w="1474" w:type="dxa"/>
            <w:vAlign w:val="top"/>
          </w:tcPr>
          <w:p w14:paraId="335D3E4E">
            <w:pPr>
              <w:spacing w:after="0" w:line="252" w:lineRule="auto"/>
            </w:pPr>
            <w:r>
              <w:rPr>
                <w:rFonts w:ascii="Noto Sans CJK SC" w:hAnsi="Noto Sans CJK SC" w:eastAsia="Noto Sans CJK SC"/>
                <w:b w:val="0"/>
                <w:sz w:val="15"/>
              </w:rPr>
              <w:t>不作为主要验收指标</w:t>
            </w:r>
          </w:p>
        </w:tc>
        <w:tc>
          <w:tcPr>
            <w:tcW w:w="2268" w:type="dxa"/>
            <w:vAlign w:val="top"/>
          </w:tcPr>
          <w:p w14:paraId="48CA1D96">
            <w:pPr>
              <w:spacing w:after="0" w:line="252" w:lineRule="auto"/>
            </w:pPr>
            <w:r>
              <w:rPr>
                <w:rFonts w:ascii="Noto Sans CJK SC" w:hAnsi="Noto Sans CJK SC" w:eastAsia="Noto Sans CJK SC"/>
                <w:b w:val="0"/>
                <w:sz w:val="15"/>
              </w:rPr>
              <w:t>工程链路、合作目标检测定位、航迹关联、实时性</w:t>
            </w:r>
          </w:p>
        </w:tc>
      </w:tr>
      <w:tr w14:paraId="6906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top"/>
          </w:tcPr>
          <w:p w14:paraId="24D57BD5">
            <w:pPr>
              <w:spacing w:after="0" w:line="252" w:lineRule="auto"/>
            </w:pPr>
            <w:r>
              <w:rPr>
                <w:rFonts w:ascii="Noto Sans CJK SC" w:hAnsi="Noto Sans CJK SC" w:eastAsia="Noto Sans CJK SC"/>
                <w:b w:val="0"/>
                <w:sz w:val="15"/>
              </w:rPr>
              <w:t>阶段二</w:t>
            </w:r>
          </w:p>
        </w:tc>
        <w:tc>
          <w:tcPr>
            <w:tcW w:w="1871" w:type="dxa"/>
            <w:vAlign w:val="top"/>
          </w:tcPr>
          <w:p w14:paraId="529B3055">
            <w:pPr>
              <w:spacing w:after="0" w:line="252" w:lineRule="auto"/>
            </w:pPr>
            <w:r>
              <w:rPr>
                <w:rFonts w:ascii="Noto Sans CJK SC" w:hAnsi="Noto Sans CJK SC" w:eastAsia="Noto Sans CJK SC"/>
                <w:b w:val="0"/>
                <w:sz w:val="15"/>
              </w:rPr>
              <w:t>统计杂波纯仿真数据</w:t>
            </w:r>
          </w:p>
        </w:tc>
        <w:tc>
          <w:tcPr>
            <w:tcW w:w="1984" w:type="dxa"/>
            <w:vAlign w:val="top"/>
          </w:tcPr>
          <w:p w14:paraId="552038A7">
            <w:pPr>
              <w:spacing w:after="0" w:line="252" w:lineRule="auto"/>
            </w:pPr>
            <w:r>
              <w:rPr>
                <w:rFonts w:ascii="Noto Sans CJK SC" w:hAnsi="Noto Sans CJK SC" w:eastAsia="Noto Sans CJK SC"/>
                <w:b w:val="0"/>
                <w:sz w:val="15"/>
              </w:rPr>
              <w:t>统计杂波、强散射点、线状散射体、热噪声</w:t>
            </w:r>
          </w:p>
        </w:tc>
        <w:tc>
          <w:tcPr>
            <w:tcW w:w="2268" w:type="dxa"/>
            <w:vAlign w:val="top"/>
          </w:tcPr>
          <w:p w14:paraId="016EB140">
            <w:pPr>
              <w:spacing w:after="0" w:line="252" w:lineRule="auto"/>
            </w:pPr>
            <w:r>
              <w:rPr>
                <w:rFonts w:ascii="Noto Sans CJK SC" w:hAnsi="Noto Sans CJK SC" w:eastAsia="Noto Sans CJK SC"/>
                <w:b w:val="0"/>
                <w:sz w:val="15"/>
              </w:rPr>
              <w:t>符合新系统载频、脉宽、采样率、采样延迟、PRF 和波位角</w:t>
            </w:r>
          </w:p>
        </w:tc>
        <w:tc>
          <w:tcPr>
            <w:tcW w:w="1474" w:type="dxa"/>
            <w:vAlign w:val="top"/>
          </w:tcPr>
          <w:p w14:paraId="6268BEB2">
            <w:pPr>
              <w:spacing w:after="0" w:line="252" w:lineRule="auto"/>
            </w:pPr>
            <w:r>
              <w:rPr>
                <w:rFonts w:ascii="Noto Sans CJK SC" w:hAnsi="Noto Sans CJK SC" w:eastAsia="Noto Sans CJK SC"/>
                <w:b w:val="0"/>
                <w:sz w:val="15"/>
              </w:rPr>
              <w:t>几何自洽但真实纹理有限</w:t>
            </w:r>
          </w:p>
        </w:tc>
        <w:tc>
          <w:tcPr>
            <w:tcW w:w="2268" w:type="dxa"/>
            <w:vAlign w:val="top"/>
          </w:tcPr>
          <w:p w14:paraId="121F12AE">
            <w:pPr>
              <w:spacing w:after="0" w:line="252" w:lineRule="auto"/>
            </w:pPr>
            <w:r>
              <w:rPr>
                <w:rFonts w:ascii="Noto Sans CJK SC" w:hAnsi="Noto Sans CJK SC" w:eastAsia="Noto Sans CJK SC"/>
                <w:b w:val="0"/>
                <w:sz w:val="15"/>
              </w:rPr>
              <w:t>检测率、虚警率、速度估计、航迹稳定性、参数敏感性</w:t>
            </w:r>
          </w:p>
        </w:tc>
      </w:tr>
      <w:tr w14:paraId="55A3A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20" w:type="dxa"/>
            <w:vAlign w:val="top"/>
          </w:tcPr>
          <w:p w14:paraId="1DD985B3">
            <w:pPr>
              <w:spacing w:after="0" w:line="252" w:lineRule="auto"/>
            </w:pPr>
            <w:r>
              <w:rPr>
                <w:rFonts w:ascii="Noto Sans CJK SC" w:hAnsi="Noto Sans CJK SC" w:eastAsia="Noto Sans CJK SC"/>
                <w:b w:val="0"/>
                <w:sz w:val="15"/>
              </w:rPr>
              <w:t>阶段三</w:t>
            </w:r>
          </w:p>
        </w:tc>
        <w:tc>
          <w:tcPr>
            <w:tcW w:w="1871" w:type="dxa"/>
            <w:vAlign w:val="top"/>
          </w:tcPr>
          <w:p w14:paraId="2D5BAF0F">
            <w:pPr>
              <w:spacing w:after="0" w:line="252" w:lineRule="auto"/>
            </w:pPr>
            <w:r>
              <w:rPr>
                <w:rFonts w:ascii="Noto Sans CJK SC" w:hAnsi="Noto Sans CJK SC" w:eastAsia="Noto Sans CJK SC"/>
                <w:b w:val="0"/>
                <w:sz w:val="15"/>
              </w:rPr>
              <w:t>场景反演与物理正演数据</w:t>
            </w:r>
          </w:p>
        </w:tc>
        <w:tc>
          <w:tcPr>
            <w:tcW w:w="1984" w:type="dxa"/>
            <w:vAlign w:val="top"/>
          </w:tcPr>
          <w:p w14:paraId="11367CE8">
            <w:pPr>
              <w:spacing w:after="0" w:line="252" w:lineRule="auto"/>
            </w:pPr>
            <w:r>
              <w:rPr>
                <w:rFonts w:ascii="Noto Sans CJK SC" w:hAnsi="Noto Sans CJK SC" w:eastAsia="Noto Sans CJK SC"/>
                <w:b w:val="0"/>
                <w:sz w:val="15"/>
              </w:rPr>
              <w:t>DBS 图像、角点映射、地理散射点和实测统计特征</w:t>
            </w:r>
          </w:p>
        </w:tc>
        <w:tc>
          <w:tcPr>
            <w:tcW w:w="2268" w:type="dxa"/>
            <w:vAlign w:val="top"/>
          </w:tcPr>
          <w:p w14:paraId="2179451B">
            <w:pPr>
              <w:spacing w:after="0" w:line="252" w:lineRule="auto"/>
            </w:pPr>
            <w:r>
              <w:rPr>
                <w:rFonts w:ascii="Noto Sans CJK SC" w:hAnsi="Noto Sans CJK SC" w:eastAsia="Noto Sans CJK SC"/>
                <w:b w:val="0"/>
                <w:sz w:val="15"/>
              </w:rPr>
              <w:t>更符合新系统几何和回波体制</w:t>
            </w:r>
          </w:p>
        </w:tc>
        <w:tc>
          <w:tcPr>
            <w:tcW w:w="1474" w:type="dxa"/>
            <w:vAlign w:val="top"/>
          </w:tcPr>
          <w:p w14:paraId="0B32D246">
            <w:pPr>
              <w:spacing w:after="0" w:line="252" w:lineRule="auto"/>
            </w:pPr>
            <w:r>
              <w:rPr>
                <w:rFonts w:ascii="Noto Sans CJK SC" w:hAnsi="Noto Sans CJK SC" w:eastAsia="Noto Sans CJK SC"/>
                <w:b w:val="0"/>
                <w:sz w:val="15"/>
              </w:rPr>
              <w:t>相对可信</w:t>
            </w:r>
          </w:p>
        </w:tc>
        <w:tc>
          <w:tcPr>
            <w:tcW w:w="2268" w:type="dxa"/>
            <w:vAlign w:val="top"/>
          </w:tcPr>
          <w:p w14:paraId="0B14E94A">
            <w:pPr>
              <w:spacing w:after="0" w:line="252" w:lineRule="auto"/>
            </w:pPr>
            <w:r>
              <w:rPr>
                <w:rFonts w:ascii="Noto Sans CJK SC" w:hAnsi="Noto Sans CJK SC" w:eastAsia="Noto Sans CJK SC"/>
                <w:b w:val="0"/>
                <w:sz w:val="15"/>
              </w:rPr>
              <w:t>宽角 DBS、波位拼接、边缘畸变、复杂背景下 GMTI 验证</w:t>
            </w:r>
          </w:p>
        </w:tc>
      </w:tr>
    </w:tbl>
    <w:p w14:paraId="573FC1A6"/>
    <w:p w14:paraId="544C7D04">
      <w:pPr>
        <w:pStyle w:val="3"/>
      </w:pPr>
      <w:r>
        <w:t>五、阶段一：实测 IQ 复用型工程验证数据</w:t>
      </w:r>
    </w:p>
    <w:p w14:paraId="1E1C6D87">
      <w:pPr>
        <w:pStyle w:val="4"/>
      </w:pPr>
      <w:r>
        <w:t>5.1 阶段目标</w:t>
      </w:r>
    </w:p>
    <w:p w14:paraId="24A3A8C8">
      <w:pPr>
        <w:spacing w:after="100" w:line="300" w:lineRule="auto"/>
      </w:pPr>
      <w:r>
        <w:rPr>
          <w:rFonts w:ascii="Noto Sans CJK SC" w:hAnsi="Noto Sans CJK SC" w:eastAsia="Noto Sans CJK SC"/>
          <w:sz w:val="21"/>
        </w:rPr>
        <w:t>阶段一保持当前复制 IQ 的技术路线，即利用旧实测数据的真实噪声、虚警、杂波纹理和复杂非理想因素，通过波位镜像复制、慢时间重采样和距离向长度扩展，生成新算法可读取的 61 波位 DDC 数据。该阶段的重点不是得到正确的宽角 DBS 图像，而是验证新格式数据的接入、GMTI 检测定位、合作目标注入、航迹关联和实时性。</w:t>
      </w:r>
    </w:p>
    <w:p w14:paraId="7B0A150D">
      <w:pPr>
        <w:pStyle w:val="16"/>
        <w:numPr>
          <w:ilvl w:val="0"/>
          <w:numId w:val="7"/>
        </w:numPr>
        <w:tabs>
          <w:tab w:val="clear" w:pos="420"/>
        </w:tabs>
        <w:spacing w:after="40" w:line="288" w:lineRule="auto"/>
        <w:ind w:left="845" w:leftChars="0" w:hanging="425" w:firstLineChars="0"/>
      </w:pPr>
      <w:r>
        <w:rPr>
          <w:rFonts w:ascii="Noto Sans CJK SC" w:hAnsi="Noto Sans CJK SC" w:eastAsia="Noto Sans CJK SC"/>
          <w:sz w:val="20"/>
        </w:rPr>
        <w:t>验证 61 波位 × 130 脉冲 × 11820 点双通道数据是否能被算法正确读取。</w:t>
      </w:r>
    </w:p>
    <w:p w14:paraId="12318AF8">
      <w:pPr>
        <w:pStyle w:val="16"/>
        <w:numPr>
          <w:ilvl w:val="0"/>
          <w:numId w:val="7"/>
        </w:numPr>
        <w:tabs>
          <w:tab w:val="clear" w:pos="420"/>
        </w:tabs>
        <w:spacing w:after="40" w:line="288" w:lineRule="auto"/>
        <w:ind w:left="845" w:leftChars="0" w:hanging="425" w:firstLineChars="0"/>
      </w:pPr>
      <w:r>
        <w:rPr>
          <w:rFonts w:ascii="Noto Sans CJK SC" w:hAnsi="Noto Sans CJK SC" w:eastAsia="Noto Sans CJK SC"/>
          <w:sz w:val="20"/>
        </w:rPr>
        <w:t>验证算法内部脉压、GMTI 检测、定位输出和航迹管理流程是否能够跑通。</w:t>
      </w:r>
    </w:p>
    <w:p w14:paraId="24C674E5">
      <w:pPr>
        <w:pStyle w:val="16"/>
        <w:numPr>
          <w:ilvl w:val="0"/>
          <w:numId w:val="7"/>
        </w:numPr>
        <w:tabs>
          <w:tab w:val="clear" w:pos="420"/>
        </w:tabs>
        <w:spacing w:after="40" w:line="288" w:lineRule="auto"/>
        <w:ind w:left="845" w:leftChars="0" w:hanging="425" w:firstLineChars="0"/>
      </w:pPr>
      <w:r>
        <w:rPr>
          <w:rFonts w:ascii="Noto Sans CJK SC" w:hAnsi="Noto Sans CJK SC" w:eastAsia="Noto Sans CJK SC"/>
          <w:sz w:val="20"/>
        </w:rPr>
        <w:t>在实测风格背景上注入合作运动目标，验证检测率、定位误差、速度估计和跨周期编号稳定性。</w:t>
      </w:r>
    </w:p>
    <w:p w14:paraId="23A993A1">
      <w:pPr>
        <w:pStyle w:val="16"/>
        <w:numPr>
          <w:ilvl w:val="0"/>
          <w:numId w:val="7"/>
        </w:numPr>
        <w:tabs>
          <w:tab w:val="clear" w:pos="420"/>
        </w:tabs>
        <w:spacing w:after="40" w:line="288" w:lineRule="auto"/>
        <w:ind w:left="845" w:leftChars="0" w:hanging="425" w:firstLineChars="0"/>
      </w:pPr>
      <w:r>
        <w:rPr>
          <w:rFonts w:ascii="Noto Sans CJK SC" w:hAnsi="Noto Sans CJK SC" w:eastAsia="Noto Sans CJK SC"/>
          <w:sz w:val="20"/>
        </w:rPr>
        <w:t>记录处理时间、I/O 压力、GPU/CPU 占用和实时性差距。</w:t>
      </w:r>
    </w:p>
    <w:p w14:paraId="55F936D1">
      <w:pPr>
        <w:pStyle w:val="4"/>
      </w:pPr>
      <w:r>
        <w:t>5.2 数据生成方法</w:t>
      </w:r>
    </w:p>
    <w:p w14:paraId="7FABFBCF">
      <w:pPr>
        <w:spacing w:after="100" w:line="300" w:lineRule="auto"/>
      </w:pPr>
      <w:r>
        <w:rPr>
          <w:rFonts w:ascii="Noto Sans CJK SC" w:hAnsi="Noto Sans CJK SC" w:eastAsia="Noto Sans CJK SC"/>
          <w:sz w:val="21"/>
        </w:rPr>
        <w:t>旧数据组织为 old_ch1[period][26][256][4096] 和 old_ch2[period][26][256][4096]，新数据组织为 new_ch1[period][61][130][11820] 和 new_ch2[period][61][130][11820]。波位外推采用镜像复制原则，不固定复制边界波位。旧覆盖范围内根据角度网格选择直接复制或插值，-60°～60° 网格通常需要插值，-59°～61° 调试网格在旧覆盖范围内可直接复制。</w:t>
      </w:r>
    </w:p>
    <w:p w14:paraId="08479495">
      <w:pPr>
        <w:spacing w:after="100" w:line="300" w:lineRule="auto"/>
      </w:pPr>
      <w:r>
        <w:rPr>
          <w:rFonts w:ascii="Noto Sans CJK SC" w:hAnsi="Noto Sans CJK SC" w:eastAsia="Noto Sans CJK SC"/>
          <w:sz w:val="21"/>
        </w:rPr>
        <w:t>脉冲数从 256 到 130 的重采样保留两种模式：物理慢时间模式作为默认方案，按照 t_new=m/PRF_new 映射到旧时间轴；归一化压缩模式作为对照方案，将旧 256 脉冲整体压缩为新 130 脉冲。距离向 4096 点到 11820 点采用 FFT 频域补零和 IFFT 的工程扩展方式，并记录其并非严格 38 μs 到 130 μs 物理变换。</w:t>
      </w:r>
    </w:p>
    <w:p w14:paraId="24F88940">
      <w:pPr>
        <w:pStyle w:val="4"/>
      </w:pPr>
      <w:r>
        <w:t>5.3 合作目标注入</w:t>
      </w:r>
    </w:p>
    <w:p w14:paraId="05375721">
      <w:pPr>
        <w:spacing w:after="100" w:line="300" w:lineRule="auto"/>
      </w:pPr>
      <w:r>
        <w:rPr>
          <w:rFonts w:ascii="Noto Sans CJK SC" w:hAnsi="Noto Sans CJK SC" w:eastAsia="Noto Sans CJK SC"/>
          <w:sz w:val="21"/>
        </w:rPr>
        <w:t>阶段一中的合作目标不能复制旧 IQ，而应按新系统时间轴、波位角、采样延迟、载频、脉宽和双通道相位差在 DDC 原始快时间域重新生成。这样即使背景不具备严格宽角几何，合作目标链路仍具有更好的物理一致性，可用于验证 GMTI 检测定位和目标跟踪。</w:t>
      </w:r>
    </w:p>
    <w:p w14:paraId="295D96DE">
      <w:pPr>
        <w:pStyle w:val="4"/>
      </w:pPr>
      <w:r>
        <w:t>5.4 验收标准与局限</w:t>
      </w:r>
    </w:p>
    <w:p w14:paraId="5B9E8000">
      <w:pPr>
        <w:pStyle w:val="16"/>
        <w:numPr>
          <w:ilvl w:val="0"/>
          <w:numId w:val="8"/>
        </w:numPr>
        <w:tabs>
          <w:tab w:val="clear" w:pos="420"/>
        </w:tabs>
        <w:spacing w:after="40" w:line="288" w:lineRule="auto"/>
        <w:ind w:left="845" w:leftChars="0" w:hanging="425" w:firstLineChars="0"/>
      </w:pPr>
      <w:r>
        <w:rPr>
          <w:rFonts w:ascii="Noto Sans CJK SC" w:hAnsi="Noto Sans CJK SC" w:eastAsia="Noto Sans CJK SC"/>
          <w:sz w:val="20"/>
        </w:rPr>
        <w:t>数据维度、文件大小、波位映射表、重采样记录和配置文件均正确。</w:t>
      </w:r>
    </w:p>
    <w:p w14:paraId="168C9429">
      <w:pPr>
        <w:pStyle w:val="16"/>
        <w:numPr>
          <w:ilvl w:val="0"/>
          <w:numId w:val="8"/>
        </w:numPr>
        <w:tabs>
          <w:tab w:val="clear" w:pos="420"/>
        </w:tabs>
        <w:spacing w:after="40" w:line="288" w:lineRule="auto"/>
        <w:ind w:left="845" w:leftChars="0" w:hanging="425" w:firstLineChars="0"/>
      </w:pPr>
      <w:r>
        <w:rPr>
          <w:rFonts w:ascii="Noto Sans CJK SC" w:hAnsi="Noto Sans CJK SC" w:eastAsia="Noto Sans CJK SC"/>
          <w:sz w:val="20"/>
        </w:rPr>
        <w:t>算法能完成无合作目标数据的读取、脉压和基础检测输出。</w:t>
      </w:r>
    </w:p>
    <w:p w14:paraId="04912A63">
      <w:pPr>
        <w:pStyle w:val="16"/>
        <w:numPr>
          <w:ilvl w:val="0"/>
          <w:numId w:val="8"/>
        </w:numPr>
        <w:tabs>
          <w:tab w:val="clear" w:pos="420"/>
        </w:tabs>
        <w:spacing w:after="40" w:line="288" w:lineRule="auto"/>
        <w:ind w:left="845" w:leftChars="0" w:hanging="425" w:firstLineChars="0"/>
      </w:pPr>
      <w:r>
        <w:rPr>
          <w:rFonts w:ascii="Noto Sans CJK SC" w:hAnsi="Noto Sans CJK SC" w:eastAsia="Noto Sans CJK SC"/>
          <w:sz w:val="20"/>
        </w:rPr>
        <w:t>加入合作目标后，truth.csv 与检测结果能够匹配，单目标和多目标航迹能够形成。</w:t>
      </w:r>
    </w:p>
    <w:p w14:paraId="6DB14235">
      <w:pPr>
        <w:pStyle w:val="16"/>
        <w:numPr>
          <w:ilvl w:val="0"/>
          <w:numId w:val="8"/>
        </w:numPr>
        <w:tabs>
          <w:tab w:val="clear" w:pos="420"/>
        </w:tabs>
        <w:spacing w:after="40" w:line="288" w:lineRule="auto"/>
        <w:ind w:left="845" w:leftChars="0" w:hanging="425" w:firstLineChars="0"/>
      </w:pPr>
      <w:r>
        <w:rPr>
          <w:rFonts w:ascii="Noto Sans CJK SC" w:hAnsi="Noto Sans CJK SC" w:eastAsia="Noto Sans CJK SC"/>
          <w:sz w:val="20"/>
        </w:rPr>
        <w:t>DBS 图像畸变不作为阶段一失败标准；其原因是背景 IQ 的相位历程仍属于旧系统或镜像来源角。</w:t>
      </w:r>
    </w:p>
    <w:p w14:paraId="2A3F4801">
      <w:pPr>
        <w:pStyle w:val="3"/>
      </w:pPr>
      <w:r>
        <w:t>六、阶段二：统计杂波纯仿真数据</w:t>
      </w:r>
    </w:p>
    <w:p w14:paraId="3E798055">
      <w:pPr>
        <w:pStyle w:val="4"/>
      </w:pPr>
      <w:r>
        <w:t>6.1 阶段目标</w:t>
      </w:r>
    </w:p>
    <w:p w14:paraId="0F428AF3">
      <w:pPr>
        <w:spacing w:after="100" w:line="300" w:lineRule="auto"/>
      </w:pPr>
      <w:r>
        <w:rPr>
          <w:rFonts w:ascii="Noto Sans CJK SC" w:hAnsi="Noto Sans CJK SC" w:eastAsia="Noto Sans CJK SC"/>
          <w:sz w:val="21"/>
        </w:rPr>
        <w:t>阶段二不再复用旧 IQ 的复数相位，而是从新系统参数出发，直接生成统计杂波、强散射点、线状散射体、热噪声和合作运动目标的 DDC 回波。该阶段的核心价值是确保载频、脉宽、采样率、采样延迟、PRF、波位角、双通道相位和 LFM 回波体制与新系统一致。</w:t>
      </w:r>
    </w:p>
    <w:p w14:paraId="6CD3504A">
      <w:pPr>
        <w:pStyle w:val="4"/>
      </w:pPr>
      <w:r>
        <w:t>6.2 背景构成</w:t>
      </w:r>
    </w:p>
    <w:p w14:paraId="3F6B37D5">
      <w:pPr>
        <w:spacing w:after="100" w:line="300" w:lineRule="auto"/>
      </w:pPr>
      <w:r>
        <w:rPr>
          <w:rFonts w:ascii="Noto Sans CJK SC" w:hAnsi="Noto Sans CJK SC" w:eastAsia="Noto Sans CJK SC"/>
          <w:sz w:val="21"/>
        </w:rPr>
        <w:t>统计杂波背景不宜只用简单白噪声，而应由面状杂波、稀疏强散射点、线状散射体和热噪声共同构成。面状杂波用于模拟大面积地物散射，强散射点用于模拟建筑、角反射器和高亮虚警，线状散射体用于模拟道路、河道和边界结构，热噪声用于控制输入信噪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5102"/>
        <w:gridCol w:w="2835"/>
      </w:tblGrid>
      <w:tr w14:paraId="36B2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shd w:val="clear" w:color="auto" w:fill="1F4E79"/>
            <w:vAlign w:val="center"/>
          </w:tcPr>
          <w:p w14:paraId="713028E8">
            <w:pPr>
              <w:spacing w:after="0" w:line="252" w:lineRule="auto"/>
            </w:pPr>
            <w:r>
              <w:rPr>
                <w:rFonts w:ascii="Noto Sans CJK SC" w:hAnsi="Noto Sans CJK SC" w:eastAsia="Noto Sans CJK SC"/>
                <w:b/>
                <w:color w:val="FFFFFF"/>
                <w:sz w:val="16"/>
              </w:rPr>
              <w:t>组成</w:t>
            </w:r>
          </w:p>
        </w:tc>
        <w:tc>
          <w:tcPr>
            <w:tcW w:w="5102" w:type="dxa"/>
            <w:shd w:val="clear" w:color="auto" w:fill="1F4E79"/>
            <w:vAlign w:val="center"/>
          </w:tcPr>
          <w:p w14:paraId="5360D9D0">
            <w:pPr>
              <w:spacing w:after="0" w:line="252" w:lineRule="auto"/>
            </w:pPr>
            <w:r>
              <w:rPr>
                <w:rFonts w:ascii="Noto Sans CJK SC" w:hAnsi="Noto Sans CJK SC" w:eastAsia="Noto Sans CJK SC"/>
                <w:b/>
                <w:color w:val="FFFFFF"/>
                <w:sz w:val="16"/>
              </w:rPr>
              <w:t>生成方式</w:t>
            </w:r>
          </w:p>
        </w:tc>
        <w:tc>
          <w:tcPr>
            <w:tcW w:w="2835" w:type="dxa"/>
            <w:shd w:val="clear" w:color="auto" w:fill="1F4E79"/>
            <w:vAlign w:val="center"/>
          </w:tcPr>
          <w:p w14:paraId="308EBB08">
            <w:pPr>
              <w:spacing w:after="0" w:line="252" w:lineRule="auto"/>
            </w:pPr>
            <w:r>
              <w:rPr>
                <w:rFonts w:ascii="Noto Sans CJK SC" w:hAnsi="Noto Sans CJK SC" w:eastAsia="Noto Sans CJK SC"/>
                <w:b/>
                <w:color w:val="FFFFFF"/>
                <w:sz w:val="16"/>
              </w:rPr>
              <w:t>作用</w:t>
            </w:r>
          </w:p>
        </w:tc>
      </w:tr>
      <w:tr w14:paraId="43876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top"/>
          </w:tcPr>
          <w:p w14:paraId="1697CAAD">
            <w:pPr>
              <w:spacing w:after="0" w:line="252" w:lineRule="auto"/>
            </w:pPr>
            <w:r>
              <w:rPr>
                <w:rFonts w:ascii="Noto Sans CJK SC" w:hAnsi="Noto Sans CJK SC" w:eastAsia="Noto Sans CJK SC"/>
                <w:b w:val="0"/>
                <w:sz w:val="16"/>
              </w:rPr>
              <w:t>面状杂波</w:t>
            </w:r>
          </w:p>
        </w:tc>
        <w:tc>
          <w:tcPr>
            <w:tcW w:w="5102" w:type="dxa"/>
            <w:vAlign w:val="top"/>
          </w:tcPr>
          <w:p w14:paraId="03039850">
            <w:pPr>
              <w:spacing w:after="0" w:line="252" w:lineRule="auto"/>
            </w:pPr>
            <w:r>
              <w:rPr>
                <w:rFonts w:ascii="Noto Sans CJK SC" w:hAnsi="Noto Sans CJK SC" w:eastAsia="Noto Sans CJK SC"/>
                <w:b w:val="0"/>
                <w:sz w:val="16"/>
              </w:rPr>
              <w:t>在地面距离-方位范围内布设大量弱散射单元，幅度服从 Rayleigh、Weibull、K 分布或 lognormal 分布</w:t>
            </w:r>
          </w:p>
        </w:tc>
        <w:tc>
          <w:tcPr>
            <w:tcW w:w="2835" w:type="dxa"/>
            <w:vAlign w:val="top"/>
          </w:tcPr>
          <w:p w14:paraId="5E148009">
            <w:pPr>
              <w:spacing w:after="0" w:line="252" w:lineRule="auto"/>
            </w:pPr>
            <w:r>
              <w:rPr>
                <w:rFonts w:ascii="Noto Sans CJK SC" w:hAnsi="Noto Sans CJK SC" w:eastAsia="Noto Sans CJK SC"/>
                <w:b w:val="0"/>
                <w:sz w:val="16"/>
              </w:rPr>
              <w:t>形成大面积背景散射和杂波统计分布</w:t>
            </w:r>
          </w:p>
        </w:tc>
      </w:tr>
      <w:tr w14:paraId="67901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top"/>
          </w:tcPr>
          <w:p w14:paraId="5D13C865">
            <w:pPr>
              <w:spacing w:after="0" w:line="252" w:lineRule="auto"/>
            </w:pPr>
            <w:r>
              <w:rPr>
                <w:rFonts w:ascii="Noto Sans CJK SC" w:hAnsi="Noto Sans CJK SC" w:eastAsia="Noto Sans CJK SC"/>
                <w:b w:val="0"/>
                <w:sz w:val="16"/>
              </w:rPr>
              <w:t>稀疏强散射点</w:t>
            </w:r>
          </w:p>
        </w:tc>
        <w:tc>
          <w:tcPr>
            <w:tcW w:w="5102" w:type="dxa"/>
            <w:vAlign w:val="top"/>
          </w:tcPr>
          <w:p w14:paraId="19A7CEED">
            <w:pPr>
              <w:spacing w:after="0" w:line="252" w:lineRule="auto"/>
            </w:pPr>
            <w:r>
              <w:rPr>
                <w:rFonts w:ascii="Noto Sans CJK SC" w:hAnsi="Noto Sans CJK SC" w:eastAsia="Noto Sans CJK SC"/>
                <w:b w:val="0"/>
                <w:sz w:val="16"/>
              </w:rPr>
              <w:t>随机或按规则布设高 RCS 点，数量和强度可控</w:t>
            </w:r>
          </w:p>
        </w:tc>
        <w:tc>
          <w:tcPr>
            <w:tcW w:w="2835" w:type="dxa"/>
            <w:vAlign w:val="top"/>
          </w:tcPr>
          <w:p w14:paraId="1DE8F54D">
            <w:pPr>
              <w:spacing w:after="0" w:line="252" w:lineRule="auto"/>
            </w:pPr>
            <w:r>
              <w:rPr>
                <w:rFonts w:ascii="Noto Sans CJK SC" w:hAnsi="Noto Sans CJK SC" w:eastAsia="Noto Sans CJK SC"/>
                <w:b w:val="0"/>
                <w:sz w:val="16"/>
              </w:rPr>
              <w:t>模拟建筑、角反射器、塔杆、车辆残留虚警等高亮点</w:t>
            </w:r>
          </w:p>
        </w:tc>
      </w:tr>
      <w:tr w14:paraId="238BD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17" w:type="dxa"/>
            <w:vAlign w:val="top"/>
          </w:tcPr>
          <w:p w14:paraId="691A55C7">
            <w:pPr>
              <w:spacing w:after="0" w:line="252" w:lineRule="auto"/>
            </w:pPr>
            <w:r>
              <w:rPr>
                <w:rFonts w:ascii="Noto Sans CJK SC" w:hAnsi="Noto Sans CJK SC" w:eastAsia="Noto Sans CJK SC"/>
                <w:b w:val="0"/>
                <w:sz w:val="16"/>
              </w:rPr>
              <w:t>线状散射体</w:t>
            </w:r>
          </w:p>
        </w:tc>
        <w:tc>
          <w:tcPr>
            <w:tcW w:w="5102" w:type="dxa"/>
            <w:vAlign w:val="top"/>
          </w:tcPr>
          <w:p w14:paraId="5B95D70F">
            <w:pPr>
              <w:spacing w:after="0" w:line="252" w:lineRule="auto"/>
            </w:pPr>
            <w:r>
              <w:rPr>
                <w:rFonts w:ascii="Noto Sans CJK SC" w:hAnsi="Noto Sans CJK SC" w:eastAsia="Noto Sans CJK SC"/>
                <w:b w:val="0"/>
                <w:sz w:val="16"/>
              </w:rPr>
              <w:t>生成若干条线段或曲线，每条线上布设散射点</w:t>
            </w:r>
          </w:p>
        </w:tc>
        <w:tc>
          <w:tcPr>
            <w:tcW w:w="2835" w:type="dxa"/>
            <w:vAlign w:val="top"/>
          </w:tcPr>
          <w:p w14:paraId="02BE54A1">
            <w:pPr>
              <w:spacing w:after="0" w:line="252" w:lineRule="auto"/>
            </w:pPr>
            <w:r>
              <w:rPr>
                <w:rFonts w:ascii="Noto Sans CJK SC" w:hAnsi="Noto Sans CJK SC" w:eastAsia="Noto Sans CJK SC"/>
                <w:b w:val="0"/>
                <w:sz w:val="16"/>
              </w:rPr>
              <w:t>增强图像结构感，避免纯随机背景过于理想</w:t>
            </w:r>
          </w:p>
        </w:tc>
      </w:tr>
      <w:tr w14:paraId="1D3DD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top"/>
          </w:tcPr>
          <w:p w14:paraId="70B3164A">
            <w:pPr>
              <w:spacing w:after="0" w:line="252" w:lineRule="auto"/>
            </w:pPr>
            <w:r>
              <w:rPr>
                <w:rFonts w:ascii="Noto Sans CJK SC" w:hAnsi="Noto Sans CJK SC" w:eastAsia="Noto Sans CJK SC"/>
                <w:b w:val="0"/>
                <w:sz w:val="16"/>
              </w:rPr>
              <w:t>热噪声</w:t>
            </w:r>
          </w:p>
        </w:tc>
        <w:tc>
          <w:tcPr>
            <w:tcW w:w="5102" w:type="dxa"/>
            <w:vAlign w:val="top"/>
          </w:tcPr>
          <w:p w14:paraId="2FAD193D">
            <w:pPr>
              <w:spacing w:after="0" w:line="252" w:lineRule="auto"/>
            </w:pPr>
            <w:r>
              <w:rPr>
                <w:rFonts w:ascii="Noto Sans CJK SC" w:hAnsi="Noto Sans CJK SC" w:eastAsia="Noto Sans CJK SC"/>
                <w:b w:val="0"/>
                <w:sz w:val="16"/>
              </w:rPr>
              <w:t>叠加双通道复高斯噪声，噪声功率可控</w:t>
            </w:r>
          </w:p>
        </w:tc>
        <w:tc>
          <w:tcPr>
            <w:tcW w:w="2835" w:type="dxa"/>
            <w:vAlign w:val="top"/>
          </w:tcPr>
          <w:p w14:paraId="1A3DB180">
            <w:pPr>
              <w:spacing w:after="0" w:line="252" w:lineRule="auto"/>
            </w:pPr>
            <w:r>
              <w:rPr>
                <w:rFonts w:ascii="Noto Sans CJK SC" w:hAnsi="Noto Sans CJK SC" w:eastAsia="Noto Sans CJK SC"/>
                <w:b w:val="0"/>
                <w:sz w:val="16"/>
              </w:rPr>
              <w:t>控制 SNR，测试检测门限和虚警率</w:t>
            </w:r>
          </w:p>
        </w:tc>
      </w:tr>
    </w:tbl>
    <w:p w14:paraId="317F86DA"/>
    <w:p w14:paraId="5EAFA184">
      <w:pPr>
        <w:pStyle w:val="4"/>
      </w:pPr>
      <w:r>
        <w:t>6.3 新系统 DDC 正演</w:t>
      </w:r>
    </w:p>
    <w:p w14:paraId="18599B9F">
      <w:pPr>
        <w:spacing w:after="100" w:line="300" w:lineRule="auto"/>
      </w:pPr>
      <w:r>
        <w:rPr>
          <w:rFonts w:ascii="Noto Sans CJK SC" w:hAnsi="Noto Sans CJK SC" w:eastAsia="Noto Sans CJK SC"/>
          <w:sz w:val="21"/>
        </w:rPr>
        <w:t>对每个静止散射点和合作运动目标，根据新系统平台位置、波位中心角和脉冲时刻计算斜距 R(t)，再由 tau=2R(t)/c - sample_delay 得到目标在 DDC 采样窗口中的位置。当 tau×fs 位于 0～11820 范围内时，按新系统 130 μs LFM 基带回波进行叠加，并乘以 exp(-j4πR/λ) 的慢时间相位和双通道相位差。</w:t>
      </w:r>
    </w:p>
    <w:p w14:paraId="65B3CDBD">
      <w:pPr>
        <w:spacing w:after="100" w:line="300" w:lineRule="auto"/>
      </w:pPr>
      <w:r>
        <w:rPr>
          <w:rFonts w:ascii="Noto Sans CJK SC" w:hAnsi="Noto Sans CJK SC" w:eastAsia="Noto Sans CJK SC"/>
          <w:sz w:val="21"/>
        </w:rPr>
        <w:t>该阶段应从单点目标开始验证：单点目标的脉压峰位置、主瓣宽度、旁瓣形态和双通道相位差必须符合预期；随后再生成单波位多点、61 波位静止统计背景以及加入合作目标的多周期数据。</w:t>
      </w:r>
    </w:p>
    <w:p w14:paraId="5066579B">
      <w:pPr>
        <w:pStyle w:val="4"/>
      </w:pPr>
      <w:r>
        <w:t>6.4 验收标准</w:t>
      </w:r>
    </w:p>
    <w:p w14:paraId="29235BC3">
      <w:pPr>
        <w:pStyle w:val="16"/>
        <w:numPr>
          <w:ilvl w:val="0"/>
          <w:numId w:val="9"/>
        </w:numPr>
        <w:tabs>
          <w:tab w:val="clear" w:pos="420"/>
        </w:tabs>
        <w:spacing w:after="40" w:line="288" w:lineRule="auto"/>
        <w:ind w:left="845" w:leftChars="0" w:hanging="425" w:firstLineChars="0"/>
      </w:pPr>
      <w:r>
        <w:rPr>
          <w:rFonts w:ascii="Noto Sans CJK SC" w:hAnsi="Noto Sans CJK SC" w:eastAsia="Noto Sans CJK SC"/>
          <w:sz w:val="20"/>
        </w:rPr>
        <w:t>单点目标在脉压后出现在预期距离 bin，主瓣和旁瓣形态合理。</w:t>
      </w:r>
    </w:p>
    <w:p w14:paraId="71E075F2">
      <w:pPr>
        <w:pStyle w:val="16"/>
        <w:numPr>
          <w:ilvl w:val="0"/>
          <w:numId w:val="9"/>
        </w:numPr>
        <w:tabs>
          <w:tab w:val="clear" w:pos="420"/>
        </w:tabs>
        <w:spacing w:after="40" w:line="288" w:lineRule="auto"/>
        <w:ind w:left="845" w:leftChars="0" w:hanging="425" w:firstLineChars="0"/>
      </w:pPr>
      <w:r>
        <w:rPr>
          <w:rFonts w:ascii="Noto Sans CJK SC" w:hAnsi="Noto Sans CJK SC" w:eastAsia="Noto Sans CJK SC"/>
          <w:sz w:val="20"/>
        </w:rPr>
        <w:t>统计杂波的幅度分布、功率、虚警密度和空间相关性可控。</w:t>
      </w:r>
    </w:p>
    <w:p w14:paraId="7FC0CDA6">
      <w:pPr>
        <w:pStyle w:val="16"/>
        <w:numPr>
          <w:ilvl w:val="0"/>
          <w:numId w:val="9"/>
        </w:numPr>
        <w:tabs>
          <w:tab w:val="clear" w:pos="420"/>
        </w:tabs>
        <w:spacing w:after="40" w:line="288" w:lineRule="auto"/>
        <w:ind w:left="845" w:leftChars="0" w:hanging="425" w:firstLineChars="0"/>
      </w:pPr>
      <w:r>
        <w:rPr>
          <w:rFonts w:ascii="Noto Sans CJK SC" w:hAnsi="Noto Sans CJK SC" w:eastAsia="Noto Sans CJK SC"/>
          <w:sz w:val="20"/>
        </w:rPr>
        <w:t>合作目标检测率、虚警率、定位误差、速度误差和航迹连续性能够被定量统计。</w:t>
      </w:r>
    </w:p>
    <w:p w14:paraId="4D4378C7">
      <w:pPr>
        <w:pStyle w:val="16"/>
        <w:numPr>
          <w:ilvl w:val="0"/>
          <w:numId w:val="9"/>
        </w:numPr>
        <w:tabs>
          <w:tab w:val="clear" w:pos="420"/>
        </w:tabs>
        <w:spacing w:after="40" w:line="288" w:lineRule="auto"/>
        <w:ind w:left="845" w:leftChars="0" w:hanging="425" w:firstLineChars="0"/>
      </w:pPr>
      <w:r>
        <w:rPr>
          <w:rFonts w:ascii="Noto Sans CJK SC" w:hAnsi="Noto Sans CJK SC" w:eastAsia="Noto Sans CJK SC"/>
          <w:sz w:val="20"/>
        </w:rPr>
        <w:t>DBS 图像可以作为几何自洽性参考，但真实地物纹理不作为该阶段主要目标。</w:t>
      </w:r>
    </w:p>
    <w:p w14:paraId="0EEC89CB">
      <w:pPr>
        <w:pStyle w:val="3"/>
      </w:pPr>
      <w:r>
        <w:t>七、阶段三：场景反演与物理正演数据</w:t>
      </w:r>
    </w:p>
    <w:p w14:paraId="4DC6F27A">
      <w:pPr>
        <w:pStyle w:val="4"/>
      </w:pPr>
      <w:r>
        <w:t>7.1 阶段目标</w:t>
      </w:r>
    </w:p>
    <w:p w14:paraId="5575D2C7">
      <w:pPr>
        <w:spacing w:after="100" w:line="300" w:lineRule="auto"/>
      </w:pPr>
      <w:r>
        <w:rPr>
          <w:rFonts w:ascii="Noto Sans CJK SC" w:hAnsi="Noto Sans CJK SC" w:eastAsia="Noto Sans CJK SC"/>
          <w:sz w:val="21"/>
        </w:rPr>
        <w:t>阶段三面向最终真实感背景，目标是利用已有 DBS 图像、角点地理映射、强散射点分布和旧数据统计特征构建近似地面散射场，再按新系统 -60°～60° 或指定角度网格进行物理正演，生成更接近真实地物背景的双通道 DDC 数据。</w:t>
      </w:r>
    </w:p>
    <w:p w14:paraId="18EB65D4">
      <w:pPr>
        <w:pStyle w:val="4"/>
      </w:pPr>
      <w:r>
        <w:t>7.2 场景反演</w:t>
      </w:r>
    </w:p>
    <w:p w14:paraId="2E14758F">
      <w:pPr>
        <w:spacing w:after="100" w:line="300" w:lineRule="auto"/>
      </w:pPr>
      <w:r>
        <w:rPr>
          <w:rFonts w:ascii="Noto Sans CJK SC" w:hAnsi="Noto Sans CJK SC" w:eastAsia="Noto Sans CJK SC"/>
          <w:sz w:val="21"/>
        </w:rPr>
        <w:t>首先读取已有 DBS 图像，并根据图像角点或地理配准关系将像素映射到地面坐标。图像强度可作为散射点幅度，初始相位可采用随机相位或局部纹理统计相位。为控制计算量，应按强度阈值、网格抽样和区域分块方式筛选散射点，优先保留强散射点、线状结构和高纹理区域。</w:t>
      </w:r>
    </w:p>
    <w:p w14:paraId="6056EB0E">
      <w:pPr>
        <w:pStyle w:val="4"/>
      </w:pPr>
      <w:r>
        <w:t>7.3 物理正演</w:t>
      </w:r>
    </w:p>
    <w:p w14:paraId="251AE43C">
      <w:pPr>
        <w:spacing w:after="100" w:line="300" w:lineRule="auto"/>
      </w:pPr>
      <w:r>
        <w:rPr>
          <w:rFonts w:ascii="Noto Sans CJK SC" w:hAnsi="Noto Sans CJK SC" w:eastAsia="Noto Sans CJK SC"/>
          <w:sz w:val="21"/>
        </w:rPr>
        <w:t>对每个散射点、每个新波位、每个脉冲，计算平台到散射点的斜距、延迟、相位、波束增益和双通道相位差，然后在 11820 点 DDC 快时间域叠加新 130 μs LFM 回波。该过程可逐步从轻量级强散射点正演扩展到高密度场景正演，并结合 GPU 加速、分块处理和散射点筛选控制计算量。</w:t>
      </w:r>
    </w:p>
    <w:p w14:paraId="3F923C51">
      <w:pPr>
        <w:pStyle w:val="4"/>
      </w:pPr>
      <w:r>
        <w:t>7.4 验收标准</w:t>
      </w:r>
    </w:p>
    <w:p w14:paraId="65F1306C">
      <w:pPr>
        <w:pStyle w:val="16"/>
        <w:numPr>
          <w:ilvl w:val="0"/>
          <w:numId w:val="10"/>
        </w:numPr>
        <w:tabs>
          <w:tab w:val="clear" w:pos="420"/>
        </w:tabs>
        <w:spacing w:after="40" w:line="288" w:lineRule="auto"/>
        <w:ind w:left="845" w:leftChars="0" w:hanging="425" w:firstLineChars="0"/>
      </w:pPr>
      <w:r>
        <w:rPr>
          <w:rFonts w:ascii="Noto Sans CJK SC" w:hAnsi="Noto Sans CJK SC" w:eastAsia="Noto Sans CJK SC"/>
          <w:sz w:val="20"/>
        </w:rPr>
        <w:t>散射点空间分布与原 DBS 图像纹理和强散射区域基本一致。</w:t>
      </w:r>
    </w:p>
    <w:p w14:paraId="66C56972">
      <w:pPr>
        <w:pStyle w:val="16"/>
        <w:numPr>
          <w:ilvl w:val="0"/>
          <w:numId w:val="10"/>
        </w:numPr>
        <w:tabs>
          <w:tab w:val="clear" w:pos="420"/>
        </w:tabs>
        <w:spacing w:after="40" w:line="288" w:lineRule="auto"/>
        <w:ind w:left="845" w:leftChars="0" w:hanging="425" w:firstLineChars="0"/>
      </w:pPr>
      <w:r>
        <w:rPr>
          <w:rFonts w:ascii="Noto Sans CJK SC" w:hAnsi="Noto Sans CJK SC" w:eastAsia="Noto Sans CJK SC"/>
          <w:sz w:val="20"/>
        </w:rPr>
        <w:t>新系统正演数据在宽角 DBS 成像中边缘畸变明显小于阶段一复制 IQ 数据。</w:t>
      </w:r>
    </w:p>
    <w:p w14:paraId="1A0F2242">
      <w:pPr>
        <w:pStyle w:val="16"/>
        <w:numPr>
          <w:ilvl w:val="0"/>
          <w:numId w:val="10"/>
        </w:numPr>
        <w:tabs>
          <w:tab w:val="clear" w:pos="420"/>
        </w:tabs>
        <w:spacing w:after="40" w:line="288" w:lineRule="auto"/>
        <w:ind w:left="845" w:leftChars="0" w:hanging="425" w:firstLineChars="0"/>
      </w:pPr>
      <w:r>
        <w:rPr>
          <w:rFonts w:ascii="Noto Sans CJK SC" w:hAnsi="Noto Sans CJK SC" w:eastAsia="Noto Sans CJK SC"/>
          <w:sz w:val="20"/>
        </w:rPr>
        <w:t>波位拼接连续性、地物结构感和距离位置合理。</w:t>
      </w:r>
    </w:p>
    <w:p w14:paraId="2E24E329">
      <w:pPr>
        <w:pStyle w:val="16"/>
        <w:numPr>
          <w:ilvl w:val="0"/>
          <w:numId w:val="10"/>
        </w:numPr>
        <w:tabs>
          <w:tab w:val="clear" w:pos="420"/>
        </w:tabs>
        <w:spacing w:after="40" w:line="288" w:lineRule="auto"/>
        <w:ind w:left="845" w:leftChars="0" w:hanging="425" w:firstLineChars="0"/>
      </w:pPr>
      <w:r>
        <w:rPr>
          <w:rFonts w:ascii="Noto Sans CJK SC" w:hAnsi="Noto Sans CJK SC" w:eastAsia="Noto Sans CJK SC"/>
          <w:sz w:val="20"/>
        </w:rPr>
        <w:t>在复杂背景上继续注入合作目标后，GMTI 检测、定位和航迹仍能稳定工作。</w:t>
      </w:r>
    </w:p>
    <w:p w14:paraId="2B8DB2B8">
      <w:pPr>
        <w:pStyle w:val="3"/>
      </w:pPr>
      <w:r>
        <w:t>八、统一合作目标与评价框架</w:t>
      </w:r>
    </w:p>
    <w:p w14:paraId="216722FB">
      <w:pPr>
        <w:spacing w:after="100" w:line="300" w:lineRule="auto"/>
      </w:pPr>
      <w:r>
        <w:rPr>
          <w:rFonts w:ascii="Noto Sans CJK SC" w:hAnsi="Noto Sans CJK SC" w:eastAsia="Noto Sans CJK SC"/>
          <w:sz w:val="21"/>
        </w:rPr>
        <w:t>三个阶段应共用同一套合作目标配置、真值输出和评价脚本，以保证不同数据集之间的结果可比。合作目标配置建议采用 targets.json，真值输出采用 truth.csv，评价结果输出为 detection_eval.csv、tracking_eval.csv 和 summary.json。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494"/>
        <w:gridCol w:w="1474"/>
        <w:gridCol w:w="3515"/>
      </w:tblGrid>
      <w:tr w14:paraId="1D298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74" w:type="dxa"/>
            <w:shd w:val="clear" w:color="auto" w:fill="1F4E79"/>
            <w:vAlign w:val="center"/>
          </w:tcPr>
          <w:p w14:paraId="50BADC5E">
            <w:pPr>
              <w:spacing w:after="0" w:line="252" w:lineRule="auto"/>
            </w:pPr>
            <w:r>
              <w:rPr>
                <w:rFonts w:ascii="Noto Sans CJK SC" w:hAnsi="Noto Sans CJK SC" w:eastAsia="Noto Sans CJK SC"/>
                <w:b/>
                <w:color w:val="FFFFFF"/>
                <w:sz w:val="16"/>
              </w:rPr>
              <w:t>评价方向</w:t>
            </w:r>
          </w:p>
        </w:tc>
        <w:tc>
          <w:tcPr>
            <w:tcW w:w="2494" w:type="dxa"/>
            <w:shd w:val="clear" w:color="auto" w:fill="1F4E79"/>
            <w:vAlign w:val="center"/>
          </w:tcPr>
          <w:p w14:paraId="671149A1">
            <w:pPr>
              <w:spacing w:after="0" w:line="252" w:lineRule="auto"/>
            </w:pPr>
            <w:r>
              <w:rPr>
                <w:rFonts w:ascii="Noto Sans CJK SC" w:hAnsi="Noto Sans CJK SC" w:eastAsia="Noto Sans CJK SC"/>
                <w:b/>
                <w:color w:val="FFFFFF"/>
                <w:sz w:val="16"/>
              </w:rPr>
              <w:t>指标</w:t>
            </w:r>
          </w:p>
        </w:tc>
        <w:tc>
          <w:tcPr>
            <w:tcW w:w="1474" w:type="dxa"/>
            <w:shd w:val="clear" w:color="auto" w:fill="1F4E79"/>
            <w:vAlign w:val="center"/>
          </w:tcPr>
          <w:p w14:paraId="5A37B476">
            <w:pPr>
              <w:spacing w:after="0" w:line="252" w:lineRule="auto"/>
            </w:pPr>
            <w:r>
              <w:rPr>
                <w:rFonts w:ascii="Noto Sans CJK SC" w:hAnsi="Noto Sans CJK SC" w:eastAsia="Noto Sans CJK SC"/>
                <w:b/>
                <w:color w:val="FFFFFF"/>
                <w:sz w:val="16"/>
              </w:rPr>
              <w:t>适用阶段</w:t>
            </w:r>
          </w:p>
        </w:tc>
        <w:tc>
          <w:tcPr>
            <w:tcW w:w="3515" w:type="dxa"/>
            <w:shd w:val="clear" w:color="auto" w:fill="1F4E79"/>
            <w:vAlign w:val="center"/>
          </w:tcPr>
          <w:p w14:paraId="298AA5CD">
            <w:pPr>
              <w:spacing w:after="0" w:line="252" w:lineRule="auto"/>
            </w:pPr>
            <w:r>
              <w:rPr>
                <w:rFonts w:ascii="Noto Sans CJK SC" w:hAnsi="Noto Sans CJK SC" w:eastAsia="Noto Sans CJK SC"/>
                <w:b/>
                <w:color w:val="FFFFFF"/>
                <w:sz w:val="16"/>
              </w:rPr>
              <w:t>说明</w:t>
            </w:r>
          </w:p>
        </w:tc>
      </w:tr>
      <w:tr w14:paraId="00C6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top"/>
          </w:tcPr>
          <w:p w14:paraId="7161806C">
            <w:pPr>
              <w:spacing w:after="0" w:line="252" w:lineRule="auto"/>
            </w:pPr>
            <w:r>
              <w:rPr>
                <w:rFonts w:ascii="Noto Sans CJK SC" w:hAnsi="Noto Sans CJK SC" w:eastAsia="Noto Sans CJK SC"/>
                <w:b w:val="0"/>
                <w:sz w:val="16"/>
              </w:rPr>
              <w:t>检测能力</w:t>
            </w:r>
          </w:p>
        </w:tc>
        <w:tc>
          <w:tcPr>
            <w:tcW w:w="2494" w:type="dxa"/>
            <w:vAlign w:val="top"/>
          </w:tcPr>
          <w:p w14:paraId="18FC3FFB">
            <w:pPr>
              <w:spacing w:after="0" w:line="252" w:lineRule="auto"/>
            </w:pPr>
            <w:r>
              <w:rPr>
                <w:rFonts w:ascii="Noto Sans CJK SC" w:hAnsi="Noto Sans CJK SC" w:eastAsia="Noto Sans CJK SC"/>
                <w:b w:val="0"/>
                <w:sz w:val="16"/>
              </w:rPr>
              <w:t>检测率、漏检率、虚警数、虚警率</w:t>
            </w:r>
          </w:p>
        </w:tc>
        <w:tc>
          <w:tcPr>
            <w:tcW w:w="1474" w:type="dxa"/>
            <w:vAlign w:val="top"/>
          </w:tcPr>
          <w:p w14:paraId="5F10A082">
            <w:pPr>
              <w:spacing w:after="0" w:line="252" w:lineRule="auto"/>
            </w:pPr>
            <w:r>
              <w:rPr>
                <w:rFonts w:ascii="Noto Sans CJK SC" w:hAnsi="Noto Sans CJK SC" w:eastAsia="Noto Sans CJK SC"/>
                <w:b w:val="0"/>
                <w:sz w:val="16"/>
              </w:rPr>
              <w:t>阶段一、二、三</w:t>
            </w:r>
          </w:p>
        </w:tc>
        <w:tc>
          <w:tcPr>
            <w:tcW w:w="3515" w:type="dxa"/>
            <w:vAlign w:val="top"/>
          </w:tcPr>
          <w:p w14:paraId="4779DBB4">
            <w:pPr>
              <w:spacing w:after="0" w:line="252" w:lineRule="auto"/>
            </w:pPr>
            <w:r>
              <w:rPr>
                <w:rFonts w:ascii="Noto Sans CJK SC" w:hAnsi="Noto Sans CJK SC" w:eastAsia="Noto Sans CJK SC"/>
                <w:b w:val="0"/>
                <w:sz w:val="16"/>
              </w:rPr>
              <w:t>评价合作目标是否被稳定检出</w:t>
            </w:r>
          </w:p>
        </w:tc>
      </w:tr>
      <w:tr w14:paraId="7415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top"/>
          </w:tcPr>
          <w:p w14:paraId="7F462BA4">
            <w:pPr>
              <w:spacing w:after="0" w:line="252" w:lineRule="auto"/>
            </w:pPr>
            <w:r>
              <w:rPr>
                <w:rFonts w:ascii="Noto Sans CJK SC" w:hAnsi="Noto Sans CJK SC" w:eastAsia="Noto Sans CJK SC"/>
                <w:b w:val="0"/>
                <w:sz w:val="16"/>
              </w:rPr>
              <w:t>定位能力</w:t>
            </w:r>
          </w:p>
        </w:tc>
        <w:tc>
          <w:tcPr>
            <w:tcW w:w="2494" w:type="dxa"/>
            <w:vAlign w:val="top"/>
          </w:tcPr>
          <w:p w14:paraId="470CD484">
            <w:pPr>
              <w:spacing w:after="0" w:line="252" w:lineRule="auto"/>
            </w:pPr>
            <w:r>
              <w:rPr>
                <w:rFonts w:ascii="Noto Sans CJK SC" w:hAnsi="Noto Sans CJK SC" w:eastAsia="Noto Sans CJK SC"/>
                <w:b w:val="0"/>
                <w:sz w:val="16"/>
              </w:rPr>
              <w:t>距离误差、方位误差、地理位置误差</w:t>
            </w:r>
          </w:p>
        </w:tc>
        <w:tc>
          <w:tcPr>
            <w:tcW w:w="1474" w:type="dxa"/>
            <w:vAlign w:val="top"/>
          </w:tcPr>
          <w:p w14:paraId="585AE62A">
            <w:pPr>
              <w:spacing w:after="0" w:line="252" w:lineRule="auto"/>
            </w:pPr>
            <w:r>
              <w:rPr>
                <w:rFonts w:ascii="Noto Sans CJK SC" w:hAnsi="Noto Sans CJK SC" w:eastAsia="Noto Sans CJK SC"/>
                <w:b w:val="0"/>
                <w:sz w:val="16"/>
              </w:rPr>
              <w:t>阶段一、二、三</w:t>
            </w:r>
          </w:p>
        </w:tc>
        <w:tc>
          <w:tcPr>
            <w:tcW w:w="3515" w:type="dxa"/>
            <w:vAlign w:val="top"/>
          </w:tcPr>
          <w:p w14:paraId="2F3CF079">
            <w:pPr>
              <w:spacing w:after="0" w:line="252" w:lineRule="auto"/>
            </w:pPr>
            <w:r>
              <w:rPr>
                <w:rFonts w:ascii="Noto Sans CJK SC" w:hAnsi="Noto Sans CJK SC" w:eastAsia="Noto Sans CJK SC"/>
                <w:b w:val="0"/>
                <w:sz w:val="16"/>
              </w:rPr>
              <w:t>与 truth.csv 中的真实距离和角度比较</w:t>
            </w:r>
          </w:p>
        </w:tc>
      </w:tr>
      <w:tr w14:paraId="10442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4" w:type="dxa"/>
            <w:vAlign w:val="top"/>
          </w:tcPr>
          <w:p w14:paraId="4815FD62">
            <w:pPr>
              <w:spacing w:after="0" w:line="252" w:lineRule="auto"/>
            </w:pPr>
            <w:r>
              <w:rPr>
                <w:rFonts w:ascii="Noto Sans CJK SC" w:hAnsi="Noto Sans CJK SC" w:eastAsia="Noto Sans CJK SC"/>
                <w:b w:val="0"/>
                <w:sz w:val="16"/>
              </w:rPr>
              <w:t>速度估计</w:t>
            </w:r>
          </w:p>
        </w:tc>
        <w:tc>
          <w:tcPr>
            <w:tcW w:w="2494" w:type="dxa"/>
            <w:vAlign w:val="top"/>
          </w:tcPr>
          <w:p w14:paraId="72E30EDF">
            <w:pPr>
              <w:spacing w:after="0" w:line="252" w:lineRule="auto"/>
            </w:pPr>
            <w:r>
              <w:rPr>
                <w:rFonts w:ascii="Noto Sans CJK SC" w:hAnsi="Noto Sans CJK SC" w:eastAsia="Noto Sans CJK SC"/>
                <w:b w:val="0"/>
                <w:sz w:val="16"/>
              </w:rPr>
              <w:t>径向速度误差、速度符号正确率</w:t>
            </w:r>
          </w:p>
        </w:tc>
        <w:tc>
          <w:tcPr>
            <w:tcW w:w="1474" w:type="dxa"/>
            <w:vAlign w:val="top"/>
          </w:tcPr>
          <w:p w14:paraId="2773CB6E">
            <w:pPr>
              <w:spacing w:after="0" w:line="252" w:lineRule="auto"/>
            </w:pPr>
            <w:r>
              <w:rPr>
                <w:rFonts w:ascii="Noto Sans CJK SC" w:hAnsi="Noto Sans CJK SC" w:eastAsia="Noto Sans CJK SC"/>
                <w:b w:val="0"/>
                <w:sz w:val="16"/>
              </w:rPr>
              <w:t>阶段一、二、三</w:t>
            </w:r>
          </w:p>
        </w:tc>
        <w:tc>
          <w:tcPr>
            <w:tcW w:w="3515" w:type="dxa"/>
            <w:vAlign w:val="top"/>
          </w:tcPr>
          <w:p w14:paraId="543AA6CE">
            <w:pPr>
              <w:spacing w:after="0" w:line="252" w:lineRule="auto"/>
            </w:pPr>
            <w:r>
              <w:rPr>
                <w:rFonts w:ascii="Noto Sans CJK SC" w:hAnsi="Noto Sans CJK SC" w:eastAsia="Noto Sans CJK SC"/>
                <w:b w:val="0"/>
                <w:sz w:val="16"/>
              </w:rPr>
              <w:t>验证 GMTI 速度估计链路</w:t>
            </w:r>
          </w:p>
        </w:tc>
      </w:tr>
      <w:tr w14:paraId="2CB9D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top"/>
          </w:tcPr>
          <w:p w14:paraId="2A393B5D">
            <w:pPr>
              <w:spacing w:after="0" w:line="252" w:lineRule="auto"/>
            </w:pPr>
            <w:r>
              <w:rPr>
                <w:rFonts w:ascii="Noto Sans CJK SC" w:hAnsi="Noto Sans CJK SC" w:eastAsia="Noto Sans CJK SC"/>
                <w:b w:val="0"/>
                <w:sz w:val="16"/>
              </w:rPr>
              <w:t>航迹关联</w:t>
            </w:r>
          </w:p>
        </w:tc>
        <w:tc>
          <w:tcPr>
            <w:tcW w:w="2494" w:type="dxa"/>
            <w:vAlign w:val="top"/>
          </w:tcPr>
          <w:p w14:paraId="2261A14D">
            <w:pPr>
              <w:spacing w:after="0" w:line="252" w:lineRule="auto"/>
            </w:pPr>
            <w:r>
              <w:rPr>
                <w:rFonts w:ascii="Noto Sans CJK SC" w:hAnsi="Noto Sans CJK SC" w:eastAsia="Noto Sans CJK SC"/>
                <w:b w:val="0"/>
                <w:sz w:val="16"/>
              </w:rPr>
              <w:t>航迹连续性、中断次数、误关联次数、ID 切换次数</w:t>
            </w:r>
          </w:p>
        </w:tc>
        <w:tc>
          <w:tcPr>
            <w:tcW w:w="1474" w:type="dxa"/>
            <w:vAlign w:val="top"/>
          </w:tcPr>
          <w:p w14:paraId="3FB80651">
            <w:pPr>
              <w:spacing w:after="0" w:line="252" w:lineRule="auto"/>
            </w:pPr>
            <w:r>
              <w:rPr>
                <w:rFonts w:ascii="Noto Sans CJK SC" w:hAnsi="Noto Sans CJK SC" w:eastAsia="Noto Sans CJK SC"/>
                <w:b w:val="0"/>
                <w:sz w:val="16"/>
              </w:rPr>
              <w:t>阶段一、二、三</w:t>
            </w:r>
          </w:p>
        </w:tc>
        <w:tc>
          <w:tcPr>
            <w:tcW w:w="3515" w:type="dxa"/>
            <w:vAlign w:val="top"/>
          </w:tcPr>
          <w:p w14:paraId="6BCAB2BF">
            <w:pPr>
              <w:spacing w:after="0" w:line="252" w:lineRule="auto"/>
            </w:pPr>
            <w:r>
              <w:rPr>
                <w:rFonts w:ascii="Noto Sans CJK SC" w:hAnsi="Noto Sans CJK SC" w:eastAsia="Noto Sans CJK SC"/>
                <w:b w:val="0"/>
                <w:sz w:val="16"/>
              </w:rPr>
              <w:t>验证多周期跟踪和跨周期编号稳定性</w:t>
            </w:r>
          </w:p>
        </w:tc>
      </w:tr>
      <w:tr w14:paraId="57AAF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top"/>
          </w:tcPr>
          <w:p w14:paraId="6BEB63D6">
            <w:pPr>
              <w:spacing w:after="0" w:line="252" w:lineRule="auto"/>
            </w:pPr>
            <w:r>
              <w:rPr>
                <w:rFonts w:ascii="Noto Sans CJK SC" w:hAnsi="Noto Sans CJK SC" w:eastAsia="Noto Sans CJK SC"/>
                <w:b w:val="0"/>
                <w:sz w:val="16"/>
              </w:rPr>
              <w:t>成像几何</w:t>
            </w:r>
          </w:p>
        </w:tc>
        <w:tc>
          <w:tcPr>
            <w:tcW w:w="2494" w:type="dxa"/>
            <w:vAlign w:val="top"/>
          </w:tcPr>
          <w:p w14:paraId="0C459E62">
            <w:pPr>
              <w:spacing w:after="0" w:line="252" w:lineRule="auto"/>
            </w:pPr>
            <w:r>
              <w:rPr>
                <w:rFonts w:ascii="Noto Sans CJK SC" w:hAnsi="Noto Sans CJK SC" w:eastAsia="Noto Sans CJK SC"/>
                <w:b w:val="0"/>
                <w:sz w:val="16"/>
              </w:rPr>
              <w:t>拼接连续性、边缘畸变、地物结构合理性</w:t>
            </w:r>
          </w:p>
        </w:tc>
        <w:tc>
          <w:tcPr>
            <w:tcW w:w="1474" w:type="dxa"/>
            <w:vAlign w:val="top"/>
          </w:tcPr>
          <w:p w14:paraId="19EC8E36">
            <w:pPr>
              <w:spacing w:after="0" w:line="252" w:lineRule="auto"/>
            </w:pPr>
            <w:r>
              <w:rPr>
                <w:rFonts w:ascii="Noto Sans CJK SC" w:hAnsi="Noto Sans CJK SC" w:eastAsia="Noto Sans CJK SC"/>
                <w:b w:val="0"/>
                <w:sz w:val="16"/>
              </w:rPr>
              <w:t>主要阶段三</w:t>
            </w:r>
          </w:p>
        </w:tc>
        <w:tc>
          <w:tcPr>
            <w:tcW w:w="3515" w:type="dxa"/>
            <w:vAlign w:val="top"/>
          </w:tcPr>
          <w:p w14:paraId="6B5DC0AA">
            <w:pPr>
              <w:spacing w:after="0" w:line="252" w:lineRule="auto"/>
            </w:pPr>
            <w:r>
              <w:rPr>
                <w:rFonts w:ascii="Noto Sans CJK SC" w:hAnsi="Noto Sans CJK SC" w:eastAsia="Noto Sans CJK SC"/>
                <w:b w:val="0"/>
                <w:sz w:val="16"/>
              </w:rPr>
              <w:t>阶段一不作为严格 DBS 成像评价依据</w:t>
            </w:r>
          </w:p>
        </w:tc>
      </w:tr>
      <w:tr w14:paraId="32106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top"/>
          </w:tcPr>
          <w:p w14:paraId="6CE787F9">
            <w:pPr>
              <w:spacing w:after="0" w:line="252" w:lineRule="auto"/>
            </w:pPr>
            <w:r>
              <w:rPr>
                <w:rFonts w:ascii="Noto Sans CJK SC" w:hAnsi="Noto Sans CJK SC" w:eastAsia="Noto Sans CJK SC"/>
                <w:b w:val="0"/>
                <w:sz w:val="16"/>
              </w:rPr>
              <w:t>实时性</w:t>
            </w:r>
          </w:p>
        </w:tc>
        <w:tc>
          <w:tcPr>
            <w:tcW w:w="2494" w:type="dxa"/>
            <w:vAlign w:val="top"/>
          </w:tcPr>
          <w:p w14:paraId="73F555D5">
            <w:pPr>
              <w:spacing w:after="0" w:line="252" w:lineRule="auto"/>
            </w:pPr>
            <w:r>
              <w:rPr>
                <w:rFonts w:ascii="Noto Sans CJK SC" w:hAnsi="Noto Sans CJK SC" w:eastAsia="Noto Sans CJK SC"/>
                <w:b w:val="0"/>
                <w:sz w:val="16"/>
              </w:rPr>
              <w:t>单周期处理时间、处理/采集时间比例、I/O 与显存占用</w:t>
            </w:r>
          </w:p>
        </w:tc>
        <w:tc>
          <w:tcPr>
            <w:tcW w:w="1474" w:type="dxa"/>
            <w:vAlign w:val="top"/>
          </w:tcPr>
          <w:p w14:paraId="41471952">
            <w:pPr>
              <w:spacing w:after="0" w:line="252" w:lineRule="auto"/>
            </w:pPr>
            <w:r>
              <w:rPr>
                <w:rFonts w:ascii="Noto Sans CJK SC" w:hAnsi="Noto Sans CJK SC" w:eastAsia="Noto Sans CJK SC"/>
                <w:b w:val="0"/>
                <w:sz w:val="16"/>
              </w:rPr>
              <w:t>阶段一、二、三</w:t>
            </w:r>
          </w:p>
        </w:tc>
        <w:tc>
          <w:tcPr>
            <w:tcW w:w="3515" w:type="dxa"/>
            <w:vAlign w:val="top"/>
          </w:tcPr>
          <w:p w14:paraId="472E1CEC">
            <w:pPr>
              <w:spacing w:after="0" w:line="252" w:lineRule="auto"/>
            </w:pPr>
            <w:r>
              <w:rPr>
                <w:rFonts w:ascii="Noto Sans CJK SC" w:hAnsi="Noto Sans CJK SC" w:eastAsia="Noto Sans CJK SC"/>
                <w:b w:val="0"/>
                <w:sz w:val="16"/>
              </w:rPr>
              <w:t>验证是否满足 4.8 s 或 4.88 s 门限</w:t>
            </w:r>
          </w:p>
        </w:tc>
      </w:tr>
    </w:tbl>
    <w:p w14:paraId="6F17EB67"/>
    <w:p w14:paraId="7E16E2A7">
      <w:pPr>
        <w:pStyle w:val="3"/>
      </w:pPr>
      <w:r>
        <w:t>九、工作计划与周安排</w:t>
      </w:r>
    </w:p>
    <w:p w14:paraId="722FBA66">
      <w:pPr>
        <w:spacing w:after="100" w:line="300" w:lineRule="auto"/>
      </w:pPr>
      <w:r>
        <w:rPr>
          <w:rFonts w:ascii="Noto Sans CJK SC" w:hAnsi="Noto Sans CJK SC" w:eastAsia="Noto Sans CJK SC"/>
          <w:sz w:val="21"/>
        </w:rPr>
        <w:t>建议按 6 周推进。若当前阶段一代码已基本完成，可将第 1 周后半部分提前进入合作目标注入；若阶段二纯仿真正演开发量较大，可适当延长第 3～4 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
        <w:gridCol w:w="1815"/>
        <w:gridCol w:w="4433"/>
        <w:gridCol w:w="2853"/>
      </w:tblGrid>
      <w:tr w14:paraId="172B1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7" w:type="dxa"/>
            <w:shd w:val="clear" w:color="auto" w:fill="1F4E79"/>
            <w:vAlign w:val="center"/>
          </w:tcPr>
          <w:p w14:paraId="2811A4A9">
            <w:pPr>
              <w:spacing w:after="0" w:line="252" w:lineRule="auto"/>
            </w:pPr>
            <w:r>
              <w:rPr>
                <w:rFonts w:ascii="Noto Sans CJK SC" w:hAnsi="Noto Sans CJK SC" w:eastAsia="Noto Sans CJK SC"/>
                <w:b/>
                <w:color w:val="FFFFFF"/>
                <w:sz w:val="15"/>
              </w:rPr>
              <w:t>周次</w:t>
            </w:r>
          </w:p>
        </w:tc>
        <w:tc>
          <w:tcPr>
            <w:tcW w:w="1928" w:type="dxa"/>
            <w:shd w:val="clear" w:color="auto" w:fill="1F4E79"/>
            <w:vAlign w:val="center"/>
          </w:tcPr>
          <w:p w14:paraId="2C1C5950">
            <w:pPr>
              <w:spacing w:after="0" w:line="252" w:lineRule="auto"/>
            </w:pPr>
            <w:r>
              <w:rPr>
                <w:rFonts w:ascii="Noto Sans CJK SC" w:hAnsi="Noto Sans CJK SC" w:eastAsia="Noto Sans CJK SC"/>
                <w:b/>
                <w:color w:val="FFFFFF"/>
                <w:sz w:val="15"/>
              </w:rPr>
              <w:t>工作主题</w:t>
            </w:r>
          </w:p>
        </w:tc>
        <w:tc>
          <w:tcPr>
            <w:tcW w:w="4762" w:type="dxa"/>
            <w:shd w:val="clear" w:color="auto" w:fill="1F4E79"/>
            <w:vAlign w:val="center"/>
          </w:tcPr>
          <w:p w14:paraId="2F747FE7">
            <w:pPr>
              <w:spacing w:after="0" w:line="252" w:lineRule="auto"/>
            </w:pPr>
            <w:r>
              <w:rPr>
                <w:rFonts w:ascii="Noto Sans CJK SC" w:hAnsi="Noto Sans CJK SC" w:eastAsia="Noto Sans CJK SC"/>
                <w:b/>
                <w:color w:val="FFFFFF"/>
                <w:sz w:val="15"/>
              </w:rPr>
              <w:t>具体做法</w:t>
            </w:r>
          </w:p>
        </w:tc>
        <w:tc>
          <w:tcPr>
            <w:tcW w:w="3061" w:type="dxa"/>
            <w:shd w:val="clear" w:color="auto" w:fill="1F4E79"/>
            <w:vAlign w:val="center"/>
          </w:tcPr>
          <w:p w14:paraId="0D8A480B">
            <w:pPr>
              <w:spacing w:after="0" w:line="252" w:lineRule="auto"/>
            </w:pPr>
            <w:r>
              <w:rPr>
                <w:rFonts w:ascii="Noto Sans CJK SC" w:hAnsi="Noto Sans CJK SC" w:eastAsia="Noto Sans CJK SC"/>
                <w:b/>
                <w:color w:val="FFFFFF"/>
                <w:sz w:val="15"/>
              </w:rPr>
              <w:t>预期成果</w:t>
            </w:r>
          </w:p>
        </w:tc>
      </w:tr>
      <w:tr w14:paraId="0AF9D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top"/>
          </w:tcPr>
          <w:p w14:paraId="5F7207F0">
            <w:pPr>
              <w:spacing w:after="0" w:line="252" w:lineRule="auto"/>
            </w:pPr>
            <w:r>
              <w:rPr>
                <w:rFonts w:ascii="Noto Sans CJK SC" w:hAnsi="Noto Sans CJK SC" w:eastAsia="Noto Sans CJK SC"/>
                <w:b w:val="0"/>
                <w:sz w:val="15"/>
              </w:rPr>
              <w:t>第 1 周</w:t>
            </w:r>
          </w:p>
        </w:tc>
        <w:tc>
          <w:tcPr>
            <w:tcW w:w="1928" w:type="dxa"/>
            <w:vAlign w:val="top"/>
          </w:tcPr>
          <w:p w14:paraId="624A7887">
            <w:pPr>
              <w:spacing w:after="0" w:line="252" w:lineRule="auto"/>
            </w:pPr>
            <w:r>
              <w:rPr>
                <w:rFonts w:ascii="Noto Sans CJK SC" w:hAnsi="Noto Sans CJK SC" w:eastAsia="Noto Sans CJK SC"/>
                <w:b w:val="0"/>
                <w:sz w:val="15"/>
              </w:rPr>
              <w:t>阶段一数据闭合与基准接入</w:t>
            </w:r>
          </w:p>
        </w:tc>
        <w:tc>
          <w:tcPr>
            <w:tcW w:w="4762" w:type="dxa"/>
            <w:vAlign w:val="top"/>
          </w:tcPr>
          <w:p w14:paraId="3D2251AC">
            <w:pPr>
              <w:spacing w:after="0" w:line="252" w:lineRule="auto"/>
            </w:pPr>
            <w:r>
              <w:rPr>
                <w:rFonts w:ascii="Noto Sans CJK SC" w:hAnsi="Noto Sans CJK SC" w:eastAsia="Noto Sans CJK SC"/>
                <w:b w:val="0"/>
                <w:sz w:val="15"/>
              </w:rPr>
              <w:t>整理参数、确认 61 波位/130 脉冲/11820 点配置；完善旧 IQ 读取、镜像映射、脉冲重采样和距离向扩展；生成无合作目标数据接入算法。</w:t>
            </w:r>
          </w:p>
        </w:tc>
        <w:tc>
          <w:tcPr>
            <w:tcW w:w="3061" w:type="dxa"/>
            <w:vAlign w:val="top"/>
          </w:tcPr>
          <w:p w14:paraId="0D908B1C">
            <w:pPr>
              <w:spacing w:after="0" w:line="252" w:lineRule="auto"/>
            </w:pPr>
            <w:r>
              <w:rPr>
                <w:rFonts w:ascii="Noto Sans CJK SC" w:hAnsi="Noto Sans CJK SC" w:eastAsia="Noto Sans CJK SC"/>
                <w:b w:val="0"/>
                <w:sz w:val="15"/>
              </w:rPr>
              <w:t>形成工程验证型数据集 v1，算法可读取并输出基础结果，记录实时性和 DBS 图像局限。</w:t>
            </w:r>
          </w:p>
        </w:tc>
      </w:tr>
      <w:tr w14:paraId="55E9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top"/>
          </w:tcPr>
          <w:p w14:paraId="60187BFA">
            <w:pPr>
              <w:spacing w:after="0" w:line="252" w:lineRule="auto"/>
            </w:pPr>
            <w:r>
              <w:rPr>
                <w:rFonts w:ascii="Noto Sans CJK SC" w:hAnsi="Noto Sans CJK SC" w:eastAsia="Noto Sans CJK SC"/>
                <w:b w:val="0"/>
                <w:sz w:val="15"/>
              </w:rPr>
              <w:t>第 2 周</w:t>
            </w:r>
          </w:p>
        </w:tc>
        <w:tc>
          <w:tcPr>
            <w:tcW w:w="1928" w:type="dxa"/>
            <w:vAlign w:val="top"/>
          </w:tcPr>
          <w:p w14:paraId="7D60E300">
            <w:pPr>
              <w:spacing w:after="0" w:line="252" w:lineRule="auto"/>
            </w:pPr>
            <w:r>
              <w:rPr>
                <w:rFonts w:ascii="Noto Sans CJK SC" w:hAnsi="Noto Sans CJK SC" w:eastAsia="Noto Sans CJK SC"/>
                <w:b w:val="0"/>
                <w:sz w:val="15"/>
              </w:rPr>
              <w:t>阶段一合作目标注入与 GMTI 评价</w:t>
            </w:r>
          </w:p>
        </w:tc>
        <w:tc>
          <w:tcPr>
            <w:tcW w:w="4762" w:type="dxa"/>
            <w:vAlign w:val="top"/>
          </w:tcPr>
          <w:p w14:paraId="2FEBC937">
            <w:pPr>
              <w:spacing w:after="0" w:line="252" w:lineRule="auto"/>
            </w:pPr>
            <w:r>
              <w:rPr>
                <w:rFonts w:ascii="Noto Sans CJK SC" w:hAnsi="Noto Sans CJK SC" w:eastAsia="Noto Sans CJK SC"/>
                <w:b w:val="0"/>
                <w:sz w:val="15"/>
              </w:rPr>
              <w:t>在复制 IQ 背景上按新系统 DDC 域注入单目标、多目标、弱目标、交叉目标和间歇目标；输出 truth.csv 并进行检测和航迹评价。</w:t>
            </w:r>
          </w:p>
        </w:tc>
        <w:tc>
          <w:tcPr>
            <w:tcW w:w="3061" w:type="dxa"/>
            <w:vAlign w:val="top"/>
          </w:tcPr>
          <w:p w14:paraId="0A2F0A3D">
            <w:pPr>
              <w:spacing w:after="0" w:line="252" w:lineRule="auto"/>
            </w:pPr>
            <w:r>
              <w:rPr>
                <w:rFonts w:ascii="Noto Sans CJK SC" w:hAnsi="Noto Sans CJK SC" w:eastAsia="Noto Sans CJK SC"/>
                <w:b w:val="0"/>
                <w:sz w:val="15"/>
              </w:rPr>
              <w:t>形成实测风格背景下的 GMTI 检测、定位、速度估计和航迹关联评估报告。</w:t>
            </w:r>
          </w:p>
        </w:tc>
      </w:tr>
      <w:tr w14:paraId="1C78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7" w:type="dxa"/>
            <w:vAlign w:val="top"/>
          </w:tcPr>
          <w:p w14:paraId="312EC8D1">
            <w:pPr>
              <w:spacing w:after="0" w:line="252" w:lineRule="auto"/>
            </w:pPr>
            <w:r>
              <w:rPr>
                <w:rFonts w:ascii="Noto Sans CJK SC" w:hAnsi="Noto Sans CJK SC" w:eastAsia="Noto Sans CJK SC"/>
                <w:b w:val="0"/>
                <w:sz w:val="15"/>
              </w:rPr>
              <w:t>第 3 周</w:t>
            </w:r>
          </w:p>
        </w:tc>
        <w:tc>
          <w:tcPr>
            <w:tcW w:w="1928" w:type="dxa"/>
            <w:vAlign w:val="top"/>
          </w:tcPr>
          <w:p w14:paraId="3408915D">
            <w:pPr>
              <w:spacing w:after="0" w:line="252" w:lineRule="auto"/>
            </w:pPr>
            <w:r>
              <w:rPr>
                <w:rFonts w:ascii="Noto Sans CJK SC" w:hAnsi="Noto Sans CJK SC" w:eastAsia="Noto Sans CJK SC"/>
                <w:b w:val="0"/>
                <w:sz w:val="15"/>
              </w:rPr>
              <w:t>阶段二单点与统计杂波模型</w:t>
            </w:r>
          </w:p>
        </w:tc>
        <w:tc>
          <w:tcPr>
            <w:tcW w:w="4762" w:type="dxa"/>
            <w:vAlign w:val="top"/>
          </w:tcPr>
          <w:p w14:paraId="70BFA131">
            <w:pPr>
              <w:spacing w:after="0" w:line="252" w:lineRule="auto"/>
            </w:pPr>
            <w:r>
              <w:rPr>
                <w:rFonts w:ascii="Noto Sans CJK SC" w:hAnsi="Noto Sans CJK SC" w:eastAsia="Noto Sans CJK SC"/>
                <w:b w:val="0"/>
                <w:sz w:val="15"/>
              </w:rPr>
              <w:t>实现新系统 LFM DDC 单点目标正演，验证脉压峰；建立面状杂波、强散射点、线状散射体和热噪声模型。</w:t>
            </w:r>
          </w:p>
        </w:tc>
        <w:tc>
          <w:tcPr>
            <w:tcW w:w="3061" w:type="dxa"/>
            <w:vAlign w:val="top"/>
          </w:tcPr>
          <w:p w14:paraId="0C39592D">
            <w:pPr>
              <w:spacing w:after="0" w:line="252" w:lineRule="auto"/>
            </w:pPr>
            <w:r>
              <w:rPr>
                <w:rFonts w:ascii="Noto Sans CJK SC" w:hAnsi="Noto Sans CJK SC" w:eastAsia="Noto Sans CJK SC"/>
                <w:b w:val="0"/>
                <w:sz w:val="15"/>
              </w:rPr>
              <w:t>形成新系统参数自洽的单点和单波位统计背景验证结果。</w:t>
            </w:r>
          </w:p>
        </w:tc>
      </w:tr>
      <w:tr w14:paraId="5F12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top"/>
          </w:tcPr>
          <w:p w14:paraId="51CB3821">
            <w:pPr>
              <w:spacing w:after="0" w:line="252" w:lineRule="auto"/>
            </w:pPr>
            <w:r>
              <w:rPr>
                <w:rFonts w:ascii="Noto Sans CJK SC" w:hAnsi="Noto Sans CJK SC" w:eastAsia="Noto Sans CJK SC"/>
                <w:b w:val="0"/>
                <w:sz w:val="15"/>
              </w:rPr>
              <w:t>第 4 周</w:t>
            </w:r>
          </w:p>
        </w:tc>
        <w:tc>
          <w:tcPr>
            <w:tcW w:w="1928" w:type="dxa"/>
            <w:vAlign w:val="top"/>
          </w:tcPr>
          <w:p w14:paraId="1CC4822D">
            <w:pPr>
              <w:spacing w:after="0" w:line="252" w:lineRule="auto"/>
            </w:pPr>
            <w:r>
              <w:rPr>
                <w:rFonts w:ascii="Noto Sans CJK SC" w:hAnsi="Noto Sans CJK SC" w:eastAsia="Noto Sans CJK SC"/>
                <w:b w:val="0"/>
                <w:sz w:val="15"/>
              </w:rPr>
              <w:t>阶段二纯仿真多周期数据集</w:t>
            </w:r>
          </w:p>
        </w:tc>
        <w:tc>
          <w:tcPr>
            <w:tcW w:w="4762" w:type="dxa"/>
            <w:vAlign w:val="top"/>
          </w:tcPr>
          <w:p w14:paraId="6CF1B1F7">
            <w:pPr>
              <w:spacing w:after="0" w:line="252" w:lineRule="auto"/>
            </w:pPr>
            <w:r>
              <w:rPr>
                <w:rFonts w:ascii="Noto Sans CJK SC" w:hAnsi="Noto Sans CJK SC" w:eastAsia="Noto Sans CJK SC"/>
                <w:b w:val="0"/>
                <w:sz w:val="15"/>
              </w:rPr>
              <w:t>扩展到 61 波位、多周期、双通道统计杂波背景；加入合作目标，评估检测率、虚警率、速度误差和航迹稳定性。</w:t>
            </w:r>
          </w:p>
        </w:tc>
        <w:tc>
          <w:tcPr>
            <w:tcW w:w="3061" w:type="dxa"/>
            <w:vAlign w:val="top"/>
          </w:tcPr>
          <w:p w14:paraId="69C1C405">
            <w:pPr>
              <w:spacing w:after="0" w:line="252" w:lineRule="auto"/>
            </w:pPr>
            <w:r>
              <w:rPr>
                <w:rFonts w:ascii="Noto Sans CJK SC" w:hAnsi="Noto Sans CJK SC" w:eastAsia="Noto Sans CJK SC"/>
                <w:b w:val="0"/>
                <w:sz w:val="15"/>
              </w:rPr>
              <w:t>形成统计杂波纯仿真数据集和参数自洽验证报告。</w:t>
            </w:r>
          </w:p>
        </w:tc>
      </w:tr>
      <w:tr w14:paraId="52066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top"/>
          </w:tcPr>
          <w:p w14:paraId="5774E64A">
            <w:pPr>
              <w:spacing w:after="0" w:line="252" w:lineRule="auto"/>
            </w:pPr>
            <w:r>
              <w:rPr>
                <w:rFonts w:ascii="Noto Sans CJK SC" w:hAnsi="Noto Sans CJK SC" w:eastAsia="Noto Sans CJK SC"/>
                <w:b w:val="0"/>
                <w:sz w:val="15"/>
              </w:rPr>
              <w:t>第 5 周</w:t>
            </w:r>
          </w:p>
        </w:tc>
        <w:tc>
          <w:tcPr>
            <w:tcW w:w="1928" w:type="dxa"/>
            <w:vAlign w:val="top"/>
          </w:tcPr>
          <w:p w14:paraId="3C2C0E23">
            <w:pPr>
              <w:spacing w:after="0" w:line="252" w:lineRule="auto"/>
            </w:pPr>
            <w:r>
              <w:rPr>
                <w:rFonts w:ascii="Noto Sans CJK SC" w:hAnsi="Noto Sans CJK SC" w:eastAsia="Noto Sans CJK SC"/>
                <w:b w:val="0"/>
                <w:sz w:val="15"/>
              </w:rPr>
              <w:t>阶段三场景反演与轻量正演</w:t>
            </w:r>
          </w:p>
        </w:tc>
        <w:tc>
          <w:tcPr>
            <w:tcW w:w="4762" w:type="dxa"/>
            <w:vAlign w:val="top"/>
          </w:tcPr>
          <w:p w14:paraId="2FCD4FAA">
            <w:pPr>
              <w:spacing w:after="0" w:line="252" w:lineRule="auto"/>
            </w:pPr>
            <w:r>
              <w:rPr>
                <w:rFonts w:ascii="Noto Sans CJK SC" w:hAnsi="Noto Sans CJK SC" w:eastAsia="Noto Sans CJK SC"/>
                <w:b w:val="0"/>
                <w:sz w:val="15"/>
              </w:rPr>
              <w:t>整理已有 DBS 图像、角点映射和地理关系；提取强散射点和线状结构；进行小规模新系统正演并检查距离位置和图像趋势。</w:t>
            </w:r>
          </w:p>
        </w:tc>
        <w:tc>
          <w:tcPr>
            <w:tcW w:w="3061" w:type="dxa"/>
            <w:vAlign w:val="top"/>
          </w:tcPr>
          <w:p w14:paraId="54EF8134">
            <w:pPr>
              <w:spacing w:after="0" w:line="252" w:lineRule="auto"/>
            </w:pPr>
            <w:r>
              <w:rPr>
                <w:rFonts w:ascii="Noto Sans CJK SC" w:hAnsi="Noto Sans CJK SC" w:eastAsia="Noto Sans CJK SC"/>
                <w:b w:val="0"/>
                <w:sz w:val="15"/>
              </w:rPr>
              <w:t>形成轻量级场景反演数据和小规模物理正演结果。</w:t>
            </w:r>
          </w:p>
        </w:tc>
      </w:tr>
      <w:tr w14:paraId="285C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top"/>
          </w:tcPr>
          <w:p w14:paraId="35F1B9D6">
            <w:pPr>
              <w:spacing w:after="0" w:line="252" w:lineRule="auto"/>
            </w:pPr>
            <w:r>
              <w:rPr>
                <w:rFonts w:ascii="Noto Sans CJK SC" w:hAnsi="Noto Sans CJK SC" w:eastAsia="Noto Sans CJK SC"/>
                <w:b w:val="0"/>
                <w:sz w:val="15"/>
              </w:rPr>
              <w:t>第 6 周</w:t>
            </w:r>
          </w:p>
        </w:tc>
        <w:tc>
          <w:tcPr>
            <w:tcW w:w="1928" w:type="dxa"/>
            <w:vAlign w:val="top"/>
          </w:tcPr>
          <w:p w14:paraId="41BC4E94">
            <w:pPr>
              <w:spacing w:after="0" w:line="252" w:lineRule="auto"/>
            </w:pPr>
            <w:r>
              <w:rPr>
                <w:rFonts w:ascii="Noto Sans CJK SC" w:hAnsi="Noto Sans CJK SC" w:eastAsia="Noto Sans CJK SC"/>
                <w:b w:val="0"/>
                <w:sz w:val="15"/>
              </w:rPr>
              <w:t>阶段三扩展与总结固化</w:t>
            </w:r>
          </w:p>
        </w:tc>
        <w:tc>
          <w:tcPr>
            <w:tcW w:w="4762" w:type="dxa"/>
            <w:vAlign w:val="top"/>
          </w:tcPr>
          <w:p w14:paraId="5F9FE020">
            <w:pPr>
              <w:spacing w:after="0" w:line="252" w:lineRule="auto"/>
            </w:pPr>
            <w:r>
              <w:rPr>
                <w:rFonts w:ascii="Noto Sans CJK SC" w:hAnsi="Noto Sans CJK SC" w:eastAsia="Noto Sans CJK SC"/>
                <w:b w:val="0"/>
                <w:sz w:val="15"/>
              </w:rPr>
              <w:t>扩大散射点数量，生成更完整的几何背景；加入合作目标；比较三阶段数据的检测、航迹、成像和实时性结果。</w:t>
            </w:r>
          </w:p>
        </w:tc>
        <w:tc>
          <w:tcPr>
            <w:tcW w:w="3061" w:type="dxa"/>
            <w:vAlign w:val="top"/>
          </w:tcPr>
          <w:p w14:paraId="55D7595D">
            <w:pPr>
              <w:spacing w:after="0" w:line="252" w:lineRule="auto"/>
            </w:pPr>
            <w:r>
              <w:rPr>
                <w:rFonts w:ascii="Noto Sans CJK SC" w:hAnsi="Noto Sans CJK SC" w:eastAsia="Noto Sans CJK SC"/>
                <w:b w:val="0"/>
                <w:sz w:val="15"/>
              </w:rPr>
              <w:t>形成三类数据集、统一评价结果、阶段总结报告和后续真实数据采集建议。</w:t>
            </w:r>
          </w:p>
        </w:tc>
      </w:tr>
    </w:tbl>
    <w:p w14:paraId="5A7F11FB"/>
    <w:p w14:paraId="518F1C98">
      <w:pPr>
        <w:pStyle w:val="3"/>
      </w:pPr>
      <w:r>
        <w:t>十、逐阶段详细实施说明</w:t>
      </w:r>
    </w:p>
    <w:p w14:paraId="411D809C">
      <w:pPr>
        <w:pStyle w:val="4"/>
      </w:pPr>
      <w:r>
        <w:t>10.1 阶段一实施步骤</w:t>
      </w:r>
    </w:p>
    <w:p w14:paraId="7C9C3A0E">
      <w:pPr>
        <w:pStyle w:val="16"/>
        <w:spacing w:after="40" w:line="288" w:lineRule="auto"/>
      </w:pPr>
      <w:r>
        <w:rPr>
          <w:rFonts w:ascii="Noto Sans CJK SC" w:hAnsi="Noto Sans CJK SC" w:eastAsia="Noto Sans CJK SC"/>
          <w:sz w:val="20"/>
        </w:rPr>
        <w:t>步骤 1：完成 temp_config.xml 参数审查，确认旧数据周期数、波位数、通道数和复数格式。</w:t>
      </w:r>
    </w:p>
    <w:p w14:paraId="5F972053">
      <w:pPr>
        <w:pStyle w:val="16"/>
        <w:spacing w:after="40" w:line="288" w:lineRule="auto"/>
      </w:pPr>
      <w:r>
        <w:rPr>
          <w:rFonts w:ascii="Noto Sans CJK SC" w:hAnsi="Noto Sans CJK SC" w:eastAsia="Noto Sans CJK SC"/>
          <w:sz w:val="20"/>
        </w:rPr>
        <w:t>步骤 2：建立 -60°～60° 与 -59°～61° 两种新角度网格，并输出 old_to_new_beam_map.csv。</w:t>
      </w:r>
    </w:p>
    <w:p w14:paraId="522EEA78">
      <w:pPr>
        <w:pStyle w:val="16"/>
        <w:spacing w:after="40" w:line="288" w:lineRule="auto"/>
      </w:pPr>
      <w:r>
        <w:rPr>
          <w:rFonts w:ascii="Noto Sans CJK SC" w:hAnsi="Noto Sans CJK SC" w:eastAsia="Noto Sans CJK SC"/>
          <w:sz w:val="20"/>
        </w:rPr>
        <w:t>步骤 3：实现 physical_time 和 normalized 两种 256→130 脉冲重采样模式，默认采用 physical_time。</w:t>
      </w:r>
    </w:p>
    <w:p w14:paraId="720D6465">
      <w:pPr>
        <w:pStyle w:val="16"/>
        <w:spacing w:after="40" w:line="288" w:lineRule="auto"/>
      </w:pPr>
      <w:r>
        <w:rPr>
          <w:rFonts w:ascii="Noto Sans CJK SC" w:hAnsi="Noto Sans CJK SC" w:eastAsia="Noto Sans CJK SC"/>
          <w:sz w:val="20"/>
        </w:rPr>
        <w:t>步骤 4：实现 4096→11820 FFT resize，并输出幅度、RMS、频谱和 NaN/Inf 检查报告。</w:t>
      </w:r>
    </w:p>
    <w:p w14:paraId="599EB3B0">
      <w:pPr>
        <w:pStyle w:val="16"/>
        <w:spacing w:after="40" w:line="288" w:lineRule="auto"/>
      </w:pPr>
      <w:r>
        <w:rPr>
          <w:rFonts w:ascii="Noto Sans CJK SC" w:hAnsi="Noto Sans CJK SC" w:eastAsia="Noto Sans CJK SC"/>
          <w:sz w:val="20"/>
        </w:rPr>
        <w:t>步骤 5：生成无合作目标数据接入算法，记录 DBS 图像问题但不以其作为主要验收。</w:t>
      </w:r>
    </w:p>
    <w:p w14:paraId="4CFA4002">
      <w:pPr>
        <w:pStyle w:val="16"/>
        <w:spacing w:after="40" w:line="288" w:lineRule="auto"/>
      </w:pPr>
      <w:r>
        <w:rPr>
          <w:rFonts w:ascii="Noto Sans CJK SC" w:hAnsi="Noto Sans CJK SC" w:eastAsia="Noto Sans CJK SC"/>
          <w:sz w:val="20"/>
        </w:rPr>
        <w:t>步骤 6：注入合作目标并输出 truth.csv，完成检测和航迹评价。</w:t>
      </w:r>
    </w:p>
    <w:p w14:paraId="7BB7BEEC">
      <w:pPr>
        <w:pStyle w:val="4"/>
      </w:pPr>
      <w:r>
        <w:t>10.2 阶段二实施步骤</w:t>
      </w:r>
    </w:p>
    <w:p w14:paraId="6FEFC7F9">
      <w:pPr>
        <w:pStyle w:val="16"/>
        <w:spacing w:after="40" w:line="288" w:lineRule="auto"/>
      </w:pPr>
      <w:r>
        <w:rPr>
          <w:rFonts w:ascii="Noto Sans CJK SC" w:hAnsi="Noto Sans CJK SC" w:eastAsia="Noto Sans CJK SC"/>
          <w:sz w:val="20"/>
        </w:rPr>
        <w:t>步骤 1：实现新系统单点目标 DDC 正演，确认脉压峰位置和主旁瓣形态。</w:t>
      </w:r>
    </w:p>
    <w:p w14:paraId="76D5C570">
      <w:pPr>
        <w:pStyle w:val="16"/>
        <w:spacing w:after="40" w:line="288" w:lineRule="auto"/>
      </w:pPr>
      <w:r>
        <w:rPr>
          <w:rFonts w:ascii="Noto Sans CJK SC" w:hAnsi="Noto Sans CJK SC" w:eastAsia="Noto Sans CJK SC"/>
          <w:sz w:val="20"/>
        </w:rPr>
        <w:t>步骤 2：实现面状杂波分布模型，支持 Rayleigh、Weibull、K 分布或 lognormal 参数。</w:t>
      </w:r>
    </w:p>
    <w:p w14:paraId="5D35C414">
      <w:pPr>
        <w:pStyle w:val="16"/>
        <w:spacing w:after="40" w:line="288" w:lineRule="auto"/>
      </w:pPr>
      <w:r>
        <w:rPr>
          <w:rFonts w:ascii="Noto Sans CJK SC" w:hAnsi="Noto Sans CJK SC" w:eastAsia="Noto Sans CJK SC"/>
          <w:sz w:val="20"/>
        </w:rPr>
        <w:t>步骤 3：加入强散射点、线状散射体和热噪声，形成可控复杂背景。</w:t>
      </w:r>
    </w:p>
    <w:p w14:paraId="1A6737F7">
      <w:pPr>
        <w:pStyle w:val="16"/>
        <w:spacing w:after="40" w:line="288" w:lineRule="auto"/>
      </w:pPr>
      <w:r>
        <w:rPr>
          <w:rFonts w:ascii="Noto Sans CJK SC" w:hAnsi="Noto Sans CJK SC" w:eastAsia="Noto Sans CJK SC"/>
          <w:sz w:val="20"/>
        </w:rPr>
        <w:t>步骤 4：将统计杂波扩展到 61 波位、多周期、双通道</w:t>
      </w:r>
      <w:bookmarkStart w:id="0" w:name="_GoBack"/>
      <w:bookmarkEnd w:id="0"/>
      <w:r>
        <w:rPr>
          <w:rFonts w:ascii="Noto Sans CJK SC" w:hAnsi="Noto Sans CJK SC" w:eastAsia="Noto Sans CJK SC"/>
          <w:sz w:val="20"/>
        </w:rPr>
        <w:t>，并记录功率、虚警密度和空间相关性。</w:t>
      </w:r>
    </w:p>
    <w:p w14:paraId="21861310">
      <w:pPr>
        <w:pStyle w:val="16"/>
        <w:spacing w:after="40" w:line="288" w:lineRule="auto"/>
      </w:pPr>
      <w:r>
        <w:rPr>
          <w:rFonts w:ascii="Noto Sans CJK SC" w:hAnsi="Noto Sans CJK SC" w:eastAsia="Noto Sans CJK SC"/>
          <w:sz w:val="20"/>
        </w:rPr>
        <w:t>步骤 5：复用合作目标库与评价脚本，形成检测率/虚警率/航迹稳定性对比结果。</w:t>
      </w:r>
    </w:p>
    <w:p w14:paraId="78E35D64">
      <w:pPr>
        <w:pStyle w:val="4"/>
      </w:pPr>
      <w:r>
        <w:t>10.3 阶段三实施步骤</w:t>
      </w:r>
    </w:p>
    <w:p w14:paraId="43247CE2">
      <w:pPr>
        <w:pStyle w:val="16"/>
        <w:spacing w:after="40" w:line="288" w:lineRule="auto"/>
      </w:pPr>
      <w:r>
        <w:rPr>
          <w:rFonts w:ascii="Noto Sans CJK SC" w:hAnsi="Noto Sans CJK SC" w:eastAsia="Noto Sans CJK SC"/>
          <w:sz w:val="20"/>
        </w:rPr>
        <w:t>步骤 1：选择质量较好的旧 DBS 图像，整理角点映射或像素到地面坐标关系。</w:t>
      </w:r>
    </w:p>
    <w:p w14:paraId="556B1F48">
      <w:pPr>
        <w:pStyle w:val="16"/>
        <w:spacing w:after="40" w:line="288" w:lineRule="auto"/>
      </w:pPr>
      <w:r>
        <w:rPr>
          <w:rFonts w:ascii="Noto Sans CJK SC" w:hAnsi="Noto Sans CJK SC" w:eastAsia="Noto Sans CJK SC"/>
          <w:sz w:val="20"/>
        </w:rPr>
        <w:t>步骤 2：根据图像强度、纹理和线状结构生成候选散射点，并通过阈值和网格抽样控制数量。</w:t>
      </w:r>
    </w:p>
    <w:p w14:paraId="4F70AEB9">
      <w:pPr>
        <w:pStyle w:val="16"/>
        <w:spacing w:after="40" w:line="288" w:lineRule="auto"/>
      </w:pPr>
      <w:r>
        <w:rPr>
          <w:rFonts w:ascii="Noto Sans CJK SC" w:hAnsi="Noto Sans CJK SC" w:eastAsia="Noto Sans CJK SC"/>
          <w:sz w:val="20"/>
        </w:rPr>
        <w:t>步骤 3：按新系统平台轨迹、波位角、采样延迟、LFM 体制和双通道基线进行 DDC 正演。</w:t>
      </w:r>
    </w:p>
    <w:p w14:paraId="22AC0D0B">
      <w:pPr>
        <w:pStyle w:val="16"/>
        <w:spacing w:after="40" w:line="288" w:lineRule="auto"/>
      </w:pPr>
      <w:r>
        <w:rPr>
          <w:rFonts w:ascii="Noto Sans CJK SC" w:hAnsi="Noto Sans CJK SC" w:eastAsia="Noto Sans CJK SC"/>
          <w:sz w:val="20"/>
        </w:rPr>
        <w:t>步骤 4：先进行少量强散射点轻量验证，再逐步扩大到高密度场景。</w:t>
      </w:r>
    </w:p>
    <w:p w14:paraId="50617AC8">
      <w:pPr>
        <w:pStyle w:val="16"/>
        <w:spacing w:after="40" w:line="288" w:lineRule="auto"/>
      </w:pPr>
      <w:r>
        <w:rPr>
          <w:rFonts w:ascii="Noto Sans CJK SC" w:hAnsi="Noto Sans CJK SC" w:eastAsia="Noto Sans CJK SC"/>
          <w:sz w:val="20"/>
        </w:rPr>
        <w:t>步骤 5：与阶段一、阶段二数据进行 DBS 图像、GMTI 检测、航迹和实时性对比。</w:t>
      </w:r>
    </w:p>
    <w:p w14:paraId="18A8BE46">
      <w:pPr>
        <w:pStyle w:val="3"/>
      </w:pPr>
      <w:r>
        <w:t>十一、风险分析与应对措施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3118"/>
        <w:gridCol w:w="3969"/>
      </w:tblGrid>
      <w:tr w14:paraId="6217F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1F4E79"/>
            <w:vAlign w:val="center"/>
          </w:tcPr>
          <w:p w14:paraId="79559186">
            <w:pPr>
              <w:spacing w:after="0" w:line="252" w:lineRule="auto"/>
            </w:pPr>
            <w:r>
              <w:rPr>
                <w:rFonts w:ascii="Noto Sans CJK SC" w:hAnsi="Noto Sans CJK SC" w:eastAsia="Noto Sans CJK SC"/>
                <w:b/>
                <w:color w:val="FFFFFF"/>
                <w:sz w:val="16"/>
              </w:rPr>
              <w:t>风险点</w:t>
            </w:r>
          </w:p>
        </w:tc>
        <w:tc>
          <w:tcPr>
            <w:tcW w:w="3118" w:type="dxa"/>
            <w:shd w:val="clear" w:color="auto" w:fill="1F4E79"/>
            <w:vAlign w:val="center"/>
          </w:tcPr>
          <w:p w14:paraId="1AC24CAD">
            <w:pPr>
              <w:spacing w:after="0" w:line="252" w:lineRule="auto"/>
            </w:pPr>
            <w:r>
              <w:rPr>
                <w:rFonts w:ascii="Noto Sans CJK SC" w:hAnsi="Noto Sans CJK SC" w:eastAsia="Noto Sans CJK SC"/>
                <w:b/>
                <w:color w:val="FFFFFF"/>
                <w:sz w:val="16"/>
              </w:rPr>
              <w:t>可能影响</w:t>
            </w:r>
          </w:p>
        </w:tc>
        <w:tc>
          <w:tcPr>
            <w:tcW w:w="3969" w:type="dxa"/>
            <w:shd w:val="clear" w:color="auto" w:fill="1F4E79"/>
            <w:vAlign w:val="center"/>
          </w:tcPr>
          <w:p w14:paraId="256D572E">
            <w:pPr>
              <w:spacing w:after="0" w:line="252" w:lineRule="auto"/>
            </w:pPr>
            <w:r>
              <w:rPr>
                <w:rFonts w:ascii="Noto Sans CJK SC" w:hAnsi="Noto Sans CJK SC" w:eastAsia="Noto Sans CJK SC"/>
                <w:b/>
                <w:color w:val="FFFFFF"/>
                <w:sz w:val="16"/>
              </w:rPr>
              <w:t>应对措施</w:t>
            </w:r>
          </w:p>
        </w:tc>
      </w:tr>
      <w:tr w14:paraId="585D6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29E52465">
            <w:pPr>
              <w:spacing w:after="0" w:line="252" w:lineRule="auto"/>
            </w:pPr>
            <w:r>
              <w:rPr>
                <w:rFonts w:ascii="Noto Sans CJK SC" w:hAnsi="Noto Sans CJK SC" w:eastAsia="Noto Sans CJK SC"/>
                <w:b w:val="0"/>
                <w:sz w:val="16"/>
              </w:rPr>
              <w:t>阶段一 DBS 图像不正确</w:t>
            </w:r>
          </w:p>
        </w:tc>
        <w:tc>
          <w:tcPr>
            <w:tcW w:w="3118" w:type="dxa"/>
            <w:vAlign w:val="top"/>
          </w:tcPr>
          <w:p w14:paraId="216162B0">
            <w:pPr>
              <w:spacing w:after="0" w:line="252" w:lineRule="auto"/>
            </w:pPr>
            <w:r>
              <w:rPr>
                <w:rFonts w:ascii="Noto Sans CJK SC" w:hAnsi="Noto Sans CJK SC" w:eastAsia="Noto Sans CJK SC"/>
                <w:b w:val="0"/>
                <w:sz w:val="16"/>
              </w:rPr>
              <w:t>可能被误解为算法成像失败</w:t>
            </w:r>
          </w:p>
        </w:tc>
        <w:tc>
          <w:tcPr>
            <w:tcW w:w="3969" w:type="dxa"/>
            <w:vAlign w:val="top"/>
          </w:tcPr>
          <w:p w14:paraId="708A096D">
            <w:pPr>
              <w:spacing w:after="0" w:line="252" w:lineRule="auto"/>
            </w:pPr>
            <w:r>
              <w:rPr>
                <w:rFonts w:ascii="Noto Sans CJK SC" w:hAnsi="Noto Sans CJK SC" w:eastAsia="Noto Sans CJK SC"/>
                <w:b w:val="0"/>
                <w:sz w:val="16"/>
              </w:rPr>
              <w:t>明确阶段一只用于工程链路和 GMTI 检测跟踪，不作为宽角 DBS 几何结论。</w:t>
            </w:r>
          </w:p>
        </w:tc>
      </w:tr>
      <w:tr w14:paraId="1561D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7C2F5CE2">
            <w:pPr>
              <w:spacing w:after="0" w:line="252" w:lineRule="auto"/>
            </w:pPr>
            <w:r>
              <w:rPr>
                <w:rFonts w:ascii="Noto Sans CJK SC" w:hAnsi="Noto Sans CJK SC" w:eastAsia="Noto Sans CJK SC"/>
                <w:b w:val="0"/>
                <w:sz w:val="16"/>
              </w:rPr>
              <w:t>复制 IQ 背景与新系统参数不一致</w:t>
            </w:r>
          </w:p>
        </w:tc>
        <w:tc>
          <w:tcPr>
            <w:tcW w:w="3118" w:type="dxa"/>
            <w:vAlign w:val="top"/>
          </w:tcPr>
          <w:p w14:paraId="59BA6536">
            <w:pPr>
              <w:spacing w:after="0" w:line="252" w:lineRule="auto"/>
            </w:pPr>
            <w:r>
              <w:rPr>
                <w:rFonts w:ascii="Noto Sans CJK SC" w:hAnsi="Noto Sans CJK SC" w:eastAsia="Noto Sans CJK SC"/>
                <w:b w:val="0"/>
                <w:sz w:val="16"/>
              </w:rPr>
              <w:t>背景相位、脉压和距离窗口不具备严格物理意义</w:t>
            </w:r>
          </w:p>
        </w:tc>
        <w:tc>
          <w:tcPr>
            <w:tcW w:w="3969" w:type="dxa"/>
            <w:vAlign w:val="top"/>
          </w:tcPr>
          <w:p w14:paraId="683C38BD">
            <w:pPr>
              <w:spacing w:after="0" w:line="252" w:lineRule="auto"/>
            </w:pPr>
            <w:r>
              <w:rPr>
                <w:rFonts w:ascii="Noto Sans CJK SC" w:hAnsi="Noto Sans CJK SC" w:eastAsia="Noto Sans CJK SC"/>
                <w:b w:val="0"/>
                <w:sz w:val="16"/>
              </w:rPr>
              <w:t>保留阶段一作为实测风格背景；由阶段二和阶段三生成参数自洽数据。</w:t>
            </w:r>
          </w:p>
        </w:tc>
      </w:tr>
      <w:tr w14:paraId="7CF1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81" w:type="dxa"/>
            <w:vAlign w:val="top"/>
          </w:tcPr>
          <w:p w14:paraId="5AAE1A10">
            <w:pPr>
              <w:spacing w:after="0" w:line="252" w:lineRule="auto"/>
            </w:pPr>
            <w:r>
              <w:rPr>
                <w:rFonts w:ascii="Noto Sans CJK SC" w:hAnsi="Noto Sans CJK SC" w:eastAsia="Noto Sans CJK SC"/>
                <w:b w:val="0"/>
                <w:sz w:val="16"/>
              </w:rPr>
              <w:t>统计杂波过于理想</w:t>
            </w:r>
          </w:p>
        </w:tc>
        <w:tc>
          <w:tcPr>
            <w:tcW w:w="3118" w:type="dxa"/>
            <w:vAlign w:val="top"/>
          </w:tcPr>
          <w:p w14:paraId="101BBE48">
            <w:pPr>
              <w:spacing w:after="0" w:line="252" w:lineRule="auto"/>
            </w:pPr>
            <w:r>
              <w:rPr>
                <w:rFonts w:ascii="Noto Sans CJK SC" w:hAnsi="Noto Sans CJK SC" w:eastAsia="Noto Sans CJK SC"/>
                <w:b w:val="0"/>
                <w:sz w:val="16"/>
              </w:rPr>
              <w:t>算法验证难度不足，虚警特征不真实</w:t>
            </w:r>
          </w:p>
        </w:tc>
        <w:tc>
          <w:tcPr>
            <w:tcW w:w="3969" w:type="dxa"/>
            <w:vAlign w:val="top"/>
          </w:tcPr>
          <w:p w14:paraId="6E57F596">
            <w:pPr>
              <w:spacing w:after="0" w:line="252" w:lineRule="auto"/>
            </w:pPr>
            <w:r>
              <w:rPr>
                <w:rFonts w:ascii="Noto Sans CJK SC" w:hAnsi="Noto Sans CJK SC" w:eastAsia="Noto Sans CJK SC"/>
                <w:b w:val="0"/>
                <w:sz w:val="16"/>
              </w:rPr>
              <w:t>加入强散射点、线状散射体、空间相关杂波和实测统计参数标定。</w:t>
            </w:r>
          </w:p>
        </w:tc>
      </w:tr>
      <w:tr w14:paraId="20A7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495CECD8">
            <w:pPr>
              <w:spacing w:after="0" w:line="252" w:lineRule="auto"/>
            </w:pPr>
            <w:r>
              <w:rPr>
                <w:rFonts w:ascii="Noto Sans CJK SC" w:hAnsi="Noto Sans CJK SC" w:eastAsia="Noto Sans CJK SC"/>
                <w:b w:val="0"/>
                <w:sz w:val="16"/>
              </w:rPr>
              <w:t>阶段三反演不唯一</w:t>
            </w:r>
          </w:p>
        </w:tc>
        <w:tc>
          <w:tcPr>
            <w:tcW w:w="3118" w:type="dxa"/>
            <w:vAlign w:val="top"/>
          </w:tcPr>
          <w:p w14:paraId="1415C62E">
            <w:pPr>
              <w:spacing w:after="0" w:line="252" w:lineRule="auto"/>
            </w:pPr>
            <w:r>
              <w:rPr>
                <w:rFonts w:ascii="Noto Sans CJK SC" w:hAnsi="Noto Sans CJK SC" w:eastAsia="Noto Sans CJK SC"/>
                <w:b w:val="0"/>
                <w:sz w:val="16"/>
              </w:rPr>
              <w:t>难以从旧图像准确恢复真实散射场</w:t>
            </w:r>
          </w:p>
        </w:tc>
        <w:tc>
          <w:tcPr>
            <w:tcW w:w="3969" w:type="dxa"/>
            <w:vAlign w:val="top"/>
          </w:tcPr>
          <w:p w14:paraId="05FEC932">
            <w:pPr>
              <w:spacing w:after="0" w:line="252" w:lineRule="auto"/>
            </w:pPr>
            <w:r>
              <w:rPr>
                <w:rFonts w:ascii="Noto Sans CJK SC" w:hAnsi="Noto Sans CJK SC" w:eastAsia="Noto Sans CJK SC"/>
                <w:b w:val="0"/>
                <w:sz w:val="16"/>
              </w:rPr>
              <w:t>采用“近似地面散射场构建”表述，不声称严格唯一反演；以图像和检测结果改善为目标。</w:t>
            </w:r>
          </w:p>
        </w:tc>
      </w:tr>
      <w:tr w14:paraId="48E3B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F2F921B">
            <w:pPr>
              <w:spacing w:after="0" w:line="252" w:lineRule="auto"/>
            </w:pPr>
            <w:r>
              <w:rPr>
                <w:rFonts w:ascii="Noto Sans CJK SC" w:hAnsi="Noto Sans CJK SC" w:eastAsia="Noto Sans CJK SC"/>
                <w:b w:val="0"/>
                <w:sz w:val="16"/>
              </w:rPr>
              <w:t>散射点正演计算量大</w:t>
            </w:r>
          </w:p>
        </w:tc>
        <w:tc>
          <w:tcPr>
            <w:tcW w:w="3118" w:type="dxa"/>
            <w:vAlign w:val="top"/>
          </w:tcPr>
          <w:p w14:paraId="51D18BC2">
            <w:pPr>
              <w:spacing w:after="0" w:line="252" w:lineRule="auto"/>
            </w:pPr>
            <w:r>
              <w:rPr>
                <w:rFonts w:ascii="Noto Sans CJK SC" w:hAnsi="Noto Sans CJK SC" w:eastAsia="Noto Sans CJK SC"/>
                <w:b w:val="0"/>
                <w:sz w:val="16"/>
              </w:rPr>
              <w:t>生成时间长，难以批量测试</w:t>
            </w:r>
          </w:p>
        </w:tc>
        <w:tc>
          <w:tcPr>
            <w:tcW w:w="3969" w:type="dxa"/>
            <w:vAlign w:val="top"/>
          </w:tcPr>
          <w:p w14:paraId="2C56856A">
            <w:pPr>
              <w:spacing w:after="0" w:line="252" w:lineRule="auto"/>
            </w:pPr>
            <w:r>
              <w:rPr>
                <w:rFonts w:ascii="Noto Sans CJK SC" w:hAnsi="Noto Sans CJK SC" w:eastAsia="Noto Sans CJK SC"/>
                <w:b w:val="0"/>
                <w:sz w:val="16"/>
              </w:rPr>
              <w:t>采用强散射点筛选、网格抽样、分块处理和 GPU 加速。</w:t>
            </w:r>
          </w:p>
        </w:tc>
      </w:tr>
      <w:tr w14:paraId="2886D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3C027C9">
            <w:pPr>
              <w:spacing w:after="0" w:line="252" w:lineRule="auto"/>
            </w:pPr>
            <w:r>
              <w:rPr>
                <w:rFonts w:ascii="Noto Sans CJK SC" w:hAnsi="Noto Sans CJK SC" w:eastAsia="Noto Sans CJK SC"/>
                <w:b w:val="0"/>
                <w:sz w:val="16"/>
              </w:rPr>
              <w:t>合作目标幅度设置不合理</w:t>
            </w:r>
          </w:p>
        </w:tc>
        <w:tc>
          <w:tcPr>
            <w:tcW w:w="3118" w:type="dxa"/>
            <w:vAlign w:val="top"/>
          </w:tcPr>
          <w:p w14:paraId="7E262630">
            <w:pPr>
              <w:spacing w:after="0" w:line="252" w:lineRule="auto"/>
            </w:pPr>
            <w:r>
              <w:rPr>
                <w:rFonts w:ascii="Noto Sans CJK SC" w:hAnsi="Noto Sans CJK SC" w:eastAsia="Noto Sans CJK SC"/>
                <w:b w:val="0"/>
                <w:sz w:val="16"/>
              </w:rPr>
              <w:t>过强无法体现难度，过弱不易排查</w:t>
            </w:r>
          </w:p>
        </w:tc>
        <w:tc>
          <w:tcPr>
            <w:tcW w:w="3969" w:type="dxa"/>
            <w:vAlign w:val="top"/>
          </w:tcPr>
          <w:p w14:paraId="433E04DE">
            <w:pPr>
              <w:spacing w:after="0" w:line="252" w:lineRule="auto"/>
            </w:pPr>
            <w:r>
              <w:rPr>
                <w:rFonts w:ascii="Noto Sans CJK SC" w:hAnsi="Noto Sans CJK SC" w:eastAsia="Noto Sans CJK SC"/>
                <w:b w:val="0"/>
                <w:sz w:val="16"/>
              </w:rPr>
              <w:t>先强目标跑通，再按局部背景 RMS 设置多级 SNR。</w:t>
            </w:r>
          </w:p>
        </w:tc>
      </w:tr>
      <w:tr w14:paraId="557A2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81" w:type="dxa"/>
            <w:vAlign w:val="top"/>
          </w:tcPr>
          <w:p w14:paraId="7708965A">
            <w:pPr>
              <w:spacing w:after="0" w:line="252" w:lineRule="auto"/>
            </w:pPr>
            <w:r>
              <w:rPr>
                <w:rFonts w:ascii="Noto Sans CJK SC" w:hAnsi="Noto Sans CJK SC" w:eastAsia="Noto Sans CJK SC"/>
                <w:b w:val="0"/>
                <w:sz w:val="16"/>
              </w:rPr>
              <w:t>双通道相位差模型简化</w:t>
            </w:r>
          </w:p>
        </w:tc>
        <w:tc>
          <w:tcPr>
            <w:tcW w:w="3118" w:type="dxa"/>
            <w:vAlign w:val="top"/>
          </w:tcPr>
          <w:p w14:paraId="1B229A29">
            <w:pPr>
              <w:spacing w:after="0" w:line="252" w:lineRule="auto"/>
            </w:pPr>
            <w:r>
              <w:rPr>
                <w:rFonts w:ascii="Noto Sans CJK SC" w:hAnsi="Noto Sans CJK SC" w:eastAsia="Noto Sans CJK SC"/>
                <w:b w:val="0"/>
                <w:sz w:val="16"/>
              </w:rPr>
              <w:t>速度估计和通道处理可能偏差</w:t>
            </w:r>
          </w:p>
        </w:tc>
        <w:tc>
          <w:tcPr>
            <w:tcW w:w="3969" w:type="dxa"/>
            <w:vAlign w:val="top"/>
          </w:tcPr>
          <w:p w14:paraId="0CF3D693">
            <w:pPr>
              <w:spacing w:after="0" w:line="252" w:lineRule="auto"/>
            </w:pPr>
            <w:r>
              <w:rPr>
                <w:rFonts w:ascii="Noto Sans CJK SC" w:hAnsi="Noto Sans CJK SC" w:eastAsia="Noto Sans CJK SC"/>
                <w:b w:val="0"/>
                <w:sz w:val="16"/>
              </w:rPr>
              <w:t>先用近似模型验证链路，后续升级为基线向量与视线方向点积模型。</w:t>
            </w:r>
          </w:p>
        </w:tc>
      </w:tr>
      <w:tr w14:paraId="7AB72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06AFE4F2">
            <w:pPr>
              <w:spacing w:after="0" w:line="252" w:lineRule="auto"/>
            </w:pPr>
            <w:r>
              <w:rPr>
                <w:rFonts w:ascii="Noto Sans CJK SC" w:hAnsi="Noto Sans CJK SC" w:eastAsia="Noto Sans CJK SC"/>
                <w:b w:val="0"/>
                <w:sz w:val="16"/>
              </w:rPr>
              <w:t>实时性不满足要求</w:t>
            </w:r>
          </w:p>
        </w:tc>
        <w:tc>
          <w:tcPr>
            <w:tcW w:w="3118" w:type="dxa"/>
            <w:vAlign w:val="top"/>
          </w:tcPr>
          <w:p w14:paraId="0844D14C">
            <w:pPr>
              <w:spacing w:after="0" w:line="252" w:lineRule="auto"/>
            </w:pPr>
            <w:r>
              <w:rPr>
                <w:rFonts w:ascii="Noto Sans CJK SC" w:hAnsi="Noto Sans CJK SC" w:eastAsia="Noto Sans CJK SC"/>
                <w:b w:val="0"/>
                <w:sz w:val="16"/>
              </w:rPr>
              <w:t>无法达到 4.8/4.88 s 门限</w:t>
            </w:r>
          </w:p>
        </w:tc>
        <w:tc>
          <w:tcPr>
            <w:tcW w:w="3969" w:type="dxa"/>
            <w:vAlign w:val="top"/>
          </w:tcPr>
          <w:p w14:paraId="30D87348">
            <w:pPr>
              <w:spacing w:after="0" w:line="252" w:lineRule="auto"/>
            </w:pPr>
            <w:r>
              <w:rPr>
                <w:rFonts w:ascii="Noto Sans CJK SC" w:hAnsi="Noto Sans CJK SC" w:eastAsia="Noto Sans CJK SC"/>
                <w:b w:val="0"/>
                <w:sz w:val="16"/>
              </w:rPr>
              <w:t>区分生成耗时与算法处理耗时；关闭调试输出，优化 I/O、GPU 核函数和内存复用。</w:t>
            </w:r>
          </w:p>
        </w:tc>
      </w:tr>
    </w:tbl>
    <w:p w14:paraId="2E27F26E"/>
    <w:p w14:paraId="201D68FF">
      <w:pPr>
        <w:pStyle w:val="3"/>
      </w:pPr>
      <w:r>
        <w:t>十二、预期最终成果</w:t>
      </w:r>
    </w:p>
    <w:p w14:paraId="471740D2">
      <w:pPr>
        <w:pStyle w:val="16"/>
        <w:numPr>
          <w:ilvl w:val="0"/>
          <w:numId w:val="11"/>
        </w:numPr>
        <w:tabs>
          <w:tab w:val="clear" w:pos="420"/>
        </w:tabs>
        <w:spacing w:after="40" w:line="288" w:lineRule="auto"/>
        <w:ind w:left="845" w:leftChars="0" w:hanging="425" w:firstLineChars="0"/>
      </w:pPr>
      <w:r>
        <w:rPr>
          <w:rFonts w:ascii="Noto Sans CJK SC" w:hAnsi="Noto Sans CJK SC" w:eastAsia="Noto Sans CJK SC"/>
          <w:sz w:val="20"/>
        </w:rPr>
        <w:t>一套实测 IQ 复用型工程验证数据集，用于算法接入、合作目标检测定位、航迹关联和实时性测试。</w:t>
      </w:r>
    </w:p>
    <w:p w14:paraId="29D7DD99">
      <w:pPr>
        <w:pStyle w:val="16"/>
        <w:numPr>
          <w:ilvl w:val="0"/>
          <w:numId w:val="11"/>
        </w:numPr>
        <w:tabs>
          <w:tab w:val="clear" w:pos="420"/>
        </w:tabs>
        <w:spacing w:after="40" w:line="288" w:lineRule="auto"/>
        <w:ind w:left="845" w:leftChars="0" w:hanging="425" w:firstLineChars="0"/>
      </w:pPr>
      <w:r>
        <w:rPr>
          <w:rFonts w:ascii="Noto Sans CJK SC" w:hAnsi="Noto Sans CJK SC" w:eastAsia="Noto Sans CJK SC"/>
          <w:sz w:val="20"/>
        </w:rPr>
        <w:t>一套统计杂波纯仿真数据集，用于新系统参数自洽验证、虚警率/检测率分析和算法性能边界评估。</w:t>
      </w:r>
    </w:p>
    <w:p w14:paraId="7B7BE3C1">
      <w:pPr>
        <w:pStyle w:val="16"/>
        <w:numPr>
          <w:ilvl w:val="0"/>
          <w:numId w:val="11"/>
        </w:numPr>
        <w:tabs>
          <w:tab w:val="clear" w:pos="420"/>
        </w:tabs>
        <w:spacing w:after="40" w:line="288" w:lineRule="auto"/>
        <w:ind w:left="845" w:leftChars="0" w:hanging="425" w:firstLineChars="0"/>
      </w:pPr>
      <w:r>
        <w:rPr>
          <w:rFonts w:ascii="Noto Sans CJK SC" w:hAnsi="Noto Sans CJK SC" w:eastAsia="Noto Sans CJK SC"/>
          <w:sz w:val="20"/>
        </w:rPr>
        <w:t>一套场景反演与物理正演数据集，用于宽角 DBS 成像、波位拼接、边缘畸变和复杂背景 GMTI 验证。</w:t>
      </w:r>
    </w:p>
    <w:p w14:paraId="5F6DEA31">
      <w:pPr>
        <w:pStyle w:val="16"/>
        <w:numPr>
          <w:ilvl w:val="0"/>
          <w:numId w:val="11"/>
        </w:numPr>
        <w:tabs>
          <w:tab w:val="clear" w:pos="420"/>
        </w:tabs>
        <w:spacing w:after="40" w:line="288" w:lineRule="auto"/>
        <w:ind w:left="845" w:leftChars="0" w:hanging="425" w:firstLineChars="0"/>
      </w:pPr>
      <w:r>
        <w:rPr>
          <w:rFonts w:ascii="Noto Sans CJK SC" w:hAnsi="Noto Sans CJK SC" w:eastAsia="Noto Sans CJK SC"/>
          <w:sz w:val="20"/>
        </w:rPr>
        <w:t>统一的合作目标配置文件、truth.csv 真值文件、检测评价脚本、航迹评价脚本和实时性统计脚本。</w:t>
      </w:r>
    </w:p>
    <w:p w14:paraId="07471092">
      <w:pPr>
        <w:pStyle w:val="16"/>
        <w:numPr>
          <w:ilvl w:val="0"/>
          <w:numId w:val="11"/>
        </w:numPr>
        <w:tabs>
          <w:tab w:val="clear" w:pos="420"/>
        </w:tabs>
        <w:spacing w:after="40" w:line="288" w:lineRule="auto"/>
        <w:ind w:left="845" w:leftChars="0" w:hanging="425" w:firstLineChars="0"/>
      </w:pPr>
      <w:r>
        <w:rPr>
          <w:rFonts w:ascii="Noto Sans CJK SC" w:hAnsi="Noto Sans CJK SC" w:eastAsia="Noto Sans CJK SC"/>
          <w:sz w:val="20"/>
        </w:rPr>
        <w:t>三阶段对比报告，说明各类数据的适用范围、局限性、算法表现和后续真实 61 波位采集验证思路。</w:t>
      </w:r>
    </w:p>
    <w:p w14:paraId="5C14BD77">
      <w:pPr>
        <w:spacing w:after="100" w:line="300" w:lineRule="auto"/>
      </w:pPr>
      <w:r>
        <w:rPr>
          <w:rFonts w:ascii="Noto Sans CJK SC" w:hAnsi="Noto Sans CJK SC" w:eastAsia="Noto Sans CJK SC"/>
          <w:sz w:val="21"/>
        </w:rPr>
        <w:t>总体上，本方案形成“能跑通—参数自洽—背景真实”的递进式验证体系。阶段一保留实测复杂性但不追求 DBS 几何正确；阶段二保证新系统参数严格自洽但背景较理想；阶段三在新系统参数自洽基础上进一步提高真实地物背景和宽角成像验证能力。</w:t>
      </w:r>
    </w:p>
    <w:sectPr>
      <w:footerReference r:id="rId5" w:type="default"/>
      <w:pgSz w:w="12240" w:h="15840"/>
      <w:pgMar w:top="1134" w:right="1247" w:bottom="1020"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00000" w:csb1="00000000"/>
  </w:font>
  <w:font w:name="Wingdings">
    <w:altName w:val="EB Garamond 12"/>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EB Garamond 12"/>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 w:name="Cambria">
    <w:altName w:val="Caladea"/>
    <w:panose1 w:val="02040503050406030204"/>
    <w:charset w:val="00"/>
    <w:family w:val="auto"/>
    <w:pitch w:val="default"/>
    <w:sig w:usb0="00000000" w:usb1="00000000" w:usb2="00000000" w:usb3="00000000" w:csb0="0000019F" w:csb1="00000000"/>
  </w:font>
  <w:font w:name="Caladea">
    <w:panose1 w:val="02040503050406030204"/>
    <w:charset w:val="00"/>
    <w:family w:val="auto"/>
    <w:pitch w:val="default"/>
    <w:sig w:usb0="00000007" w:usb1="00000000" w:usb2="00000000" w:usb3="00000000" w:csb0="20000093" w:csb1="00000000"/>
  </w:font>
  <w:font w:name="ＭＳ 明朝">
    <w:altName w:val="Comfortaa Light"/>
    <w:panose1 w:val="00000000000000000000"/>
    <w:charset w:val="80"/>
    <w:family w:val="roman"/>
    <w:pitch w:val="default"/>
    <w:sig w:usb0="00000000" w:usb1="00000000" w:usb2="00000010" w:usb3="00000000" w:csb0="00020000" w:csb1="00000000"/>
  </w:font>
  <w:font w:name="ＭＳ 明朝">
    <w:altName w:val="Comfortaa Light"/>
    <w:panose1 w:val="00000000000000000000"/>
    <w:charset w:val="86"/>
    <w:family w:val="auto"/>
    <w:pitch w:val="default"/>
    <w:sig w:usb0="00000000" w:usb1="00000000" w:usb2="00000000" w:usb3="00000000" w:csb0="00000000" w:csb1="00000000"/>
  </w:font>
  <w:font w:name="Comfortaa Light">
    <w:panose1 w:val="00000400000000000000"/>
    <w:charset w:val="00"/>
    <w:family w:val="auto"/>
    <w:pitch w:val="default"/>
    <w:sig w:usb0="20000287" w:usb1="00000002" w:usb2="00000000" w:usb3="00000000" w:csb0="2000019F" w:csb1="00000000"/>
  </w:font>
  <w:font w:name="Noto Sans CJK SC">
    <w:panose1 w:val="020B0500000000000000"/>
    <w:charset w:val="86"/>
    <w:family w:val="auto"/>
    <w:pitch w:val="default"/>
    <w:sig w:usb0="30000083" w:usb1="2BDF3C10" w:usb2="00000016" w:usb3="00000000" w:csb0="602E0107" w:csb1="00000000"/>
  </w:font>
  <w:font w:name="ＭＳ ゴシック">
    <w:altName w:val="Comfortaa Light"/>
    <w:panose1 w:val="00000000000000000000"/>
    <w:charset w:val="80"/>
    <w:family w:val="modern"/>
    <w:pitch w:val="default"/>
    <w:sig w:usb0="00000000" w:usb1="00000000" w:usb2="00000010" w:usb3="00000000" w:csb0="00020000" w:csb1="00000000"/>
  </w:font>
  <w:font w:name="ＭＳ 明朝">
    <w:altName w:val="Comfortaa Light"/>
    <w:panose1 w:val="00000000000000000000"/>
    <w:charset w:val="00"/>
    <w:family w:val="auto"/>
    <w:pitch w:val="default"/>
    <w:sig w:usb0="00000000" w:usb1="00000000" w:usb2="00000000" w:usb3="00000000" w:csb0="00000000" w:csb1="00000000"/>
  </w:font>
  <w:font w:name="EB Garamond 12">
    <w:panose1 w:val="02020502060206020403"/>
    <w:charset w:val="00"/>
    <w:family w:val="auto"/>
    <w:pitch w:val="default"/>
    <w:sig w:usb0="E00002FF" w:usb1="5240E4FF" w:usb2="00000028" w:usb3="00000000" w:csb0="0000019F" w:csb1="00000000"/>
  </w:font>
  <w:font w:name="Courier">
    <w:panose1 w:val="00000000000000000000"/>
    <w:charset w:val="00"/>
    <w:family w:val="auto"/>
    <w:pitch w:val="default"/>
    <w:sig w:usb0="00000000" w:usb1="00000000" w:usb2="00000000" w:usb3="00000000" w:csb0="00000000" w:csb1="00000000"/>
  </w:font>
  <w:font w:name="ＭＳ ゴシック">
    <w:altName w:val="Comfortaa Light"/>
    <w:panose1 w:val="00000000000000000000"/>
    <w:charset w:val="00"/>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CE2A8">
    <w:pPr>
      <w:pStyle w:val="24"/>
      <w:jc w:val="center"/>
    </w:pPr>
    <w:r>
      <w:rPr>
        <w:rFonts w:ascii="Noto Sans CJK SC" w:hAnsi="Noto Sans CJK SC" w:eastAsia="Noto Sans CJK SC"/>
        <w:color w:val="646464"/>
        <w:sz w:val="16"/>
      </w:rPr>
      <w:t>GMTI 新系统仿真数据生成三级实施方案与周计划（v3.0）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DE8F1C"/>
    <w:multiLevelType w:val="singleLevel"/>
    <w:tmpl w:val="EEDE8F1C"/>
    <w:lvl w:ilvl="0" w:tentative="0">
      <w:start w:val="1"/>
      <w:numFmt w:val="decimal"/>
      <w:lvlText w:val="%1."/>
      <w:lvlJc w:val="left"/>
      <w:pPr>
        <w:tabs>
          <w:tab w:val="left" w:pos="420"/>
        </w:tabs>
        <w:ind w:left="845" w:hanging="425"/>
      </w:pPr>
      <w:rPr>
        <w:rFonts w:hint="default"/>
      </w:rPr>
    </w:lvl>
  </w:abstractNum>
  <w:abstractNum w:abstractNumId="1">
    <w:nsid w:val="FF7B2E60"/>
    <w:multiLevelType w:val="singleLevel"/>
    <w:tmpl w:val="FF7B2E60"/>
    <w:lvl w:ilvl="0" w:tentative="0">
      <w:start w:val="1"/>
      <w:numFmt w:val="decimal"/>
      <w:lvlText w:val="%1."/>
      <w:lvlJc w:val="left"/>
      <w:pPr>
        <w:tabs>
          <w:tab w:val="left" w:pos="420"/>
        </w:tabs>
        <w:ind w:left="845" w:hanging="425"/>
      </w:pPr>
      <w:rPr>
        <w:rFonts w:hint="default"/>
      </w:rPr>
    </w:lvl>
  </w:abstractNum>
  <w:abstractNum w:abstractNumId="2">
    <w:nsid w:val="FFE47E96"/>
    <w:multiLevelType w:val="singleLevel"/>
    <w:tmpl w:val="FFE47E96"/>
    <w:lvl w:ilvl="0" w:tentative="0">
      <w:start w:val="1"/>
      <w:numFmt w:val="decimal"/>
      <w:lvlText w:val="%1."/>
      <w:lvlJc w:val="left"/>
      <w:pPr>
        <w:tabs>
          <w:tab w:val="left" w:pos="420"/>
        </w:tabs>
        <w:ind w:left="845" w:hanging="425"/>
      </w:pPr>
      <w:rPr>
        <w:rFonts w:hint="default"/>
      </w:rPr>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66FD09D5"/>
    <w:multiLevelType w:val="singleLevel"/>
    <w:tmpl w:val="66FD09D5"/>
    <w:lvl w:ilvl="0" w:tentative="0">
      <w:start w:val="1"/>
      <w:numFmt w:val="decimal"/>
      <w:lvlText w:val="%1."/>
      <w:lvlJc w:val="left"/>
      <w:pPr>
        <w:tabs>
          <w:tab w:val="left" w:pos="420"/>
        </w:tabs>
        <w:ind w:left="845" w:hanging="425"/>
      </w:pPr>
      <w:rPr>
        <w:rFonts w:hint="default"/>
      </w:rPr>
    </w:lvl>
  </w:abstractNum>
  <w:abstractNum w:abstractNumId="10">
    <w:nsid w:val="756C150F"/>
    <w:multiLevelType w:val="singleLevel"/>
    <w:tmpl w:val="756C150F"/>
    <w:lvl w:ilvl="0" w:tentative="0">
      <w:start w:val="1"/>
      <w:numFmt w:val="decimal"/>
      <w:lvlText w:val="%1."/>
      <w:lvlJc w:val="left"/>
      <w:pPr>
        <w:tabs>
          <w:tab w:val="left" w:pos="420"/>
        </w:tabs>
        <w:ind w:left="845" w:hanging="425"/>
      </w:pPr>
      <w:rPr>
        <w:rFonts w:hint="default"/>
      </w:rPr>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10"/>
  </w:num>
  <w:num w:numId="8">
    <w:abstractNumId w:val="9"/>
  </w:num>
  <w:num w:numId="9">
    <w:abstractNumId w:val="1"/>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1D6D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365F91"/>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Noto Sans CJK SC" w:hAnsi="Noto Sans CJK SC" w:eastAsia="Noto Sans CJK SC"/>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Noto Sans CJK SC" w:hAnsi="Noto Sans CJK SC" w:eastAsia="Noto Sans CJK SC"/>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rPr>
      <w:rFonts w:ascii="Noto Sans CJK SC" w:hAnsi="Noto Sans CJK SC" w:eastAsia="Noto Sans CJK SC"/>
      <w:sz w:val="20"/>
    </w:r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835</TotalTime>
  <ScaleCrop>false</ScaleCrop>
  <LinksUpToDate>false</LinksUpToDate>
  <CharactersWithSpaces>0</CharactersWithSpaces>
  <Application>WPS Office_12.1.2.26885_F1E327BC-269C-435d-A152-05C5408002CA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shy</cp:lastModifiedBy>
  <dcterms:modified xsi:type="dcterms:W3CDTF">2026-06-30T16:20:10Z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2052-12.1.2.26885</vt:lpwstr>
  </property>
  <property fmtid="{D5CDD505-2E9C-101B-9397-08002B2CF9AE}" pid="3" name="ICV">
    <vt:lpwstr>23F0D2EBE5FCD80F3A7C436AB84924EF_42</vt:lpwstr>
  </property>
</Properties>
</file>