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F3D37D">
      <w:pPr>
        <w:spacing w:after="360"/>
        <w:jc w:val="center"/>
      </w:pPr>
      <w:r>
        <w:rPr>
          <w:rFonts w:ascii="Times New Roman" w:hAnsi="Times New Roman" w:eastAsia="黑体"/>
          <w:b/>
          <w:sz w:val="44"/>
        </w:rPr>
        <w:t>新系统参数下双通道 GMTI 仿真数据生成</w:t>
      </w:r>
      <w:r>
        <w:rPr>
          <w:rFonts w:ascii="Times New Roman" w:hAnsi="Times New Roman" w:eastAsia="黑体"/>
          <w:b/>
          <w:sz w:val="44"/>
        </w:rPr>
        <w:br w:type="textWrapping"/>
      </w:r>
      <w:r>
        <w:rPr>
          <w:rFonts w:ascii="Times New Roman" w:hAnsi="Times New Roman" w:eastAsia="黑体"/>
          <w:b/>
          <w:sz w:val="44"/>
        </w:rPr>
        <w:t>实施方案与工作计划</w:t>
      </w:r>
    </w:p>
    <w:p w14:paraId="3EA80214">
      <w:pPr>
        <w:spacing w:after="3600"/>
        <w:jc w:val="center"/>
      </w:pPr>
      <w:r>
        <w:rPr>
          <w:rFonts w:ascii="Times New Roman" w:hAnsi="Times New Roman" w:eastAsia="宋体"/>
          <w:b w:val="0"/>
          <w:sz w:val="26"/>
        </w:rPr>
        <w:t>面向 -60°~60° / 可选 -59°~61° 宽角扫描体制的数据仿真、合作目标注入与算法验证</w:t>
      </w:r>
    </w:p>
    <w:p w14:paraId="599BD5D9">
      <w:pPr>
        <w:jc w:val="center"/>
      </w:pPr>
      <w:r>
        <w:rPr>
          <w:rFonts w:ascii="Times New Roman" w:hAnsi="Times New Roman" w:eastAsia="宋体"/>
          <w:sz w:val="24"/>
        </w:rPr>
        <w:t>版本：v2.1</w:t>
      </w:r>
      <w:r>
        <w:rPr>
          <w:rFonts w:ascii="Times New Roman" w:hAnsi="Times New Roman" w:eastAsia="宋体"/>
          <w:sz w:val="24"/>
        </w:rPr>
        <w:br w:type="textWrapping"/>
      </w:r>
      <w:r>
        <w:rPr>
          <w:rFonts w:ascii="Times New Roman" w:hAnsi="Times New Roman" w:eastAsia="宋体"/>
          <w:sz w:val="24"/>
        </w:rPr>
        <w:t>日期：2026 年 6 月</w:t>
      </w:r>
    </w:p>
    <w:p w14:paraId="74B54969">
      <w:r>
        <w:br w:type="page"/>
      </w:r>
    </w:p>
    <w:p w14:paraId="6B639CC6">
      <w:pPr>
        <w:pStyle w:val="3"/>
      </w:pPr>
      <w:r>
        <w:t>一、任务背景与总体目标</w:t>
      </w:r>
    </w:p>
    <w:p w14:paraId="25BF0546">
      <w:pPr>
        <w:spacing w:after="100" w:line="300" w:lineRule="auto"/>
        <w:ind w:firstLine="420"/>
      </w:pPr>
      <w:r>
        <w:rPr>
          <w:rFonts w:ascii="Times New Roman" w:hAnsi="Times New Roman" w:eastAsia="宋体"/>
          <w:b w:val="0"/>
          <w:sz w:val="21"/>
        </w:rPr>
        <w:t>本方案面向既有双通道 GMTI 实测数据与新系统参数之间的体制差异，拟构建一套可用于宽角扫描 GMTI 算法验证的仿真数据生成流程。现有数据为多周期、双通道、-25°~25° 范围内采集的数据；新系统要求扩展到 -60°~60°、步进 2°、共 61 个波位，每个波位 130 个脉冲，每个脉冲为 DDC 后 11820 点，并在算法内部完成距离脉压。</w:t>
      </w:r>
    </w:p>
    <w:p w14:paraId="1B593A90">
      <w:pPr>
        <w:spacing w:after="100" w:line="300" w:lineRule="auto"/>
        <w:ind w:firstLine="420"/>
      </w:pPr>
      <w:r>
        <w:rPr>
          <w:rFonts w:ascii="Times New Roman" w:hAnsi="Times New Roman" w:eastAsia="宋体"/>
          <w:b w:val="0"/>
          <w:sz w:val="21"/>
        </w:rPr>
        <w:t>前期曾尝试通过搬移多普勒中心的方式生成新波位数据，但该方式只改变了慢时间频谱中心，没有同步改变波束指向、斜距历程、采样窗口、脉压体制、通道相位差和目标几何关系，导致成像与拼接中出现畸变。因此，后续不再采用单纯多普勒搬移方法，而是采用“实测背景复用 + 新系统参数重组织 + 合作运动目标物理注入 + 后续 DBS 散射点正演”的分阶段方案。</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6"/>
      </w:tblGrid>
      <w:tr w14:paraId="57F62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6" w:type="dxa"/>
            <w:shd w:val="clear" w:color="auto" w:fill="FFF2CC"/>
          </w:tcPr>
          <w:p w14:paraId="755EE84A">
            <w:pPr>
              <w:spacing w:after="0" w:line="288" w:lineRule="auto"/>
            </w:pPr>
            <w:r>
              <w:rPr>
                <w:rFonts w:ascii="Times New Roman" w:hAnsi="Times New Roman" w:eastAsia="黑体"/>
                <w:b/>
                <w:sz w:val="21"/>
              </w:rPr>
              <w:t>本版补充说明</w:t>
            </w:r>
            <w:r>
              <w:br w:type="textWrapping"/>
            </w:r>
            <w:r>
              <w:rPr>
                <w:rFonts w:ascii="Times New Roman" w:hAnsi="Times New Roman" w:eastAsia="宋体"/>
                <w:sz w:val="21"/>
              </w:rPr>
              <w:t>v2.1 重点补充四个问题：第一阶段如何避免重蹈“只搬移多普勒中心”的问题；-59°~61° 角度网格作为可选调试参数时是否需要插值；256→130 脉冲重采样两种模式的优劣；4096→11820 FFT 扩展的适用范围、局限性以及何时必须生成新 130 μs 脉冲体制回波。</w:t>
            </w:r>
          </w:p>
        </w:tc>
      </w:tr>
    </w:tbl>
    <w:p w14:paraId="43FD1210"/>
    <w:p w14:paraId="2009A4C4">
      <w:pPr>
        <w:pStyle w:val="4"/>
      </w:pPr>
      <w:r>
        <w:t>1.1 总体目标</w:t>
      </w:r>
    </w:p>
    <w:p w14:paraId="1F165AD1">
      <w:pPr>
        <w:pStyle w:val="16"/>
        <w:numPr>
          <w:ilvl w:val="0"/>
          <w:numId w:val="7"/>
        </w:numPr>
        <w:tabs>
          <w:tab w:val="clear" w:pos="420"/>
        </w:tabs>
        <w:spacing w:after="60" w:line="288" w:lineRule="auto"/>
        <w:ind w:left="845" w:leftChars="0" w:hanging="425" w:firstLineChars="0"/>
      </w:pPr>
      <w:r>
        <w:rPr>
          <w:rFonts w:ascii="Times New Roman" w:hAnsi="Times New Roman" w:eastAsia="宋体"/>
          <w:sz w:val="21"/>
        </w:rPr>
        <w:t>生成符合新系统数据组织形式的双通道 DDC 数据：61 波位 × 130 脉冲 × 11820 点。</w:t>
      </w:r>
    </w:p>
    <w:p w14:paraId="686299E8">
      <w:pPr>
        <w:pStyle w:val="16"/>
        <w:numPr>
          <w:ilvl w:val="0"/>
          <w:numId w:val="7"/>
        </w:numPr>
        <w:tabs>
          <w:tab w:val="clear" w:pos="420"/>
        </w:tabs>
        <w:spacing w:after="60" w:line="288" w:lineRule="auto"/>
        <w:ind w:left="845" w:leftChars="0" w:hanging="425" w:firstLineChars="0"/>
      </w:pPr>
      <w:r>
        <w:rPr>
          <w:rFonts w:ascii="Times New Roman" w:hAnsi="Times New Roman" w:eastAsia="宋体"/>
          <w:sz w:val="21"/>
        </w:rPr>
        <w:t>在第一阶段尽量保留旧实测数据的地物纹理、背景杂波、噪声、虚警和已有真实运动目标的统计特征。</w:t>
      </w:r>
    </w:p>
    <w:p w14:paraId="5C39004B">
      <w:pPr>
        <w:pStyle w:val="16"/>
        <w:numPr>
          <w:ilvl w:val="0"/>
          <w:numId w:val="7"/>
        </w:numPr>
        <w:tabs>
          <w:tab w:val="clear" w:pos="420"/>
        </w:tabs>
        <w:spacing w:after="60" w:line="288" w:lineRule="auto"/>
        <w:ind w:left="845" w:leftChars="0" w:hanging="425" w:firstLineChars="0"/>
      </w:pPr>
      <w:r>
        <w:rPr>
          <w:rFonts w:ascii="Times New Roman" w:hAnsi="Times New Roman" w:eastAsia="宋体"/>
          <w:sz w:val="21"/>
        </w:rPr>
        <w:t>通过镜像复制已有波位数据扩展到宽角范围，避免固定复制边界波位造成外侧大范围重复。</w:t>
      </w:r>
    </w:p>
    <w:p w14:paraId="1166FEAE">
      <w:pPr>
        <w:pStyle w:val="16"/>
        <w:numPr>
          <w:ilvl w:val="0"/>
          <w:numId w:val="7"/>
        </w:numPr>
        <w:tabs>
          <w:tab w:val="clear" w:pos="420"/>
        </w:tabs>
        <w:spacing w:after="60" w:line="288" w:lineRule="auto"/>
        <w:ind w:left="845" w:leftChars="0" w:hanging="425" w:firstLineChars="0"/>
      </w:pPr>
      <w:r>
        <w:rPr>
          <w:rFonts w:ascii="Times New Roman" w:hAnsi="Times New Roman" w:eastAsia="宋体"/>
          <w:sz w:val="21"/>
        </w:rPr>
        <w:t>在 DDC 原始快时间域注入合作运动目标，输出目标真值，用于验证 GMTI 检测、定位、速度估计、航迹关联和跨周期编号稳定性。</w:t>
      </w:r>
    </w:p>
    <w:p w14:paraId="7CA510ED">
      <w:pPr>
        <w:pStyle w:val="16"/>
        <w:numPr>
          <w:ilvl w:val="0"/>
          <w:numId w:val="7"/>
        </w:numPr>
        <w:tabs>
          <w:tab w:val="clear" w:pos="420"/>
        </w:tabs>
        <w:spacing w:after="60" w:line="288" w:lineRule="auto"/>
        <w:ind w:left="845" w:leftChars="0" w:hanging="425" w:firstLineChars="0"/>
      </w:pPr>
      <w:r>
        <w:rPr>
          <w:rFonts w:ascii="Times New Roman" w:hAnsi="Times New Roman" w:eastAsia="宋体"/>
          <w:sz w:val="21"/>
        </w:rPr>
        <w:t>后续利用已有 DBS 图像反投影为散射点，再按新系统几何正演生成更严格的宽角数据，用于验证成像、拼接和几何定位。</w:t>
      </w:r>
    </w:p>
    <w:p w14:paraId="7DB3D035">
      <w:pPr>
        <w:pStyle w:val="4"/>
      </w:pPr>
      <w:r>
        <w:t>1.2 方案定位</w:t>
      </w:r>
    </w:p>
    <w:p w14:paraId="0E189AB2">
      <w:pPr>
        <w:spacing w:after="100" w:line="300" w:lineRule="auto"/>
        <w:ind w:firstLine="420"/>
      </w:pPr>
      <w:r>
        <w:rPr>
          <w:rFonts w:ascii="Times New Roman" w:hAnsi="Times New Roman" w:eastAsia="宋体"/>
          <w:b w:val="0"/>
          <w:sz w:val="21"/>
        </w:rPr>
        <w:t>本方案分为两个层次。第一层是工程验证型仿真数据集，重点是让现有算法能够读取、处理并完成 GMTI 检测、航迹关联和实时性验证；第二层是几何一致型仿真数据集，重点是利用 DBS 图像或散射点模型按新系统几何正演，验证宽角成像与拼接质量。两层目标不同，不能混淆。第一阶段不追求把旧数据严格变成真实的新体制实测数据，而是构建一个数据格式正确、背景统计接近实测、合作目标可控、可用于算法链路验证的数据集。</w:t>
      </w:r>
    </w:p>
    <w:p w14:paraId="172AAA75">
      <w:r>
        <w:br w:type="page"/>
      </w:r>
    </w:p>
    <w:p w14:paraId="1407DC42">
      <w:pPr>
        <w:pStyle w:val="3"/>
      </w:pPr>
      <w:r>
        <w:t>二、新旧系统参数与基本约束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1701"/>
        <w:gridCol w:w="2268"/>
        <w:gridCol w:w="2835"/>
      </w:tblGrid>
      <w:tr w14:paraId="67FD7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D9EAF7"/>
            <w:vAlign w:val="center"/>
          </w:tcPr>
          <w:p w14:paraId="3D143985">
            <w:pPr>
              <w:spacing w:after="0" w:line="276" w:lineRule="auto"/>
            </w:pPr>
            <w:r>
              <w:rPr>
                <w:rFonts w:ascii="Times New Roman" w:hAnsi="Times New Roman" w:eastAsia="宋体"/>
                <w:b/>
                <w:sz w:val="20"/>
              </w:rPr>
              <w:t>项目</w:t>
            </w:r>
          </w:p>
        </w:tc>
        <w:tc>
          <w:tcPr>
            <w:tcW w:w="1701" w:type="dxa"/>
            <w:shd w:val="clear" w:color="auto" w:fill="D9EAF7"/>
            <w:vAlign w:val="center"/>
          </w:tcPr>
          <w:p w14:paraId="109A2A59">
            <w:pPr>
              <w:spacing w:after="0" w:line="276" w:lineRule="auto"/>
            </w:pPr>
            <w:r>
              <w:rPr>
                <w:rFonts w:ascii="Times New Roman" w:hAnsi="Times New Roman" w:eastAsia="宋体"/>
                <w:b/>
                <w:sz w:val="20"/>
              </w:rPr>
              <w:t>旧系统</w:t>
            </w:r>
          </w:p>
        </w:tc>
        <w:tc>
          <w:tcPr>
            <w:tcW w:w="2268" w:type="dxa"/>
            <w:shd w:val="clear" w:color="auto" w:fill="D9EAF7"/>
            <w:vAlign w:val="center"/>
          </w:tcPr>
          <w:p w14:paraId="13B0C2EC">
            <w:pPr>
              <w:spacing w:after="0" w:line="276" w:lineRule="auto"/>
            </w:pPr>
            <w:r>
              <w:rPr>
                <w:rFonts w:ascii="Times New Roman" w:hAnsi="Times New Roman" w:eastAsia="宋体"/>
                <w:b/>
                <w:sz w:val="20"/>
              </w:rPr>
              <w:t>新系统</w:t>
            </w:r>
          </w:p>
        </w:tc>
        <w:tc>
          <w:tcPr>
            <w:tcW w:w="2835" w:type="dxa"/>
            <w:shd w:val="clear" w:color="auto" w:fill="D9EAF7"/>
            <w:vAlign w:val="center"/>
          </w:tcPr>
          <w:p w14:paraId="55AE4982">
            <w:pPr>
              <w:spacing w:after="0" w:line="276" w:lineRule="auto"/>
            </w:pPr>
            <w:r>
              <w:rPr>
                <w:rFonts w:ascii="Times New Roman" w:hAnsi="Times New Roman" w:eastAsia="宋体"/>
                <w:b/>
                <w:sz w:val="20"/>
              </w:rPr>
              <w:t>说明</w:t>
            </w:r>
          </w:p>
        </w:tc>
      </w:tr>
      <w:tr w14:paraId="71FC9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65EBD649">
            <w:pPr>
              <w:spacing w:after="0" w:line="276" w:lineRule="auto"/>
            </w:pPr>
            <w:r>
              <w:rPr>
                <w:rFonts w:ascii="Times New Roman" w:hAnsi="Times New Roman" w:eastAsia="宋体"/>
                <w:b w:val="0"/>
                <w:sz w:val="20"/>
              </w:rPr>
              <w:t>扫描角度范围</w:t>
            </w:r>
          </w:p>
        </w:tc>
        <w:tc>
          <w:tcPr>
            <w:tcW w:w="1701" w:type="dxa"/>
            <w:vAlign w:val="center"/>
          </w:tcPr>
          <w:p w14:paraId="155FAFC3">
            <w:pPr>
              <w:spacing w:after="0" w:line="276" w:lineRule="auto"/>
            </w:pPr>
            <w:r>
              <w:rPr>
                <w:rFonts w:ascii="Times New Roman" w:hAnsi="Times New Roman" w:eastAsia="宋体"/>
                <w:b w:val="0"/>
                <w:sz w:val="20"/>
              </w:rPr>
              <w:t>-25° ~ 25°</w:t>
            </w:r>
          </w:p>
        </w:tc>
        <w:tc>
          <w:tcPr>
            <w:tcW w:w="2268" w:type="dxa"/>
            <w:vAlign w:val="center"/>
          </w:tcPr>
          <w:p w14:paraId="2BE4341D">
            <w:pPr>
              <w:spacing w:after="0" w:line="276" w:lineRule="auto"/>
            </w:pPr>
            <w:r>
              <w:rPr>
                <w:rFonts w:ascii="Times New Roman" w:hAnsi="Times New Roman" w:eastAsia="宋体"/>
                <w:b w:val="0"/>
                <w:sz w:val="20"/>
              </w:rPr>
              <w:t>-60° ~ 60°，可选 -59° ~ 61°</w:t>
            </w:r>
          </w:p>
        </w:tc>
        <w:tc>
          <w:tcPr>
            <w:tcW w:w="2835" w:type="dxa"/>
            <w:vAlign w:val="center"/>
          </w:tcPr>
          <w:p w14:paraId="37ACF291">
            <w:pPr>
              <w:spacing w:after="0" w:line="276" w:lineRule="auto"/>
            </w:pPr>
            <w:r>
              <w:rPr>
                <w:rFonts w:ascii="Times New Roman" w:hAnsi="Times New Roman" w:eastAsia="宋体"/>
                <w:b w:val="0"/>
                <w:sz w:val="20"/>
              </w:rPr>
              <w:t>新系统覆盖角度显著增大</w:t>
            </w:r>
          </w:p>
        </w:tc>
      </w:tr>
      <w:tr w14:paraId="68085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6C581CA2">
            <w:pPr>
              <w:spacing w:after="0" w:line="276" w:lineRule="auto"/>
            </w:pPr>
            <w:r>
              <w:rPr>
                <w:rFonts w:ascii="Times New Roman" w:hAnsi="Times New Roman" w:eastAsia="宋体"/>
                <w:b w:val="0"/>
                <w:sz w:val="20"/>
              </w:rPr>
              <w:t>波位数量</w:t>
            </w:r>
          </w:p>
        </w:tc>
        <w:tc>
          <w:tcPr>
            <w:tcW w:w="1701" w:type="dxa"/>
            <w:vAlign w:val="center"/>
          </w:tcPr>
          <w:p w14:paraId="731D4DDE">
            <w:pPr>
              <w:spacing w:after="0" w:line="276" w:lineRule="auto"/>
            </w:pPr>
            <w:r>
              <w:rPr>
                <w:rFonts w:ascii="Times New Roman" w:hAnsi="Times New Roman" w:eastAsia="宋体"/>
                <w:b w:val="0"/>
                <w:sz w:val="20"/>
              </w:rPr>
              <w:t>26</w:t>
            </w:r>
          </w:p>
        </w:tc>
        <w:tc>
          <w:tcPr>
            <w:tcW w:w="2268" w:type="dxa"/>
            <w:vAlign w:val="center"/>
          </w:tcPr>
          <w:p w14:paraId="611FFA60">
            <w:pPr>
              <w:spacing w:after="0" w:line="276" w:lineRule="auto"/>
            </w:pPr>
            <w:r>
              <w:rPr>
                <w:rFonts w:ascii="Times New Roman" w:hAnsi="Times New Roman" w:eastAsia="宋体"/>
                <w:b w:val="0"/>
                <w:sz w:val="20"/>
              </w:rPr>
              <w:t>61</w:t>
            </w:r>
          </w:p>
        </w:tc>
        <w:tc>
          <w:tcPr>
            <w:tcW w:w="2835" w:type="dxa"/>
            <w:vAlign w:val="center"/>
          </w:tcPr>
          <w:p w14:paraId="6D6EA1B1">
            <w:pPr>
              <w:spacing w:after="0" w:line="276" w:lineRule="auto"/>
            </w:pPr>
            <w:r>
              <w:rPr>
                <w:rFonts w:ascii="Times New Roman" w:hAnsi="Times New Roman" w:eastAsia="宋体"/>
                <w:b w:val="0"/>
                <w:sz w:val="20"/>
              </w:rPr>
              <w:t>闭区间且步进 2°</w:t>
            </w:r>
          </w:p>
        </w:tc>
      </w:tr>
      <w:tr w14:paraId="682EE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57" w:type="dxa"/>
            <w:vAlign w:val="center"/>
          </w:tcPr>
          <w:p w14:paraId="4EB2DC6F">
            <w:pPr>
              <w:spacing w:after="0" w:line="276" w:lineRule="auto"/>
            </w:pPr>
            <w:r>
              <w:rPr>
                <w:rFonts w:ascii="Times New Roman" w:hAnsi="Times New Roman" w:eastAsia="宋体"/>
                <w:b w:val="0"/>
                <w:sz w:val="20"/>
              </w:rPr>
              <w:t>单波位脉冲数</w:t>
            </w:r>
          </w:p>
        </w:tc>
        <w:tc>
          <w:tcPr>
            <w:tcW w:w="1701" w:type="dxa"/>
            <w:vAlign w:val="center"/>
          </w:tcPr>
          <w:p w14:paraId="345A7977">
            <w:pPr>
              <w:spacing w:after="0" w:line="276" w:lineRule="auto"/>
            </w:pPr>
            <w:r>
              <w:rPr>
                <w:rFonts w:ascii="Times New Roman" w:hAnsi="Times New Roman" w:eastAsia="宋体"/>
                <w:b w:val="0"/>
                <w:sz w:val="20"/>
              </w:rPr>
              <w:t>256</w:t>
            </w:r>
          </w:p>
        </w:tc>
        <w:tc>
          <w:tcPr>
            <w:tcW w:w="2268" w:type="dxa"/>
            <w:vAlign w:val="center"/>
          </w:tcPr>
          <w:p w14:paraId="31311678">
            <w:pPr>
              <w:spacing w:after="0" w:line="276" w:lineRule="auto"/>
            </w:pPr>
            <w:r>
              <w:rPr>
                <w:rFonts w:ascii="Times New Roman" w:hAnsi="Times New Roman" w:eastAsia="宋体"/>
                <w:b w:val="0"/>
                <w:sz w:val="20"/>
              </w:rPr>
              <w:t>130</w:t>
            </w:r>
          </w:p>
        </w:tc>
        <w:tc>
          <w:tcPr>
            <w:tcW w:w="2835" w:type="dxa"/>
            <w:vAlign w:val="center"/>
          </w:tcPr>
          <w:p w14:paraId="2D62F3A0">
            <w:pPr>
              <w:spacing w:after="0" w:line="276" w:lineRule="auto"/>
            </w:pPr>
            <w:r>
              <w:rPr>
                <w:rFonts w:ascii="Times New Roman" w:hAnsi="Times New Roman" w:eastAsia="宋体"/>
                <w:b w:val="0"/>
                <w:sz w:val="20"/>
              </w:rPr>
              <w:t>新系统驻留时间为 0.1 s</w:t>
            </w:r>
          </w:p>
        </w:tc>
      </w:tr>
      <w:tr w14:paraId="1A08F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5000A71B">
            <w:pPr>
              <w:spacing w:after="0" w:line="276" w:lineRule="auto"/>
            </w:pPr>
            <w:r>
              <w:rPr>
                <w:rFonts w:ascii="Times New Roman" w:hAnsi="Times New Roman" w:eastAsia="宋体"/>
                <w:b w:val="0"/>
                <w:sz w:val="20"/>
              </w:rPr>
              <w:t>PRF</w:t>
            </w:r>
          </w:p>
        </w:tc>
        <w:tc>
          <w:tcPr>
            <w:tcW w:w="1701" w:type="dxa"/>
            <w:vAlign w:val="center"/>
          </w:tcPr>
          <w:p w14:paraId="75E5EB1B">
            <w:pPr>
              <w:spacing w:after="0" w:line="276" w:lineRule="auto"/>
            </w:pPr>
            <w:r>
              <w:rPr>
                <w:rFonts w:ascii="Times New Roman" w:hAnsi="Times New Roman" w:eastAsia="宋体"/>
                <w:b w:val="0"/>
                <w:sz w:val="20"/>
              </w:rPr>
              <w:t>2000 Hz</w:t>
            </w:r>
          </w:p>
        </w:tc>
        <w:tc>
          <w:tcPr>
            <w:tcW w:w="2268" w:type="dxa"/>
            <w:vAlign w:val="center"/>
          </w:tcPr>
          <w:p w14:paraId="2325E11D">
            <w:pPr>
              <w:spacing w:after="0" w:line="276" w:lineRule="auto"/>
            </w:pPr>
            <w:r>
              <w:rPr>
                <w:rFonts w:ascii="Times New Roman" w:hAnsi="Times New Roman" w:eastAsia="宋体"/>
                <w:b w:val="0"/>
                <w:sz w:val="20"/>
              </w:rPr>
              <w:t>1300 Hz</w:t>
            </w:r>
          </w:p>
        </w:tc>
        <w:tc>
          <w:tcPr>
            <w:tcW w:w="2835" w:type="dxa"/>
            <w:vAlign w:val="center"/>
          </w:tcPr>
          <w:p w14:paraId="52C4BCBD">
            <w:pPr>
              <w:spacing w:after="0" w:line="276" w:lineRule="auto"/>
            </w:pPr>
            <w:r>
              <w:rPr>
                <w:rFonts w:ascii="Times New Roman" w:hAnsi="Times New Roman" w:eastAsia="宋体"/>
                <w:b w:val="0"/>
                <w:sz w:val="20"/>
              </w:rPr>
              <w:t>慢时间采样率改变</w:t>
            </w:r>
          </w:p>
        </w:tc>
      </w:tr>
      <w:tr w14:paraId="2A21E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07D25D2E">
            <w:pPr>
              <w:spacing w:after="0" w:line="276" w:lineRule="auto"/>
            </w:pPr>
            <w:r>
              <w:rPr>
                <w:rFonts w:ascii="Times New Roman" w:hAnsi="Times New Roman" w:eastAsia="宋体"/>
                <w:b w:val="0"/>
                <w:sz w:val="20"/>
              </w:rPr>
              <w:t>每脉冲点数</w:t>
            </w:r>
          </w:p>
        </w:tc>
        <w:tc>
          <w:tcPr>
            <w:tcW w:w="1701" w:type="dxa"/>
            <w:vAlign w:val="center"/>
          </w:tcPr>
          <w:p w14:paraId="26E87A27">
            <w:pPr>
              <w:spacing w:after="0" w:line="276" w:lineRule="auto"/>
            </w:pPr>
            <w:r>
              <w:rPr>
                <w:rFonts w:ascii="Times New Roman" w:hAnsi="Times New Roman" w:eastAsia="宋体"/>
                <w:b w:val="0"/>
                <w:sz w:val="20"/>
              </w:rPr>
              <w:t>4096</w:t>
            </w:r>
          </w:p>
        </w:tc>
        <w:tc>
          <w:tcPr>
            <w:tcW w:w="2268" w:type="dxa"/>
            <w:vAlign w:val="center"/>
          </w:tcPr>
          <w:p w14:paraId="6670142F">
            <w:pPr>
              <w:spacing w:after="0" w:line="276" w:lineRule="auto"/>
            </w:pPr>
            <w:r>
              <w:rPr>
                <w:rFonts w:ascii="Times New Roman" w:hAnsi="Times New Roman" w:eastAsia="宋体"/>
                <w:b w:val="0"/>
                <w:sz w:val="20"/>
              </w:rPr>
              <w:t>11820</w:t>
            </w:r>
          </w:p>
        </w:tc>
        <w:tc>
          <w:tcPr>
            <w:tcW w:w="2835" w:type="dxa"/>
            <w:vAlign w:val="center"/>
          </w:tcPr>
          <w:p w14:paraId="1501A1F2">
            <w:pPr>
              <w:spacing w:after="0" w:line="276" w:lineRule="auto"/>
            </w:pPr>
            <w:r>
              <w:rPr>
                <w:rFonts w:ascii="Times New Roman" w:hAnsi="Times New Roman" w:eastAsia="宋体"/>
                <w:b w:val="0"/>
                <w:sz w:val="20"/>
              </w:rPr>
              <w:t>新系统算法输入为 DDC 后 11820 点</w:t>
            </w:r>
          </w:p>
        </w:tc>
      </w:tr>
      <w:tr w14:paraId="34ED3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38A3D03C">
            <w:pPr>
              <w:spacing w:after="0" w:line="276" w:lineRule="auto"/>
            </w:pPr>
            <w:r>
              <w:rPr>
                <w:rFonts w:ascii="Times New Roman" w:hAnsi="Times New Roman" w:eastAsia="宋体"/>
                <w:b w:val="0"/>
                <w:sz w:val="20"/>
              </w:rPr>
              <w:t>FFT 脉冲长度</w:t>
            </w:r>
          </w:p>
        </w:tc>
        <w:tc>
          <w:tcPr>
            <w:tcW w:w="1701" w:type="dxa"/>
            <w:vAlign w:val="center"/>
          </w:tcPr>
          <w:p w14:paraId="41802AA9">
            <w:pPr>
              <w:spacing w:after="0" w:line="276" w:lineRule="auto"/>
            </w:pPr>
            <w:r>
              <w:rPr>
                <w:rFonts w:ascii="Times New Roman" w:hAnsi="Times New Roman" w:eastAsia="宋体"/>
                <w:b w:val="0"/>
                <w:sz w:val="20"/>
              </w:rPr>
              <w:t>4096</w:t>
            </w:r>
          </w:p>
        </w:tc>
        <w:tc>
          <w:tcPr>
            <w:tcW w:w="2268" w:type="dxa"/>
            <w:vAlign w:val="center"/>
          </w:tcPr>
          <w:p w14:paraId="5A9AFD41">
            <w:pPr>
              <w:spacing w:after="0" w:line="276" w:lineRule="auto"/>
            </w:pPr>
            <w:r>
              <w:rPr>
                <w:rFonts w:ascii="Times New Roman" w:hAnsi="Times New Roman" w:eastAsia="宋体"/>
                <w:b w:val="0"/>
                <w:sz w:val="20"/>
              </w:rPr>
              <w:t>12288</w:t>
            </w:r>
          </w:p>
        </w:tc>
        <w:tc>
          <w:tcPr>
            <w:tcW w:w="2835" w:type="dxa"/>
            <w:vAlign w:val="center"/>
          </w:tcPr>
          <w:p w14:paraId="0C0950A9">
            <w:pPr>
              <w:spacing w:after="0" w:line="276" w:lineRule="auto"/>
            </w:pPr>
            <w:r>
              <w:rPr>
                <w:rFonts w:ascii="Times New Roman" w:hAnsi="Times New Roman" w:eastAsia="宋体"/>
                <w:b w:val="0"/>
                <w:sz w:val="20"/>
              </w:rPr>
              <w:t>1024 整数倍补零</w:t>
            </w:r>
          </w:p>
        </w:tc>
      </w:tr>
      <w:tr w14:paraId="5162C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57" w:type="dxa"/>
            <w:vAlign w:val="center"/>
          </w:tcPr>
          <w:p w14:paraId="205AFCD9">
            <w:pPr>
              <w:spacing w:after="0" w:line="276" w:lineRule="auto"/>
            </w:pPr>
            <w:r>
              <w:rPr>
                <w:rFonts w:ascii="Times New Roman" w:hAnsi="Times New Roman" w:eastAsia="宋体"/>
                <w:b w:val="0"/>
                <w:sz w:val="20"/>
              </w:rPr>
              <w:t>脉压截取</w:t>
            </w:r>
          </w:p>
        </w:tc>
        <w:tc>
          <w:tcPr>
            <w:tcW w:w="1701" w:type="dxa"/>
            <w:vAlign w:val="center"/>
          </w:tcPr>
          <w:p w14:paraId="03D70A47">
            <w:pPr>
              <w:spacing w:after="0" w:line="276" w:lineRule="auto"/>
            </w:pPr>
            <w:r>
              <w:rPr>
                <w:rFonts w:ascii="Times New Roman" w:hAnsi="Times New Roman" w:eastAsia="宋体"/>
                <w:b w:val="0"/>
                <w:sz w:val="20"/>
              </w:rPr>
              <w:t>起点 0，长度 4096</w:t>
            </w:r>
          </w:p>
        </w:tc>
        <w:tc>
          <w:tcPr>
            <w:tcW w:w="2268" w:type="dxa"/>
            <w:vAlign w:val="center"/>
          </w:tcPr>
          <w:p w14:paraId="548CF906">
            <w:pPr>
              <w:spacing w:after="0" w:line="276" w:lineRule="auto"/>
            </w:pPr>
            <w:r>
              <w:rPr>
                <w:rFonts w:ascii="Times New Roman" w:hAnsi="Times New Roman" w:eastAsia="宋体"/>
                <w:b w:val="0"/>
                <w:sz w:val="20"/>
              </w:rPr>
              <w:t>起点 3864，长度 4096</w:t>
            </w:r>
          </w:p>
        </w:tc>
        <w:tc>
          <w:tcPr>
            <w:tcW w:w="2835" w:type="dxa"/>
            <w:vAlign w:val="center"/>
          </w:tcPr>
          <w:p w14:paraId="09E5BB88">
            <w:pPr>
              <w:spacing w:after="0" w:line="276" w:lineRule="auto"/>
            </w:pPr>
            <w:r>
              <w:rPr>
                <w:rFonts w:ascii="Times New Roman" w:hAnsi="Times New Roman" w:eastAsia="宋体"/>
                <w:b w:val="0"/>
                <w:sz w:val="20"/>
              </w:rPr>
              <w:t>算法内完成脉压并截取</w:t>
            </w:r>
          </w:p>
        </w:tc>
      </w:tr>
      <w:tr w14:paraId="1EFA6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506588C9">
            <w:pPr>
              <w:spacing w:after="0" w:line="276" w:lineRule="auto"/>
            </w:pPr>
            <w:r>
              <w:rPr>
                <w:rFonts w:ascii="Times New Roman" w:hAnsi="Times New Roman" w:eastAsia="宋体"/>
                <w:b w:val="0"/>
                <w:sz w:val="20"/>
              </w:rPr>
              <w:t>载频</w:t>
            </w:r>
          </w:p>
        </w:tc>
        <w:tc>
          <w:tcPr>
            <w:tcW w:w="1701" w:type="dxa"/>
            <w:vAlign w:val="center"/>
          </w:tcPr>
          <w:p w14:paraId="0621F165">
            <w:pPr>
              <w:spacing w:after="0" w:line="276" w:lineRule="auto"/>
            </w:pPr>
            <w:r>
              <w:rPr>
                <w:rFonts w:ascii="Times New Roman" w:hAnsi="Times New Roman" w:eastAsia="宋体"/>
                <w:b w:val="0"/>
                <w:sz w:val="20"/>
              </w:rPr>
              <w:t>17 GHz</w:t>
            </w:r>
          </w:p>
        </w:tc>
        <w:tc>
          <w:tcPr>
            <w:tcW w:w="2268" w:type="dxa"/>
            <w:vAlign w:val="center"/>
          </w:tcPr>
          <w:p w14:paraId="59CDF326">
            <w:pPr>
              <w:spacing w:after="0" w:line="276" w:lineRule="auto"/>
            </w:pPr>
            <w:r>
              <w:rPr>
                <w:rFonts w:ascii="Times New Roman" w:hAnsi="Times New Roman" w:eastAsia="宋体"/>
                <w:b w:val="0"/>
                <w:sz w:val="20"/>
              </w:rPr>
              <w:t>16 GHz</w:t>
            </w:r>
          </w:p>
        </w:tc>
        <w:tc>
          <w:tcPr>
            <w:tcW w:w="2835" w:type="dxa"/>
            <w:vAlign w:val="center"/>
          </w:tcPr>
          <w:p w14:paraId="43115995">
            <w:pPr>
              <w:spacing w:after="0" w:line="276" w:lineRule="auto"/>
            </w:pPr>
            <w:r>
              <w:rPr>
                <w:rFonts w:ascii="Times New Roman" w:hAnsi="Times New Roman" w:eastAsia="宋体"/>
                <w:b w:val="0"/>
                <w:sz w:val="20"/>
              </w:rPr>
              <w:t>影响波长、相位和双通道干涉关系</w:t>
            </w:r>
          </w:p>
        </w:tc>
      </w:tr>
      <w:tr w14:paraId="5D88D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7AFFD67B">
            <w:pPr>
              <w:spacing w:after="0" w:line="276" w:lineRule="auto"/>
            </w:pPr>
            <w:r>
              <w:rPr>
                <w:rFonts w:ascii="Times New Roman" w:hAnsi="Times New Roman" w:eastAsia="宋体"/>
                <w:b w:val="0"/>
                <w:sz w:val="20"/>
              </w:rPr>
              <w:t>带宽</w:t>
            </w:r>
          </w:p>
        </w:tc>
        <w:tc>
          <w:tcPr>
            <w:tcW w:w="1701" w:type="dxa"/>
            <w:vAlign w:val="center"/>
          </w:tcPr>
          <w:p w14:paraId="04D38E59">
            <w:pPr>
              <w:spacing w:after="0" w:line="276" w:lineRule="auto"/>
            </w:pPr>
            <w:r>
              <w:rPr>
                <w:rFonts w:ascii="Times New Roman" w:hAnsi="Times New Roman" w:eastAsia="宋体"/>
                <w:b w:val="0"/>
                <w:sz w:val="20"/>
              </w:rPr>
              <w:t>50 MHz</w:t>
            </w:r>
          </w:p>
        </w:tc>
        <w:tc>
          <w:tcPr>
            <w:tcW w:w="2268" w:type="dxa"/>
            <w:vAlign w:val="center"/>
          </w:tcPr>
          <w:p w14:paraId="7AD6EE7C">
            <w:pPr>
              <w:spacing w:after="0" w:line="276" w:lineRule="auto"/>
            </w:pPr>
            <w:r>
              <w:rPr>
                <w:rFonts w:ascii="Times New Roman" w:hAnsi="Times New Roman" w:eastAsia="宋体"/>
                <w:b w:val="0"/>
                <w:sz w:val="20"/>
              </w:rPr>
              <w:t>50 MHz</w:t>
            </w:r>
          </w:p>
        </w:tc>
        <w:tc>
          <w:tcPr>
            <w:tcW w:w="2835" w:type="dxa"/>
            <w:vAlign w:val="center"/>
          </w:tcPr>
          <w:p w14:paraId="30DF403D">
            <w:pPr>
              <w:spacing w:after="0" w:line="276" w:lineRule="auto"/>
            </w:pPr>
            <w:r>
              <w:rPr>
                <w:rFonts w:ascii="Times New Roman" w:hAnsi="Times New Roman" w:eastAsia="宋体"/>
                <w:b w:val="0"/>
                <w:sz w:val="20"/>
              </w:rPr>
              <w:t>距离分辨能力基本保持</w:t>
            </w:r>
          </w:p>
        </w:tc>
      </w:tr>
      <w:tr w14:paraId="51A41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40EF6599">
            <w:pPr>
              <w:spacing w:after="0" w:line="276" w:lineRule="auto"/>
            </w:pPr>
            <w:r>
              <w:rPr>
                <w:rFonts w:ascii="Times New Roman" w:hAnsi="Times New Roman" w:eastAsia="宋体"/>
                <w:b w:val="0"/>
                <w:sz w:val="20"/>
              </w:rPr>
              <w:t>DDC 后采样率</w:t>
            </w:r>
          </w:p>
        </w:tc>
        <w:tc>
          <w:tcPr>
            <w:tcW w:w="1701" w:type="dxa"/>
            <w:vAlign w:val="center"/>
          </w:tcPr>
          <w:p w14:paraId="030FA062">
            <w:pPr>
              <w:spacing w:after="0" w:line="276" w:lineRule="auto"/>
            </w:pPr>
            <w:r>
              <w:rPr>
                <w:rFonts w:ascii="Times New Roman" w:hAnsi="Times New Roman" w:eastAsia="宋体"/>
                <w:b w:val="0"/>
                <w:sz w:val="20"/>
              </w:rPr>
              <w:t>75 MHz</w:t>
            </w:r>
          </w:p>
        </w:tc>
        <w:tc>
          <w:tcPr>
            <w:tcW w:w="2268" w:type="dxa"/>
            <w:vAlign w:val="center"/>
          </w:tcPr>
          <w:p w14:paraId="5ECF74C1">
            <w:pPr>
              <w:spacing w:after="0" w:line="276" w:lineRule="auto"/>
            </w:pPr>
            <w:r>
              <w:rPr>
                <w:rFonts w:ascii="Times New Roman" w:hAnsi="Times New Roman" w:eastAsia="宋体"/>
                <w:b w:val="0"/>
                <w:sz w:val="20"/>
              </w:rPr>
              <w:t>60 MHz</w:t>
            </w:r>
          </w:p>
        </w:tc>
        <w:tc>
          <w:tcPr>
            <w:tcW w:w="2835" w:type="dxa"/>
            <w:vAlign w:val="center"/>
          </w:tcPr>
          <w:p w14:paraId="3501C555">
            <w:pPr>
              <w:spacing w:after="0" w:line="276" w:lineRule="auto"/>
            </w:pPr>
            <w:r>
              <w:rPr>
                <w:rFonts w:ascii="Times New Roman" w:hAnsi="Times New Roman" w:eastAsia="宋体"/>
                <w:b w:val="0"/>
                <w:sz w:val="20"/>
              </w:rPr>
              <w:t>距离采样间隔改变</w:t>
            </w:r>
          </w:p>
        </w:tc>
      </w:tr>
      <w:tr w14:paraId="290CA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57" w:type="dxa"/>
            <w:vAlign w:val="center"/>
          </w:tcPr>
          <w:p w14:paraId="1D8FDE72">
            <w:pPr>
              <w:spacing w:after="0" w:line="276" w:lineRule="auto"/>
            </w:pPr>
            <w:r>
              <w:rPr>
                <w:rFonts w:ascii="Times New Roman" w:hAnsi="Times New Roman" w:eastAsia="宋体"/>
                <w:b w:val="0"/>
                <w:sz w:val="20"/>
              </w:rPr>
              <w:t>信号脉宽</w:t>
            </w:r>
          </w:p>
        </w:tc>
        <w:tc>
          <w:tcPr>
            <w:tcW w:w="1701" w:type="dxa"/>
            <w:vAlign w:val="center"/>
          </w:tcPr>
          <w:p w14:paraId="6898E7B3">
            <w:pPr>
              <w:spacing w:after="0" w:line="276" w:lineRule="auto"/>
            </w:pPr>
            <w:r>
              <w:rPr>
                <w:rFonts w:ascii="Times New Roman" w:hAnsi="Times New Roman" w:eastAsia="宋体"/>
                <w:b w:val="0"/>
                <w:sz w:val="20"/>
              </w:rPr>
              <w:t>38 μs</w:t>
            </w:r>
          </w:p>
        </w:tc>
        <w:tc>
          <w:tcPr>
            <w:tcW w:w="2268" w:type="dxa"/>
            <w:vAlign w:val="center"/>
          </w:tcPr>
          <w:p w14:paraId="7584CC08">
            <w:pPr>
              <w:spacing w:after="0" w:line="276" w:lineRule="auto"/>
            </w:pPr>
            <w:r>
              <w:rPr>
                <w:rFonts w:ascii="Times New Roman" w:hAnsi="Times New Roman" w:eastAsia="宋体"/>
                <w:b w:val="0"/>
                <w:sz w:val="20"/>
              </w:rPr>
              <w:t>130 μs</w:t>
            </w:r>
          </w:p>
        </w:tc>
        <w:tc>
          <w:tcPr>
            <w:tcW w:w="2835" w:type="dxa"/>
            <w:vAlign w:val="center"/>
          </w:tcPr>
          <w:p w14:paraId="1B7CB455">
            <w:pPr>
              <w:spacing w:after="0" w:line="276" w:lineRule="auto"/>
            </w:pPr>
            <w:r>
              <w:rPr>
                <w:rFonts w:ascii="Times New Roman" w:hAnsi="Times New Roman" w:eastAsia="宋体"/>
                <w:b w:val="0"/>
                <w:sz w:val="20"/>
              </w:rPr>
              <w:t>匹配滤波参考信号改变</w:t>
            </w:r>
          </w:p>
        </w:tc>
      </w:tr>
      <w:tr w14:paraId="2014F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4B925C41">
            <w:pPr>
              <w:spacing w:after="0" w:line="276" w:lineRule="auto"/>
            </w:pPr>
            <w:r>
              <w:rPr>
                <w:rFonts w:ascii="Times New Roman" w:hAnsi="Times New Roman" w:eastAsia="宋体"/>
                <w:b w:val="0"/>
                <w:sz w:val="20"/>
              </w:rPr>
              <w:t>采样延迟</w:t>
            </w:r>
          </w:p>
        </w:tc>
        <w:tc>
          <w:tcPr>
            <w:tcW w:w="1701" w:type="dxa"/>
            <w:vAlign w:val="center"/>
          </w:tcPr>
          <w:p w14:paraId="73290B9A">
            <w:pPr>
              <w:spacing w:after="0" w:line="276" w:lineRule="auto"/>
            </w:pPr>
            <w:r>
              <w:rPr>
                <w:rFonts w:ascii="Times New Roman" w:hAnsi="Times New Roman" w:eastAsia="宋体"/>
                <w:b w:val="0"/>
                <w:sz w:val="20"/>
              </w:rPr>
              <w:t>约 93 μs</w:t>
            </w:r>
          </w:p>
        </w:tc>
        <w:tc>
          <w:tcPr>
            <w:tcW w:w="2268" w:type="dxa"/>
            <w:vAlign w:val="center"/>
          </w:tcPr>
          <w:p w14:paraId="31F51C97">
            <w:pPr>
              <w:spacing w:after="0" w:line="276" w:lineRule="auto"/>
            </w:pPr>
            <w:r>
              <w:rPr>
                <w:rFonts w:ascii="Times New Roman" w:hAnsi="Times New Roman" w:eastAsia="宋体"/>
                <w:b w:val="0"/>
                <w:sz w:val="20"/>
              </w:rPr>
              <w:t>488 μs</w:t>
            </w:r>
          </w:p>
        </w:tc>
        <w:tc>
          <w:tcPr>
            <w:tcW w:w="2835" w:type="dxa"/>
            <w:vAlign w:val="center"/>
          </w:tcPr>
          <w:p w14:paraId="41F19209">
            <w:pPr>
              <w:spacing w:after="0" w:line="276" w:lineRule="auto"/>
            </w:pPr>
            <w:r>
              <w:rPr>
                <w:rFonts w:ascii="Times New Roman" w:hAnsi="Times New Roman" w:eastAsia="宋体"/>
                <w:b w:val="0"/>
                <w:sz w:val="20"/>
              </w:rPr>
              <w:t>对应约 73.2 km 起始距离</w:t>
            </w:r>
          </w:p>
        </w:tc>
      </w:tr>
      <w:tr w14:paraId="6341D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2EFC975E">
            <w:pPr>
              <w:spacing w:after="0" w:line="276" w:lineRule="auto"/>
            </w:pPr>
            <w:r>
              <w:rPr>
                <w:rFonts w:ascii="Times New Roman" w:hAnsi="Times New Roman" w:eastAsia="宋体"/>
                <w:b w:val="0"/>
                <w:sz w:val="20"/>
              </w:rPr>
              <w:t>采样窗口长度</w:t>
            </w:r>
          </w:p>
        </w:tc>
        <w:tc>
          <w:tcPr>
            <w:tcW w:w="1701" w:type="dxa"/>
            <w:vAlign w:val="center"/>
          </w:tcPr>
          <w:p w14:paraId="4EDF7AC5">
            <w:pPr>
              <w:spacing w:after="0" w:line="276" w:lineRule="auto"/>
            </w:pPr>
            <w:r>
              <w:rPr>
                <w:rFonts w:ascii="Times New Roman" w:hAnsi="Times New Roman" w:eastAsia="宋体"/>
                <w:b w:val="0"/>
                <w:sz w:val="20"/>
              </w:rPr>
              <w:t>约 54.6 μs</w:t>
            </w:r>
          </w:p>
        </w:tc>
        <w:tc>
          <w:tcPr>
            <w:tcW w:w="2268" w:type="dxa"/>
            <w:vAlign w:val="center"/>
          </w:tcPr>
          <w:p w14:paraId="11EA3A9E">
            <w:pPr>
              <w:spacing w:after="0" w:line="276" w:lineRule="auto"/>
            </w:pPr>
            <w:r>
              <w:rPr>
                <w:rFonts w:ascii="Times New Roman" w:hAnsi="Times New Roman" w:eastAsia="宋体"/>
                <w:b w:val="0"/>
                <w:sz w:val="20"/>
              </w:rPr>
              <w:t>197 μs</w:t>
            </w:r>
          </w:p>
        </w:tc>
        <w:tc>
          <w:tcPr>
            <w:tcW w:w="2835" w:type="dxa"/>
            <w:vAlign w:val="center"/>
          </w:tcPr>
          <w:p w14:paraId="1BA3BF51">
            <w:pPr>
              <w:spacing w:after="0" w:line="276" w:lineRule="auto"/>
            </w:pPr>
            <w:r>
              <w:rPr>
                <w:rFonts w:ascii="Times New Roman" w:hAnsi="Times New Roman" w:eastAsia="宋体"/>
                <w:b w:val="0"/>
                <w:sz w:val="20"/>
              </w:rPr>
              <w:t>60 MHz × 197 μs = 11820 点</w:t>
            </w:r>
          </w:p>
        </w:tc>
      </w:tr>
      <w:tr w14:paraId="5693F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18016C92">
            <w:pPr>
              <w:spacing w:after="0" w:line="276" w:lineRule="auto"/>
            </w:pPr>
            <w:r>
              <w:rPr>
                <w:rFonts w:ascii="Times New Roman" w:hAnsi="Times New Roman" w:eastAsia="宋体"/>
                <w:b w:val="0"/>
                <w:sz w:val="20"/>
              </w:rPr>
              <w:t>作用距离</w:t>
            </w:r>
          </w:p>
        </w:tc>
        <w:tc>
          <w:tcPr>
            <w:tcW w:w="1701" w:type="dxa"/>
            <w:vAlign w:val="center"/>
          </w:tcPr>
          <w:p w14:paraId="0E06CEC0">
            <w:pPr>
              <w:spacing w:after="0" w:line="276" w:lineRule="auto"/>
            </w:pPr>
            <w:r>
              <w:rPr>
                <w:rFonts w:ascii="Times New Roman" w:hAnsi="Times New Roman" w:eastAsia="宋体"/>
                <w:b w:val="0"/>
                <w:sz w:val="20"/>
              </w:rPr>
              <w:t>约 14 km</w:t>
            </w:r>
          </w:p>
        </w:tc>
        <w:tc>
          <w:tcPr>
            <w:tcW w:w="2268" w:type="dxa"/>
            <w:vAlign w:val="center"/>
          </w:tcPr>
          <w:p w14:paraId="6A870CAA">
            <w:pPr>
              <w:spacing w:after="0" w:line="276" w:lineRule="auto"/>
            </w:pPr>
            <w:r>
              <w:rPr>
                <w:rFonts w:ascii="Times New Roman" w:hAnsi="Times New Roman" w:eastAsia="宋体"/>
                <w:b w:val="0"/>
                <w:sz w:val="20"/>
              </w:rPr>
              <w:t>83 km</w:t>
            </w:r>
          </w:p>
        </w:tc>
        <w:tc>
          <w:tcPr>
            <w:tcW w:w="2835" w:type="dxa"/>
            <w:vAlign w:val="center"/>
          </w:tcPr>
          <w:p w14:paraId="672E25DE">
            <w:pPr>
              <w:spacing w:after="0" w:line="276" w:lineRule="auto"/>
            </w:pPr>
            <w:r>
              <w:rPr>
                <w:rFonts w:ascii="Times New Roman" w:hAnsi="Times New Roman" w:eastAsia="宋体"/>
                <w:b w:val="0"/>
                <w:sz w:val="20"/>
              </w:rPr>
              <w:t>脉压截取窗口近端约 82.8 km</w:t>
            </w:r>
          </w:p>
        </w:tc>
      </w:tr>
    </w:tbl>
    <w:p w14:paraId="4293852F"/>
    <w:p w14:paraId="7E6818D4">
      <w:pPr>
        <w:spacing w:after="100" w:line="300" w:lineRule="auto"/>
        <w:ind w:firstLine="420"/>
      </w:pPr>
      <w:r>
        <w:rPr>
          <w:rFonts w:ascii="Times New Roman" w:hAnsi="Times New Roman" w:eastAsia="宋体"/>
          <w:b w:val="0"/>
          <w:sz w:val="21"/>
        </w:rPr>
        <w:t>新系统若按 61 个波位、每波位 0.1 s 计算，单周期采集时间为 6.1 s。按照“处理时间不超过采集时间 80%”计算，处理时间阈值为 4.88 s。若工程指标仍按 6 s 数据率和 4.8 s 实时性要求执行，则可将 4.8 s 作为更严格的考核门限，但文档和实验记录中应明确 61 波位体制下的理论采集时间为 6.1 s。</w:t>
      </w:r>
    </w:p>
    <w:p w14:paraId="4D0C195B">
      <w:r>
        <w:br w:type="page"/>
      </w:r>
    </w:p>
    <w:p w14:paraId="1BE3D421">
      <w:pPr>
        <w:pStyle w:val="3"/>
      </w:pPr>
      <w:r>
        <w:t>三、总体技术路线</w:t>
      </w:r>
    </w:p>
    <w:p w14:paraId="793E65A9">
      <w:pPr>
        <w:spacing w:after="100" w:line="300" w:lineRule="auto"/>
        <w:ind w:firstLine="420"/>
      </w:pPr>
      <w:r>
        <w:rPr>
          <w:rFonts w:ascii="Times New Roman" w:hAnsi="Times New Roman" w:eastAsia="宋体"/>
          <w:b w:val="0"/>
          <w:sz w:val="21"/>
        </w:rPr>
        <w:t>总体路线采用“由易到难、由工程可用到物理一致”的思路推进。第一阶段先复用旧实测背景，完成新系统数据维度、文件格式、波位组织、慢时间重采样和距离向扩展；第二阶段在 DDC 域添加合作运动目标并输出真值；第三阶段开展检测、航迹和实时性评估；第四阶段再引入 DBS 图像反投影散射点和新几何正演，提高宽角数据的几何一致性。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701"/>
        <w:gridCol w:w="3175"/>
        <w:gridCol w:w="2835"/>
      </w:tblGrid>
      <w:tr w14:paraId="198A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D9EAF7"/>
            <w:vAlign w:val="center"/>
          </w:tcPr>
          <w:p w14:paraId="54DC4BD9">
            <w:pPr>
              <w:spacing w:after="0" w:line="276" w:lineRule="auto"/>
            </w:pPr>
            <w:r>
              <w:rPr>
                <w:rFonts w:ascii="Times New Roman" w:hAnsi="Times New Roman" w:eastAsia="宋体"/>
                <w:b/>
                <w:sz w:val="20"/>
              </w:rPr>
              <w:t>阶段</w:t>
            </w:r>
          </w:p>
        </w:tc>
        <w:tc>
          <w:tcPr>
            <w:tcW w:w="1701" w:type="dxa"/>
            <w:shd w:val="clear" w:color="auto" w:fill="D9EAF7"/>
            <w:vAlign w:val="center"/>
          </w:tcPr>
          <w:p w14:paraId="2094D821">
            <w:pPr>
              <w:spacing w:after="0" w:line="276" w:lineRule="auto"/>
            </w:pPr>
            <w:r>
              <w:rPr>
                <w:rFonts w:ascii="Times New Roman" w:hAnsi="Times New Roman" w:eastAsia="宋体"/>
                <w:b/>
                <w:sz w:val="20"/>
              </w:rPr>
              <w:t>名称</w:t>
            </w:r>
          </w:p>
        </w:tc>
        <w:tc>
          <w:tcPr>
            <w:tcW w:w="3175" w:type="dxa"/>
            <w:shd w:val="clear" w:color="auto" w:fill="D9EAF7"/>
            <w:vAlign w:val="center"/>
          </w:tcPr>
          <w:p w14:paraId="543CC38E">
            <w:pPr>
              <w:spacing w:after="0" w:line="276" w:lineRule="auto"/>
            </w:pPr>
            <w:r>
              <w:rPr>
                <w:rFonts w:ascii="Times New Roman" w:hAnsi="Times New Roman" w:eastAsia="宋体"/>
                <w:b/>
                <w:sz w:val="20"/>
              </w:rPr>
              <w:t>主要内容</w:t>
            </w:r>
          </w:p>
        </w:tc>
        <w:tc>
          <w:tcPr>
            <w:tcW w:w="2835" w:type="dxa"/>
            <w:shd w:val="clear" w:color="auto" w:fill="D9EAF7"/>
            <w:vAlign w:val="center"/>
          </w:tcPr>
          <w:p w14:paraId="701967E3">
            <w:pPr>
              <w:spacing w:after="0" w:line="276" w:lineRule="auto"/>
            </w:pPr>
            <w:r>
              <w:rPr>
                <w:rFonts w:ascii="Times New Roman" w:hAnsi="Times New Roman" w:eastAsia="宋体"/>
                <w:b/>
                <w:sz w:val="20"/>
              </w:rPr>
              <w:t>预期效果</w:t>
            </w:r>
          </w:p>
        </w:tc>
      </w:tr>
      <w:tr w14:paraId="26562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5A2F925">
            <w:pPr>
              <w:spacing w:after="0" w:line="276" w:lineRule="auto"/>
            </w:pPr>
            <w:r>
              <w:rPr>
                <w:rFonts w:ascii="Times New Roman" w:hAnsi="Times New Roman" w:eastAsia="宋体"/>
                <w:b w:val="0"/>
                <w:sz w:val="20"/>
              </w:rPr>
              <w:t>阶段一</w:t>
            </w:r>
          </w:p>
        </w:tc>
        <w:tc>
          <w:tcPr>
            <w:tcW w:w="1701" w:type="dxa"/>
            <w:vAlign w:val="center"/>
          </w:tcPr>
          <w:p w14:paraId="27D74EB9">
            <w:pPr>
              <w:spacing w:after="0" w:line="276" w:lineRule="auto"/>
            </w:pPr>
            <w:r>
              <w:rPr>
                <w:rFonts w:ascii="Times New Roman" w:hAnsi="Times New Roman" w:eastAsia="宋体"/>
                <w:b w:val="0"/>
                <w:sz w:val="20"/>
              </w:rPr>
              <w:t>实测背景镜像扩展</w:t>
            </w:r>
          </w:p>
        </w:tc>
        <w:tc>
          <w:tcPr>
            <w:tcW w:w="3175" w:type="dxa"/>
            <w:vAlign w:val="center"/>
          </w:tcPr>
          <w:p w14:paraId="79A6F098">
            <w:pPr>
              <w:spacing w:after="0" w:line="276" w:lineRule="auto"/>
            </w:pPr>
            <w:r>
              <w:rPr>
                <w:rFonts w:ascii="Times New Roman" w:hAnsi="Times New Roman" w:eastAsia="宋体"/>
                <w:b w:val="0"/>
                <w:sz w:val="20"/>
              </w:rPr>
              <w:t>旧 26 波位数据扩展为新 61 波位，生成 11820 点 DDC 数据</w:t>
            </w:r>
          </w:p>
        </w:tc>
        <w:tc>
          <w:tcPr>
            <w:tcW w:w="2835" w:type="dxa"/>
            <w:vAlign w:val="center"/>
          </w:tcPr>
          <w:p w14:paraId="2C1B4B92">
            <w:pPr>
              <w:spacing w:after="0" w:line="276" w:lineRule="auto"/>
            </w:pPr>
            <w:r>
              <w:rPr>
                <w:rFonts w:ascii="Times New Roman" w:hAnsi="Times New Roman" w:eastAsia="宋体"/>
                <w:b w:val="0"/>
                <w:sz w:val="20"/>
              </w:rPr>
              <w:t>算法能读取并完成脉压、检测、成像基础流程</w:t>
            </w:r>
          </w:p>
        </w:tc>
      </w:tr>
      <w:tr w14:paraId="51F57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A8A2077">
            <w:pPr>
              <w:spacing w:after="0" w:line="276" w:lineRule="auto"/>
            </w:pPr>
            <w:r>
              <w:rPr>
                <w:rFonts w:ascii="Times New Roman" w:hAnsi="Times New Roman" w:eastAsia="宋体"/>
                <w:b w:val="0"/>
                <w:sz w:val="20"/>
              </w:rPr>
              <w:t>阶段二</w:t>
            </w:r>
          </w:p>
        </w:tc>
        <w:tc>
          <w:tcPr>
            <w:tcW w:w="1701" w:type="dxa"/>
            <w:vAlign w:val="center"/>
          </w:tcPr>
          <w:p w14:paraId="7092C6BA">
            <w:pPr>
              <w:spacing w:after="0" w:line="276" w:lineRule="auto"/>
            </w:pPr>
            <w:r>
              <w:rPr>
                <w:rFonts w:ascii="Times New Roman" w:hAnsi="Times New Roman" w:eastAsia="宋体"/>
                <w:b w:val="0"/>
                <w:sz w:val="20"/>
              </w:rPr>
              <w:t>合作目标注入</w:t>
            </w:r>
          </w:p>
        </w:tc>
        <w:tc>
          <w:tcPr>
            <w:tcW w:w="3175" w:type="dxa"/>
            <w:vAlign w:val="center"/>
          </w:tcPr>
          <w:p w14:paraId="2ED405F7">
            <w:pPr>
              <w:spacing w:after="0" w:line="276" w:lineRule="auto"/>
            </w:pPr>
            <w:r>
              <w:rPr>
                <w:rFonts w:ascii="Times New Roman" w:hAnsi="Times New Roman" w:eastAsia="宋体"/>
                <w:b w:val="0"/>
                <w:sz w:val="20"/>
              </w:rPr>
              <w:t>在 DDC 域加入单目标、多目标、弱目标、交叉目标和间歇目标</w:t>
            </w:r>
          </w:p>
        </w:tc>
        <w:tc>
          <w:tcPr>
            <w:tcW w:w="2835" w:type="dxa"/>
            <w:vAlign w:val="center"/>
          </w:tcPr>
          <w:p w14:paraId="17DF0927">
            <w:pPr>
              <w:spacing w:after="0" w:line="276" w:lineRule="auto"/>
            </w:pPr>
            <w:r>
              <w:rPr>
                <w:rFonts w:ascii="Times New Roman" w:hAnsi="Times New Roman" w:eastAsia="宋体"/>
                <w:b w:val="0"/>
                <w:sz w:val="20"/>
              </w:rPr>
              <w:t>形成带 truth.csv 的可控验证数据集</w:t>
            </w:r>
          </w:p>
        </w:tc>
      </w:tr>
      <w:tr w14:paraId="4037E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34" w:type="dxa"/>
            <w:vAlign w:val="center"/>
          </w:tcPr>
          <w:p w14:paraId="28AD522A">
            <w:pPr>
              <w:spacing w:after="0" w:line="276" w:lineRule="auto"/>
            </w:pPr>
            <w:r>
              <w:rPr>
                <w:rFonts w:ascii="Times New Roman" w:hAnsi="Times New Roman" w:eastAsia="宋体"/>
                <w:b w:val="0"/>
                <w:sz w:val="20"/>
              </w:rPr>
              <w:t>阶段三</w:t>
            </w:r>
          </w:p>
        </w:tc>
        <w:tc>
          <w:tcPr>
            <w:tcW w:w="1701" w:type="dxa"/>
            <w:vAlign w:val="center"/>
          </w:tcPr>
          <w:p w14:paraId="51250AE9">
            <w:pPr>
              <w:spacing w:after="0" w:line="276" w:lineRule="auto"/>
            </w:pPr>
            <w:r>
              <w:rPr>
                <w:rFonts w:ascii="Times New Roman" w:hAnsi="Times New Roman" w:eastAsia="宋体"/>
                <w:b w:val="0"/>
                <w:sz w:val="20"/>
              </w:rPr>
              <w:t>算法验证评估</w:t>
            </w:r>
          </w:p>
        </w:tc>
        <w:tc>
          <w:tcPr>
            <w:tcW w:w="3175" w:type="dxa"/>
            <w:vAlign w:val="center"/>
          </w:tcPr>
          <w:p w14:paraId="3F038768">
            <w:pPr>
              <w:spacing w:after="0" w:line="276" w:lineRule="auto"/>
            </w:pPr>
            <w:r>
              <w:rPr>
                <w:rFonts w:ascii="Times New Roman" w:hAnsi="Times New Roman" w:eastAsia="宋体"/>
                <w:b w:val="0"/>
                <w:sz w:val="20"/>
              </w:rPr>
              <w:t>统计检测率、虚警、定位误差、速度误差、航迹连续性和处理时间</w:t>
            </w:r>
          </w:p>
        </w:tc>
        <w:tc>
          <w:tcPr>
            <w:tcW w:w="2835" w:type="dxa"/>
            <w:vAlign w:val="center"/>
          </w:tcPr>
          <w:p w14:paraId="343DA05B">
            <w:pPr>
              <w:spacing w:after="0" w:line="276" w:lineRule="auto"/>
            </w:pPr>
            <w:r>
              <w:rPr>
                <w:rFonts w:ascii="Times New Roman" w:hAnsi="Times New Roman" w:eastAsia="宋体"/>
                <w:b w:val="0"/>
                <w:sz w:val="20"/>
              </w:rPr>
              <w:t>形成算法有效性和实时性评估报告</w:t>
            </w:r>
          </w:p>
        </w:tc>
      </w:tr>
      <w:tr w14:paraId="32093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0490DE9">
            <w:pPr>
              <w:spacing w:after="0" w:line="276" w:lineRule="auto"/>
            </w:pPr>
            <w:r>
              <w:rPr>
                <w:rFonts w:ascii="Times New Roman" w:hAnsi="Times New Roman" w:eastAsia="宋体"/>
                <w:b w:val="0"/>
                <w:sz w:val="20"/>
              </w:rPr>
              <w:t>阶段四</w:t>
            </w:r>
          </w:p>
        </w:tc>
        <w:tc>
          <w:tcPr>
            <w:tcW w:w="1701" w:type="dxa"/>
            <w:vAlign w:val="center"/>
          </w:tcPr>
          <w:p w14:paraId="3CE3B91B">
            <w:pPr>
              <w:spacing w:after="0" w:line="276" w:lineRule="auto"/>
            </w:pPr>
            <w:r>
              <w:rPr>
                <w:rFonts w:ascii="Times New Roman" w:hAnsi="Times New Roman" w:eastAsia="宋体"/>
                <w:b w:val="0"/>
                <w:sz w:val="20"/>
              </w:rPr>
              <w:t>DBS 图像反投影正演</w:t>
            </w:r>
          </w:p>
        </w:tc>
        <w:tc>
          <w:tcPr>
            <w:tcW w:w="3175" w:type="dxa"/>
            <w:vAlign w:val="center"/>
          </w:tcPr>
          <w:p w14:paraId="6BB97E96">
            <w:pPr>
              <w:spacing w:after="0" w:line="276" w:lineRule="auto"/>
            </w:pPr>
            <w:r>
              <w:rPr>
                <w:rFonts w:ascii="Times New Roman" w:hAnsi="Times New Roman" w:eastAsia="宋体"/>
                <w:b w:val="0"/>
                <w:sz w:val="20"/>
              </w:rPr>
              <w:t>从已有 DBS 图像提取散射点，按新系统几何正演为 DDC 数据</w:t>
            </w:r>
          </w:p>
        </w:tc>
        <w:tc>
          <w:tcPr>
            <w:tcW w:w="2835" w:type="dxa"/>
            <w:vAlign w:val="center"/>
          </w:tcPr>
          <w:p w14:paraId="3F6CBB03">
            <w:pPr>
              <w:spacing w:after="0" w:line="276" w:lineRule="auto"/>
            </w:pPr>
            <w:r>
              <w:rPr>
                <w:rFonts w:ascii="Times New Roman" w:hAnsi="Times New Roman" w:eastAsia="宋体"/>
                <w:b w:val="0"/>
                <w:sz w:val="20"/>
              </w:rPr>
              <w:t>形成更高几何一致性的宽角仿真数据</w:t>
            </w:r>
          </w:p>
        </w:tc>
      </w:tr>
      <w:tr w14:paraId="4D678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3479A17">
            <w:pPr>
              <w:spacing w:after="0" w:line="276" w:lineRule="auto"/>
            </w:pPr>
            <w:r>
              <w:rPr>
                <w:rFonts w:ascii="Times New Roman" w:hAnsi="Times New Roman" w:eastAsia="宋体"/>
                <w:b w:val="0"/>
                <w:sz w:val="20"/>
              </w:rPr>
              <w:t>阶段五</w:t>
            </w:r>
          </w:p>
        </w:tc>
        <w:tc>
          <w:tcPr>
            <w:tcW w:w="1701" w:type="dxa"/>
            <w:vAlign w:val="center"/>
          </w:tcPr>
          <w:p w14:paraId="60503C03">
            <w:pPr>
              <w:spacing w:after="0" w:line="276" w:lineRule="auto"/>
            </w:pPr>
            <w:r>
              <w:rPr>
                <w:rFonts w:ascii="Times New Roman" w:hAnsi="Times New Roman" w:eastAsia="宋体"/>
                <w:b w:val="0"/>
                <w:sz w:val="20"/>
              </w:rPr>
              <w:t>总结固化</w:t>
            </w:r>
          </w:p>
        </w:tc>
        <w:tc>
          <w:tcPr>
            <w:tcW w:w="3175" w:type="dxa"/>
            <w:vAlign w:val="center"/>
          </w:tcPr>
          <w:p w14:paraId="166A074A">
            <w:pPr>
              <w:spacing w:after="0" w:line="276" w:lineRule="auto"/>
            </w:pPr>
            <w:r>
              <w:rPr>
                <w:rFonts w:ascii="Times New Roman" w:hAnsi="Times New Roman" w:eastAsia="宋体"/>
                <w:b w:val="0"/>
                <w:sz w:val="20"/>
              </w:rPr>
              <w:t>整理数据集、参数、实验结果、问题和后续改进方向</w:t>
            </w:r>
          </w:p>
        </w:tc>
        <w:tc>
          <w:tcPr>
            <w:tcW w:w="2835" w:type="dxa"/>
            <w:vAlign w:val="center"/>
          </w:tcPr>
          <w:p w14:paraId="0B47B14B">
            <w:pPr>
              <w:spacing w:after="0" w:line="276" w:lineRule="auto"/>
            </w:pPr>
            <w:r>
              <w:rPr>
                <w:rFonts w:ascii="Times New Roman" w:hAnsi="Times New Roman" w:eastAsia="宋体"/>
                <w:b w:val="0"/>
                <w:sz w:val="20"/>
              </w:rPr>
              <w:t>形成汇报材料和阶段性总结</w:t>
            </w:r>
          </w:p>
        </w:tc>
      </w:tr>
    </w:tbl>
    <w:p w14:paraId="5C914460"/>
    <w:p w14:paraId="644F7BFE">
      <w:r>
        <w:br w:type="page"/>
      </w:r>
    </w:p>
    <w:p w14:paraId="3497DA32">
      <w:pPr>
        <w:pStyle w:val="3"/>
      </w:pPr>
      <w:r>
        <w:t>四、阶段一：实测背景镜像扩展与新系统 DDC 数据生成</w:t>
      </w:r>
    </w:p>
    <w:p w14:paraId="675A7547">
      <w:pPr>
        <w:spacing w:after="100" w:line="300" w:lineRule="auto"/>
        <w:ind w:firstLine="420"/>
      </w:pPr>
      <w:r>
        <w:rPr>
          <w:rFonts w:ascii="Times New Roman" w:hAnsi="Times New Roman" w:eastAsia="宋体"/>
          <w:b w:val="0"/>
          <w:sz w:val="21"/>
        </w:rPr>
        <w:t>阶段一是整个工作的基础。该阶段不加入合作目标，也不加入随机扰动，目标是利用既有实测数据生成符合新系统输入维度和文件组织方式的双通道 DDC 数据，并保证算法能够正常读取和处理。需要特别强调的是，阶段一是工程验证型数据，不是严格的新体制回波正演数据，因此其结论主要用于数据链路、实时性、检测流程和后续合作目标验证，而不能单独用于证明 -60°~60° 宽角成像几何完全正确。</w:t>
      </w:r>
    </w:p>
    <w:p w14:paraId="394D6388">
      <w:pPr>
        <w:pStyle w:val="4"/>
      </w:pPr>
      <w:r>
        <w:t>4.1 数据组织</w:t>
      </w:r>
    </w:p>
    <w:p w14:paraId="789D50FD">
      <w:pPr>
        <w:spacing w:after="100" w:line="300" w:lineRule="auto"/>
        <w:ind w:firstLine="420"/>
      </w:pPr>
      <w:r>
        <w:rPr>
          <w:rFonts w:ascii="Times New Roman" w:hAnsi="Times New Roman" w:eastAsia="宋体"/>
          <w:b w:val="0"/>
          <w:sz w:val="21"/>
        </w:rPr>
        <w:t>旧数据组织为 old_ch1[period][26][256][4096] 和 old_ch2[period][26][256][4096]。其中 26 个波位对应 -25°、-23°、...、23°、25°；每个波位 256 个脉冲；每个脉冲 4096 个复数采样点。新数据组织为 new_ch1[period][61][130][11820] 和 new_ch2[period][61][130][11820]。其中 61 个波位通常对应 -60°、-58°、...、58°、60°；每个波位 130 个脉冲；每个脉冲 11820 个复数采样点。</w:t>
      </w:r>
    </w:p>
    <w:p w14:paraId="50C09AD2">
      <w:pPr>
        <w:pStyle w:val="4"/>
      </w:pPr>
      <w:r>
        <w:t>4.2 波位角度映射、镜像复制与可选 -59°~61° 网格</w:t>
      </w:r>
    </w:p>
    <w:p w14:paraId="0547F7FD">
      <w:pPr>
        <w:spacing w:after="100" w:line="300" w:lineRule="auto"/>
        <w:ind w:firstLine="420"/>
      </w:pPr>
      <w:r>
        <w:rPr>
          <w:rFonts w:ascii="Times New Roman" w:hAnsi="Times New Roman" w:eastAsia="宋体"/>
          <w:b w:val="0"/>
          <w:sz w:val="21"/>
        </w:rPr>
        <w:t>新旧波位角度网格是否需要插值，取决于新系统角度起点。若新系统采用 -60°~60°、步进 2°，新波位为偶数角度序列，而旧波位为 -25°、-23°、...、25° 的奇数角度序列，两者在旧覆盖范围内并不完全重合。因此，即使在 -25°~25° 内，也需要进行相邻旧波位的角度插值或最近邻选择。例如 θ_new=0° 时，可由旧 -1° 和 +1° 插值得到。</w:t>
      </w:r>
    </w:p>
    <w:p w14:paraId="79CEFD22">
      <w:pPr>
        <w:spacing w:after="100" w:line="300" w:lineRule="auto"/>
        <w:ind w:firstLine="420"/>
      </w:pPr>
      <w:r>
        <w:rPr>
          <w:rFonts w:ascii="Times New Roman" w:hAnsi="Times New Roman" w:eastAsia="宋体"/>
          <w:b w:val="0"/>
          <w:sz w:val="21"/>
        </w:rPr>
        <w:t>如果为了第一阶段工程调试，改用 -59°~61°、步进 2°、共 61 个波位，则新波位变为 -59°、-57°、...、59°、61°，其中 -25°、-23°、...、25° 会与旧波位完全重合。这种情况下，在旧覆盖范围内可以直接复制对应旧波位，不需要角度插值。因此建议在仿真程序中保留角度起点参数 scan_start_deg，使 -60°~60° 和 -59°~61° 两种网格都可切换。</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6"/>
      </w:tblGrid>
      <w:tr w14:paraId="00427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6" w:type="dxa"/>
            <w:shd w:val="clear" w:color="auto" w:fill="FFF2CC"/>
          </w:tcPr>
          <w:p w14:paraId="07C2F825">
            <w:pPr>
              <w:spacing w:after="0" w:line="288" w:lineRule="auto"/>
            </w:pPr>
            <w:r>
              <w:rPr>
                <w:rFonts w:ascii="Times New Roman" w:hAnsi="Times New Roman" w:eastAsia="黑体"/>
                <w:b/>
                <w:sz w:val="21"/>
              </w:rPr>
              <w:t>参数建议</w:t>
            </w:r>
            <w:r>
              <w:br w:type="textWrapping"/>
            </w:r>
            <w:r>
              <w:rPr>
                <w:rFonts w:ascii="Times New Roman" w:hAnsi="Times New Roman" w:eastAsia="宋体"/>
                <w:sz w:val="21"/>
              </w:rPr>
              <w:t>正式新体制若规定为 -60°~60°，则汇报和最终指标仍以 -60°~60° 为主；-59°~61° 更适合作为第一阶段调试网格，用于减少角度插值误差、快速验证数据读写和处理流程。两种角度网格生成的数据应分别命名和记录，避免混用。</w:t>
            </w:r>
          </w:p>
        </w:tc>
      </w:tr>
    </w:tbl>
    <w:p w14:paraId="4E4D5BCC"/>
    <w:p w14:paraId="2B36BF29">
      <w:pPr>
        <w:spacing w:after="100" w:line="300" w:lineRule="auto"/>
        <w:ind w:firstLine="420"/>
      </w:pPr>
      <w:r>
        <w:rPr>
          <w:rFonts w:ascii="Times New Roman" w:hAnsi="Times New Roman" w:eastAsia="宋体"/>
          <w:b w:val="0"/>
          <w:sz w:val="21"/>
        </w:rPr>
        <w:t>外侧波位采用镜像复制原则，而不是固定使用 old -25° 或 old +25° 作为所有外侧波位模板。右侧外推时，可按 +25° 边界向内镜像：θ_ref = 2×25° - θ_new。例如 θ_new=27° 时，θ_ref=23°；θ_new=29° 时，θ_ref=21°。左侧外推时，可按 -25° 边界向内镜像：θ_ref = 2×(-25°) - θ_new。例如 θ_new=-27° 时，θ_ref=-23°；θ_new=-29° 时，θ_ref=-21°。若采用 -60°~60° 网格，则镜像参考角可能为偶数角度，需要通过旧相邻奇数波位插值获得；若采用 -59°~61° 网格，则镜像参考角大多与旧奇数角度重合，可直接复制。</w:t>
      </w:r>
    </w:p>
    <w:p w14:paraId="132B8905">
      <w:pPr>
        <w:spacing w:after="100" w:line="300" w:lineRule="auto"/>
        <w:ind w:firstLine="420"/>
      </w:pPr>
      <w:r>
        <w:rPr>
          <w:rFonts w:ascii="Times New Roman" w:hAnsi="Times New Roman" w:eastAsia="宋体"/>
          <w:b w:val="0"/>
          <w:sz w:val="21"/>
        </w:rPr>
        <w:t>需要特别说明的是，镜像复制只决定“背景数据取自哪里”，不改变新系统波位的实际角度参数。也就是说，新波位 θ_new=41° 的背景可能来自旧 θ_ref=9° 的数据，但在配置文件、波束中心、合作目标可见性、真值输出和算法处理流程中，该波位仍然按照 41° 处理。这样既保留旧数据纹理，又避免角度参数混乱。</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721"/>
        <w:gridCol w:w="2268"/>
        <w:gridCol w:w="2381"/>
      </w:tblGrid>
      <w:tr w14:paraId="0C7EC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79ED9039">
            <w:pPr>
              <w:spacing w:after="0" w:line="276" w:lineRule="auto"/>
            </w:pPr>
            <w:r>
              <w:rPr>
                <w:rFonts w:ascii="Times New Roman" w:hAnsi="Times New Roman" w:eastAsia="宋体"/>
                <w:b/>
                <w:sz w:val="20"/>
              </w:rPr>
              <w:t>角度网格</w:t>
            </w:r>
          </w:p>
        </w:tc>
        <w:tc>
          <w:tcPr>
            <w:tcW w:w="2721" w:type="dxa"/>
            <w:shd w:val="clear" w:color="auto" w:fill="D9EAF7"/>
            <w:vAlign w:val="center"/>
          </w:tcPr>
          <w:p w14:paraId="0977D24C">
            <w:pPr>
              <w:spacing w:after="0" w:line="276" w:lineRule="auto"/>
            </w:pPr>
            <w:r>
              <w:rPr>
                <w:rFonts w:ascii="Times New Roman" w:hAnsi="Times New Roman" w:eastAsia="宋体"/>
                <w:b/>
                <w:sz w:val="20"/>
              </w:rPr>
              <w:t>新波位角序列</w:t>
            </w:r>
          </w:p>
        </w:tc>
        <w:tc>
          <w:tcPr>
            <w:tcW w:w="2268" w:type="dxa"/>
            <w:shd w:val="clear" w:color="auto" w:fill="D9EAF7"/>
            <w:vAlign w:val="center"/>
          </w:tcPr>
          <w:p w14:paraId="15CCD292">
            <w:pPr>
              <w:spacing w:after="0" w:line="276" w:lineRule="auto"/>
            </w:pPr>
            <w:r>
              <w:rPr>
                <w:rFonts w:ascii="Times New Roman" w:hAnsi="Times New Roman" w:eastAsia="宋体"/>
                <w:b/>
                <w:sz w:val="20"/>
              </w:rPr>
              <w:t>旧覆盖范围处理</w:t>
            </w:r>
          </w:p>
        </w:tc>
        <w:tc>
          <w:tcPr>
            <w:tcW w:w="2381" w:type="dxa"/>
            <w:shd w:val="clear" w:color="auto" w:fill="D9EAF7"/>
            <w:vAlign w:val="center"/>
          </w:tcPr>
          <w:p w14:paraId="00617BF3">
            <w:pPr>
              <w:spacing w:after="0" w:line="276" w:lineRule="auto"/>
            </w:pPr>
            <w:r>
              <w:rPr>
                <w:rFonts w:ascii="Times New Roman" w:hAnsi="Times New Roman" w:eastAsia="宋体"/>
                <w:b/>
                <w:sz w:val="20"/>
              </w:rPr>
              <w:t>适用建议</w:t>
            </w:r>
          </w:p>
        </w:tc>
      </w:tr>
      <w:tr w14:paraId="7D69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4E120BD">
            <w:pPr>
              <w:spacing w:after="0" w:line="276" w:lineRule="auto"/>
            </w:pPr>
            <w:r>
              <w:rPr>
                <w:rFonts w:ascii="Times New Roman" w:hAnsi="Times New Roman" w:eastAsia="宋体"/>
                <w:b w:val="0"/>
                <w:sz w:val="20"/>
              </w:rPr>
              <w:t>-60°~60°</w:t>
            </w:r>
          </w:p>
        </w:tc>
        <w:tc>
          <w:tcPr>
            <w:tcW w:w="2721" w:type="dxa"/>
            <w:vAlign w:val="center"/>
          </w:tcPr>
          <w:p w14:paraId="3932F2FF">
            <w:pPr>
              <w:spacing w:after="0" w:line="276" w:lineRule="auto"/>
            </w:pPr>
            <w:r>
              <w:rPr>
                <w:rFonts w:ascii="Times New Roman" w:hAnsi="Times New Roman" w:eastAsia="宋体"/>
                <w:b w:val="0"/>
                <w:sz w:val="20"/>
              </w:rPr>
              <w:t>偶数角度：-60,-58,...,60</w:t>
            </w:r>
          </w:p>
        </w:tc>
        <w:tc>
          <w:tcPr>
            <w:tcW w:w="2268" w:type="dxa"/>
            <w:vAlign w:val="center"/>
          </w:tcPr>
          <w:p w14:paraId="1540598F">
            <w:pPr>
              <w:spacing w:after="0" w:line="276" w:lineRule="auto"/>
            </w:pPr>
            <w:r>
              <w:rPr>
                <w:rFonts w:ascii="Times New Roman" w:hAnsi="Times New Roman" w:eastAsia="宋体"/>
                <w:b w:val="0"/>
                <w:sz w:val="20"/>
              </w:rPr>
              <w:t>旧范围内通常需要插值</w:t>
            </w:r>
          </w:p>
        </w:tc>
        <w:tc>
          <w:tcPr>
            <w:tcW w:w="2381" w:type="dxa"/>
            <w:vAlign w:val="center"/>
          </w:tcPr>
          <w:p w14:paraId="2F94A734">
            <w:pPr>
              <w:spacing w:after="0" w:line="276" w:lineRule="auto"/>
            </w:pPr>
            <w:r>
              <w:rPr>
                <w:rFonts w:ascii="Times New Roman" w:hAnsi="Times New Roman" w:eastAsia="宋体"/>
                <w:b w:val="0"/>
                <w:sz w:val="20"/>
              </w:rPr>
              <w:t>与正式指标一致，但旧角度网格不重合</w:t>
            </w:r>
          </w:p>
        </w:tc>
      </w:tr>
      <w:tr w14:paraId="4D423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A52E19F">
            <w:pPr>
              <w:spacing w:after="0" w:line="276" w:lineRule="auto"/>
            </w:pPr>
            <w:r>
              <w:rPr>
                <w:rFonts w:ascii="Times New Roman" w:hAnsi="Times New Roman" w:eastAsia="宋体"/>
                <w:b w:val="0"/>
                <w:sz w:val="20"/>
              </w:rPr>
              <w:t>-59°~61°</w:t>
            </w:r>
          </w:p>
        </w:tc>
        <w:tc>
          <w:tcPr>
            <w:tcW w:w="2721" w:type="dxa"/>
            <w:vAlign w:val="center"/>
          </w:tcPr>
          <w:p w14:paraId="4EEFE5DF">
            <w:pPr>
              <w:spacing w:after="0" w:line="276" w:lineRule="auto"/>
            </w:pPr>
            <w:r>
              <w:rPr>
                <w:rFonts w:ascii="Times New Roman" w:hAnsi="Times New Roman" w:eastAsia="宋体"/>
                <w:b w:val="0"/>
                <w:sz w:val="20"/>
              </w:rPr>
              <w:t>奇数角度：-59,-57,...,61</w:t>
            </w:r>
          </w:p>
        </w:tc>
        <w:tc>
          <w:tcPr>
            <w:tcW w:w="2268" w:type="dxa"/>
            <w:vAlign w:val="center"/>
          </w:tcPr>
          <w:p w14:paraId="6D41E439">
            <w:pPr>
              <w:spacing w:after="0" w:line="276" w:lineRule="auto"/>
            </w:pPr>
            <w:r>
              <w:rPr>
                <w:rFonts w:ascii="Times New Roman" w:hAnsi="Times New Roman" w:eastAsia="宋体"/>
                <w:b w:val="0"/>
                <w:sz w:val="20"/>
              </w:rPr>
              <w:t>旧范围内可直接复制</w:t>
            </w:r>
          </w:p>
        </w:tc>
        <w:tc>
          <w:tcPr>
            <w:tcW w:w="2381" w:type="dxa"/>
            <w:vAlign w:val="center"/>
          </w:tcPr>
          <w:p w14:paraId="5599C6FD">
            <w:pPr>
              <w:spacing w:after="0" w:line="276" w:lineRule="auto"/>
            </w:pPr>
            <w:r>
              <w:rPr>
                <w:rFonts w:ascii="Times New Roman" w:hAnsi="Times New Roman" w:eastAsia="宋体"/>
                <w:b w:val="0"/>
                <w:sz w:val="20"/>
              </w:rPr>
              <w:t>便于第一阶段调试，但中心偏到 1°，应单独记录</w:t>
            </w:r>
          </w:p>
        </w:tc>
      </w:tr>
    </w:tbl>
    <w:p w14:paraId="0E94E0EA"/>
    <w:p w14:paraId="0921E929">
      <w:pPr>
        <w:pStyle w:val="4"/>
      </w:pPr>
      <w:r>
        <w:t>4.3 为什么阶段一不会简单重复“搬移多普勒中心”的问题</w:t>
      </w:r>
    </w:p>
    <w:p w14:paraId="1F9953F8">
      <w:pPr>
        <w:spacing w:after="100" w:line="300" w:lineRule="auto"/>
        <w:ind w:firstLine="420"/>
      </w:pPr>
      <w:r>
        <w:rPr>
          <w:rFonts w:ascii="Times New Roman" w:hAnsi="Times New Roman" w:eastAsia="宋体"/>
          <w:b w:val="0"/>
          <w:sz w:val="21"/>
        </w:rPr>
        <w:t>阶段一仍然复用旧背景数据，因此从严格物理意义上看，外侧波位背景并不具备真实 -60°~60° 宽角观测的斜距历程和散射几何。这个局限必须承认。但是，阶段一与“只搬移多普勒中心”有本质区别：阶段一不再把旧波位伪装成严格的新几何回波，也不把背景数据用于验证宽角几何真实性，而是将其定位为工程背景和杂波统计来源。</w:t>
      </w:r>
    </w:p>
    <w:p w14:paraId="7A0AE960">
      <w:pPr>
        <w:spacing w:after="100" w:line="300" w:lineRule="auto"/>
        <w:ind w:firstLine="420"/>
      </w:pPr>
      <w:r>
        <w:rPr>
          <w:rFonts w:ascii="Times New Roman" w:hAnsi="Times New Roman" w:eastAsia="宋体"/>
          <w:b w:val="0"/>
          <w:sz w:val="21"/>
        </w:rPr>
        <w:t>前期多普勒搬移的问题在于：数据的慢时间频谱被强行移到新波位，但算法仍按新角度、新拼接关系去解释这些相位历程，导致频谱、几何和相位关系同时不一致。阶段一改用镜像复制和重组织方式，不再主动改变旧背景的多普勒中心，不强行构造不存在的外侧波位多普勒相位，只把旧数据作为背景纹理、杂波和虚警统计源；同时，新配置、新波位角、采样窗口、DDC 长度、合作目标几何和 truth 输出全部按新系统参数单独计算。</w:t>
      </w:r>
    </w:p>
    <w:p w14:paraId="3DE9050A">
      <w:pPr>
        <w:spacing w:after="100" w:line="300" w:lineRule="auto"/>
        <w:ind w:firstLine="420"/>
      </w:pPr>
      <w:r>
        <w:rPr>
          <w:rFonts w:ascii="Times New Roman" w:hAnsi="Times New Roman" w:eastAsia="宋体"/>
          <w:b w:val="0"/>
          <w:sz w:val="21"/>
        </w:rPr>
        <w:t>因此，阶段一不能保证背景宽角成像完全无畸变，但可以避免把“多普勒搬移后的假相位历程”当作真实新波位相位历程使用。其安全边界是：第一阶段主要验证算法是否能读取新格式数据、完成脉压和检测链路、处理多周期大数据、验证合作目标检测与跟踪；若要评价宽角 DBS 拼接、边缘波位几何畸变和真实图像连续性，必须进入阶段四的 DBS 图像反投影散射点正演。</w:t>
      </w:r>
    </w:p>
    <w:p w14:paraId="41D2CA0A">
      <w:pPr>
        <w:pStyle w:val="16"/>
        <w:numPr>
          <w:ilvl w:val="0"/>
          <w:numId w:val="8"/>
        </w:numPr>
        <w:tabs>
          <w:tab w:val="clear" w:pos="420"/>
        </w:tabs>
        <w:spacing w:after="60" w:line="288" w:lineRule="auto"/>
        <w:ind w:left="845" w:leftChars="0" w:hanging="425" w:firstLineChars="0"/>
      </w:pPr>
      <w:r>
        <w:rPr>
          <w:rFonts w:ascii="Times New Roman" w:hAnsi="Times New Roman" w:eastAsia="宋体"/>
          <w:sz w:val="21"/>
        </w:rPr>
        <w:t>第一阶段不以背景图像的宽角几何正确性作为结论，只以数据链路、算法接口、实时性和合作目标检测跟踪作为主要结论。</w:t>
      </w:r>
    </w:p>
    <w:p w14:paraId="45CA2B6D">
      <w:pPr>
        <w:pStyle w:val="16"/>
        <w:numPr>
          <w:ilvl w:val="0"/>
          <w:numId w:val="8"/>
        </w:numPr>
        <w:tabs>
          <w:tab w:val="clear" w:pos="420"/>
        </w:tabs>
        <w:spacing w:after="60" w:line="288" w:lineRule="auto"/>
        <w:ind w:left="845" w:leftChars="0" w:hanging="425" w:firstLineChars="0"/>
      </w:pPr>
      <w:r>
        <w:rPr>
          <w:rFonts w:ascii="Times New Roman" w:hAnsi="Times New Roman" w:eastAsia="宋体"/>
          <w:sz w:val="21"/>
        </w:rPr>
        <w:t>背景数据来源角 θ_ref 和算法使用的新波位角 θ_new 必须同时记录在 old_to_new_beam_map.csv 中，避免误判。</w:t>
      </w:r>
    </w:p>
    <w:p w14:paraId="47796549">
      <w:pPr>
        <w:pStyle w:val="16"/>
        <w:numPr>
          <w:ilvl w:val="0"/>
          <w:numId w:val="8"/>
        </w:numPr>
        <w:tabs>
          <w:tab w:val="clear" w:pos="420"/>
        </w:tabs>
        <w:spacing w:after="60" w:line="288" w:lineRule="auto"/>
        <w:ind w:left="845" w:leftChars="0" w:hanging="425" w:firstLineChars="0"/>
      </w:pPr>
      <w:r>
        <w:rPr>
          <w:rFonts w:ascii="Times New Roman" w:hAnsi="Times New Roman" w:eastAsia="宋体"/>
          <w:sz w:val="21"/>
        </w:rPr>
        <w:t>合作目标不采用镜像复制，而是按新系统角度、载频、采样延迟、DDC 长度和双通道相位差重新生成，因此合作目标链路具有更强的物理一致性。</w:t>
      </w:r>
    </w:p>
    <w:p w14:paraId="3A2CB7B4">
      <w:pPr>
        <w:pStyle w:val="16"/>
        <w:numPr>
          <w:ilvl w:val="0"/>
          <w:numId w:val="8"/>
        </w:numPr>
        <w:tabs>
          <w:tab w:val="clear" w:pos="420"/>
        </w:tabs>
        <w:spacing w:after="60" w:line="288" w:lineRule="auto"/>
        <w:ind w:left="845" w:leftChars="0" w:hanging="425" w:firstLineChars="0"/>
      </w:pPr>
      <w:r>
        <w:rPr>
          <w:rFonts w:ascii="Times New Roman" w:hAnsi="Times New Roman" w:eastAsia="宋体"/>
          <w:sz w:val="21"/>
        </w:rPr>
        <w:t>若背景成像或拼接仍有局部不连续，应视为第一阶段工程近似的正常局限，而不是算法最终几何能力的评价依据。</w:t>
      </w:r>
    </w:p>
    <w:p w14:paraId="0890D0A3">
      <w:pPr>
        <w:pStyle w:val="4"/>
      </w:pPr>
      <w:r>
        <w:t>4.4 脉冲数 256→130 重采样：两种模式及优劣分析</w:t>
      </w:r>
    </w:p>
    <w:p w14:paraId="32BC9610">
      <w:pPr>
        <w:spacing w:after="100" w:line="300" w:lineRule="auto"/>
        <w:ind w:firstLine="420"/>
      </w:pPr>
      <w:r>
        <w:rPr>
          <w:rFonts w:ascii="Times New Roman" w:hAnsi="Times New Roman" w:eastAsia="宋体"/>
          <w:b w:val="0"/>
          <w:sz w:val="21"/>
        </w:rPr>
        <w:t>旧系统每波位 256 个脉冲，PRF 为 2000 Hz，单波位时间约 0.128 s；新系统每波位 130 个脉冲，PRF 为 1300 Hz，单波位时间为 0.1 s。由于 PRF 和驻留时间同时变化，脉冲重采样方式会直接影响慢时间相位、背景多普勒分布和已有运动目标的表观速度。建议同时保留物理慢时间模式和归一化压缩模式，并在实验记录中明确使用哪一种。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2879"/>
        <w:gridCol w:w="2029"/>
        <w:gridCol w:w="2076"/>
        <w:gridCol w:w="1408"/>
      </w:tblGrid>
      <w:tr w14:paraId="3F016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shd w:val="clear" w:color="auto" w:fill="D9EAF7"/>
            <w:vAlign w:val="center"/>
          </w:tcPr>
          <w:p w14:paraId="44FA617C">
            <w:pPr>
              <w:spacing w:after="0" w:line="276" w:lineRule="auto"/>
            </w:pPr>
            <w:r>
              <w:rPr>
                <w:rFonts w:ascii="Times New Roman" w:hAnsi="Times New Roman" w:eastAsia="宋体"/>
                <w:b/>
                <w:sz w:val="20"/>
              </w:rPr>
              <w:t>模式</w:t>
            </w:r>
          </w:p>
        </w:tc>
        <w:tc>
          <w:tcPr>
            <w:tcW w:w="2098" w:type="dxa"/>
            <w:shd w:val="clear" w:color="auto" w:fill="D9EAF7"/>
            <w:vAlign w:val="center"/>
          </w:tcPr>
          <w:p w14:paraId="7BB0EE5E">
            <w:pPr>
              <w:spacing w:after="0" w:line="276" w:lineRule="auto"/>
            </w:pPr>
            <w:r>
              <w:rPr>
                <w:rFonts w:ascii="Times New Roman" w:hAnsi="Times New Roman" w:eastAsia="宋体"/>
                <w:b/>
                <w:sz w:val="20"/>
              </w:rPr>
              <w:t>实现方式</w:t>
            </w:r>
          </w:p>
        </w:tc>
        <w:tc>
          <w:tcPr>
            <w:tcW w:w="2551" w:type="dxa"/>
            <w:shd w:val="clear" w:color="auto" w:fill="D9EAF7"/>
            <w:vAlign w:val="center"/>
          </w:tcPr>
          <w:p w14:paraId="506DF852">
            <w:pPr>
              <w:spacing w:after="0" w:line="276" w:lineRule="auto"/>
            </w:pPr>
            <w:r>
              <w:rPr>
                <w:rFonts w:ascii="Times New Roman" w:hAnsi="Times New Roman" w:eastAsia="宋体"/>
                <w:b/>
                <w:sz w:val="20"/>
              </w:rPr>
              <w:t>优点</w:t>
            </w:r>
          </w:p>
        </w:tc>
        <w:tc>
          <w:tcPr>
            <w:tcW w:w="2551" w:type="dxa"/>
            <w:shd w:val="clear" w:color="auto" w:fill="D9EAF7"/>
            <w:vAlign w:val="center"/>
          </w:tcPr>
          <w:p w14:paraId="053E7A21">
            <w:pPr>
              <w:spacing w:after="0" w:line="276" w:lineRule="auto"/>
            </w:pPr>
            <w:r>
              <w:rPr>
                <w:rFonts w:ascii="Times New Roman" w:hAnsi="Times New Roman" w:eastAsia="宋体"/>
                <w:b/>
                <w:sz w:val="20"/>
              </w:rPr>
              <w:t>局限</w:t>
            </w:r>
          </w:p>
        </w:tc>
        <w:tc>
          <w:tcPr>
            <w:tcW w:w="1701" w:type="dxa"/>
            <w:shd w:val="clear" w:color="auto" w:fill="D9EAF7"/>
            <w:vAlign w:val="center"/>
          </w:tcPr>
          <w:p w14:paraId="49C33AFA">
            <w:pPr>
              <w:spacing w:after="0" w:line="276" w:lineRule="auto"/>
            </w:pPr>
            <w:r>
              <w:rPr>
                <w:rFonts w:ascii="Times New Roman" w:hAnsi="Times New Roman" w:eastAsia="宋体"/>
                <w:b/>
                <w:sz w:val="20"/>
              </w:rPr>
              <w:t>建议用途</w:t>
            </w:r>
          </w:p>
        </w:tc>
      </w:tr>
      <w:tr w14:paraId="64151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14:paraId="22DF900A">
            <w:pPr>
              <w:spacing w:after="0" w:line="276" w:lineRule="auto"/>
            </w:pPr>
            <w:r>
              <w:rPr>
                <w:rFonts w:ascii="Times New Roman" w:hAnsi="Times New Roman" w:eastAsia="宋体"/>
                <w:b w:val="0"/>
                <w:sz w:val="20"/>
              </w:rPr>
              <w:t>物理慢时间模式</w:t>
            </w:r>
          </w:p>
        </w:tc>
        <w:tc>
          <w:tcPr>
            <w:tcW w:w="2098" w:type="dxa"/>
            <w:vAlign w:val="center"/>
          </w:tcPr>
          <w:p w14:paraId="398BB300">
            <w:pPr>
              <w:spacing w:after="0" w:line="276" w:lineRule="auto"/>
            </w:pPr>
            <w:r>
              <w:rPr>
                <w:rFonts w:ascii="Times New Roman" w:hAnsi="Times New Roman" w:eastAsia="宋体"/>
                <w:b w:val="0"/>
                <w:sz w:val="20"/>
              </w:rPr>
              <w:t>t_new=m/PRF_new，old_index=t_new×PRF_old</w:t>
            </w:r>
          </w:p>
        </w:tc>
        <w:tc>
          <w:tcPr>
            <w:tcW w:w="2551" w:type="dxa"/>
            <w:vAlign w:val="center"/>
          </w:tcPr>
          <w:p w14:paraId="203500A9">
            <w:pPr>
              <w:spacing w:after="0" w:line="276" w:lineRule="auto"/>
            </w:pPr>
            <w:r>
              <w:rPr>
                <w:rFonts w:ascii="Times New Roman" w:hAnsi="Times New Roman" w:eastAsia="宋体"/>
                <w:b w:val="0"/>
                <w:sz w:val="20"/>
              </w:rPr>
              <w:t>保持时间坐标意义，旧数据前 0.1 s 与新驻留时间对应；已有目标多普勒频率不被人为压缩或拉伸；更适合速度链路初步验证</w:t>
            </w:r>
          </w:p>
        </w:tc>
        <w:tc>
          <w:tcPr>
            <w:tcW w:w="2551" w:type="dxa"/>
            <w:vAlign w:val="center"/>
          </w:tcPr>
          <w:p w14:paraId="69B97E39">
            <w:pPr>
              <w:spacing w:after="0" w:line="276" w:lineRule="auto"/>
            </w:pPr>
            <w:r>
              <w:rPr>
                <w:rFonts w:ascii="Times New Roman" w:hAnsi="Times New Roman" w:eastAsia="宋体"/>
                <w:b w:val="0"/>
                <w:sz w:val="20"/>
              </w:rPr>
              <w:t>只使用旧 0.128 s 中的前 0.1 s，丢弃后约 0.028 s；背景纹理利用不完整</w:t>
            </w:r>
          </w:p>
        </w:tc>
        <w:tc>
          <w:tcPr>
            <w:tcW w:w="1701" w:type="dxa"/>
            <w:vAlign w:val="center"/>
          </w:tcPr>
          <w:p w14:paraId="443E3340">
            <w:pPr>
              <w:spacing w:after="0" w:line="276" w:lineRule="auto"/>
            </w:pPr>
            <w:r>
              <w:rPr>
                <w:rFonts w:ascii="Times New Roman" w:hAnsi="Times New Roman" w:eastAsia="宋体"/>
                <w:b w:val="0"/>
                <w:sz w:val="20"/>
              </w:rPr>
              <w:t>默认模式，适合第一阶段主线</w:t>
            </w:r>
          </w:p>
        </w:tc>
      </w:tr>
      <w:tr w14:paraId="15B0C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14:paraId="2D3D5242">
            <w:pPr>
              <w:spacing w:after="0" w:line="276" w:lineRule="auto"/>
            </w:pPr>
            <w:r>
              <w:rPr>
                <w:rFonts w:ascii="Times New Roman" w:hAnsi="Times New Roman" w:eastAsia="宋体"/>
                <w:b w:val="0"/>
                <w:sz w:val="20"/>
              </w:rPr>
              <w:t>归一化压缩模式</w:t>
            </w:r>
          </w:p>
        </w:tc>
        <w:tc>
          <w:tcPr>
            <w:tcW w:w="2098" w:type="dxa"/>
            <w:vAlign w:val="center"/>
          </w:tcPr>
          <w:p w14:paraId="4A5B99D8">
            <w:pPr>
              <w:spacing w:after="0" w:line="276" w:lineRule="auto"/>
            </w:pPr>
            <w:r>
              <w:rPr>
                <w:rFonts w:ascii="Times New Roman" w:hAnsi="Times New Roman" w:eastAsia="宋体"/>
                <w:b w:val="0"/>
                <w:sz w:val="20"/>
              </w:rPr>
              <w:t>old_index=m×(255/129)</w:t>
            </w:r>
          </w:p>
        </w:tc>
        <w:tc>
          <w:tcPr>
            <w:tcW w:w="2551" w:type="dxa"/>
            <w:vAlign w:val="center"/>
          </w:tcPr>
          <w:p w14:paraId="111EB46F">
            <w:pPr>
              <w:spacing w:after="0" w:line="276" w:lineRule="auto"/>
            </w:pPr>
            <w:r>
              <w:rPr>
                <w:rFonts w:ascii="Times New Roman" w:hAnsi="Times New Roman" w:eastAsia="宋体"/>
                <w:b w:val="0"/>
                <w:sz w:val="20"/>
              </w:rPr>
              <w:t>利用完整 256 脉冲，背景纹理和旧波位积累信息保留更充分；视觉上可能更平滑</w:t>
            </w:r>
          </w:p>
        </w:tc>
        <w:tc>
          <w:tcPr>
            <w:tcW w:w="2551" w:type="dxa"/>
            <w:vAlign w:val="center"/>
          </w:tcPr>
          <w:p w14:paraId="7342B4DE">
            <w:pPr>
              <w:spacing w:after="0" w:line="276" w:lineRule="auto"/>
            </w:pPr>
            <w:r>
              <w:rPr>
                <w:rFonts w:ascii="Times New Roman" w:hAnsi="Times New Roman" w:eastAsia="宋体"/>
                <w:b w:val="0"/>
                <w:sz w:val="20"/>
              </w:rPr>
              <w:t>相当于把 0.128 s 压缩为 0.1 s，慢时间相位斜率被改变，表观多普勒约按 1.28 倍缩放，可能造成已有运动目标速度偏差</w:t>
            </w:r>
          </w:p>
        </w:tc>
        <w:tc>
          <w:tcPr>
            <w:tcW w:w="1701" w:type="dxa"/>
            <w:vAlign w:val="center"/>
          </w:tcPr>
          <w:p w14:paraId="1BE9372E">
            <w:pPr>
              <w:spacing w:after="0" w:line="276" w:lineRule="auto"/>
            </w:pPr>
            <w:r>
              <w:rPr>
                <w:rFonts w:ascii="Times New Roman" w:hAnsi="Times New Roman" w:eastAsia="宋体"/>
                <w:b w:val="0"/>
                <w:sz w:val="20"/>
              </w:rPr>
              <w:t>备用模式，适合背景外观对比，不适合严肃速度评价</w:t>
            </w:r>
          </w:p>
        </w:tc>
      </w:tr>
      <w:tr w14:paraId="0AD15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31" w:type="dxa"/>
            <w:vAlign w:val="center"/>
          </w:tcPr>
          <w:p w14:paraId="44B1872F">
            <w:pPr>
              <w:spacing w:after="0" w:line="276" w:lineRule="auto"/>
            </w:pPr>
            <w:r>
              <w:rPr>
                <w:rFonts w:ascii="Times New Roman" w:hAnsi="Times New Roman" w:eastAsia="宋体"/>
                <w:b w:val="0"/>
                <w:sz w:val="20"/>
              </w:rPr>
              <w:t>简单抽取/截断模式</w:t>
            </w:r>
          </w:p>
        </w:tc>
        <w:tc>
          <w:tcPr>
            <w:tcW w:w="2098" w:type="dxa"/>
            <w:vAlign w:val="center"/>
          </w:tcPr>
          <w:p w14:paraId="0F439319">
            <w:pPr>
              <w:spacing w:after="0" w:line="276" w:lineRule="auto"/>
            </w:pPr>
            <w:r>
              <w:rPr>
                <w:rFonts w:ascii="Times New Roman" w:hAnsi="Times New Roman" w:eastAsia="宋体"/>
                <w:b w:val="0"/>
                <w:sz w:val="20"/>
              </w:rPr>
              <w:t>直接取前 130 或等间隔抽取</w:t>
            </w:r>
          </w:p>
        </w:tc>
        <w:tc>
          <w:tcPr>
            <w:tcW w:w="2551" w:type="dxa"/>
            <w:vAlign w:val="center"/>
          </w:tcPr>
          <w:p w14:paraId="737EA8B1">
            <w:pPr>
              <w:spacing w:after="0" w:line="276" w:lineRule="auto"/>
            </w:pPr>
            <w:r>
              <w:rPr>
                <w:rFonts w:ascii="Times New Roman" w:hAnsi="Times New Roman" w:eastAsia="宋体"/>
                <w:b w:val="0"/>
                <w:sz w:val="20"/>
              </w:rPr>
              <w:t>实现最简单，便于排查读写格式问题</w:t>
            </w:r>
          </w:p>
        </w:tc>
        <w:tc>
          <w:tcPr>
            <w:tcW w:w="2551" w:type="dxa"/>
            <w:vAlign w:val="center"/>
          </w:tcPr>
          <w:p w14:paraId="184927A7">
            <w:pPr>
              <w:spacing w:after="0" w:line="276" w:lineRule="auto"/>
            </w:pPr>
            <w:r>
              <w:rPr>
                <w:rFonts w:ascii="Times New Roman" w:hAnsi="Times New Roman" w:eastAsia="宋体"/>
                <w:b w:val="0"/>
                <w:sz w:val="20"/>
              </w:rPr>
              <w:t>频谱混叠和相位不连续风险较高，数据利用不充分</w:t>
            </w:r>
          </w:p>
        </w:tc>
        <w:tc>
          <w:tcPr>
            <w:tcW w:w="1701" w:type="dxa"/>
            <w:vAlign w:val="center"/>
          </w:tcPr>
          <w:p w14:paraId="24D1A77D">
            <w:pPr>
              <w:spacing w:after="0" w:line="276" w:lineRule="auto"/>
            </w:pPr>
            <w:r>
              <w:rPr>
                <w:rFonts w:ascii="Times New Roman" w:hAnsi="Times New Roman" w:eastAsia="宋体"/>
                <w:b w:val="0"/>
                <w:sz w:val="20"/>
              </w:rPr>
              <w:t>仅用于最初调试，不作为正式方案</w:t>
            </w:r>
          </w:p>
        </w:tc>
      </w:tr>
    </w:tbl>
    <w:p w14:paraId="66C6CC37"/>
    <w:p w14:paraId="6DA51BB8">
      <w:pPr>
        <w:spacing w:after="100" w:line="300" w:lineRule="auto"/>
        <w:ind w:firstLine="420"/>
      </w:pPr>
      <w:r>
        <w:rPr>
          <w:rFonts w:ascii="Times New Roman" w:hAnsi="Times New Roman" w:eastAsia="宋体"/>
          <w:b w:val="0"/>
          <w:sz w:val="21"/>
        </w:rPr>
        <w:t>总体建议是：主实验采用物理慢时间模式，保证新数据的 0.1 s 驻留时间与旧数据真实时间轴对应；归一化压缩模式作为对照数据保留，用于观察背景连续性和算法鲁棒性。对于合作目标，由于其回波按新系统时间轴重新生成，不受旧数据脉冲重采样模式的速度偏差影响。</w:t>
      </w:r>
    </w:p>
    <w:p w14:paraId="4CAF9CBB">
      <w:pPr>
        <w:pStyle w:val="4"/>
      </w:pPr>
      <w:r>
        <w:t>4.5 距离向 4096→11820 FFT 扩展的作用、局限与适用边界</w:t>
      </w:r>
    </w:p>
    <w:p w14:paraId="631049AB">
      <w:pPr>
        <w:spacing w:after="100" w:line="300" w:lineRule="auto"/>
        <w:ind w:firstLine="420"/>
      </w:pPr>
      <w:r>
        <w:rPr>
          <w:rFonts w:ascii="Times New Roman" w:hAnsi="Times New Roman" w:eastAsia="宋体"/>
          <w:b w:val="0"/>
          <w:sz w:val="21"/>
        </w:rPr>
        <w:t>由于现有算法输入要求为 DDC 后 11820 点，而旧数据每脉冲只有 4096 点，因此第一阶段采用 FFT 频域补零再 IFFT 的方式扩展距离向长度。具体做法是：对旧 4096 点复数序列进行 FFT，将频谱搬移到中心后进行中心对称补零到 11820 点，再反变换回时域，并进行幅度归一化。</w:t>
      </w:r>
    </w:p>
    <w:p w14:paraId="1D2287E8">
      <w:pPr>
        <w:spacing w:after="100" w:line="300" w:lineRule="auto"/>
        <w:ind w:firstLine="420"/>
      </w:pPr>
      <w:r>
        <w:rPr>
          <w:rFonts w:ascii="Times New Roman" w:hAnsi="Times New Roman" w:eastAsia="宋体"/>
          <w:b w:val="0"/>
          <w:sz w:val="21"/>
        </w:rPr>
        <w:t>该方法的优点是实现简单、数值稳定、能保持旧数据的主要频谱形态，并把输入维度扩展到算法所需的 11820 点。它适合第一阶段的数据接口验证、I/O 压力测试、脉压流程跑通、GPU 显存和实时性评估，也适合提供接近实测统计特征的背景杂波。</w:t>
      </w:r>
    </w:p>
    <w:p w14:paraId="7B0D4B50">
      <w:pPr>
        <w:spacing w:after="100" w:line="300" w:lineRule="auto"/>
        <w:ind w:firstLine="420"/>
      </w:pPr>
      <w:r>
        <w:rPr>
          <w:rFonts w:ascii="Times New Roman" w:hAnsi="Times New Roman" w:eastAsia="宋体"/>
          <w:b w:val="0"/>
          <w:sz w:val="21"/>
        </w:rPr>
        <w:t>但它也有明确局限。频域补零本质上是对已有 4096 点序列做插值或重采样，不会凭空生成真实 197 μs 采样窗口内新增距离区域的信息，也不会把旧 38 μs LFM 回波严格变换为新 130 μs LFM 回波。若算法使用新系统 130 μs 参考信号进行匹配滤波，旧背景经过 FFT resize 后仍然不是严格的新体制原始回波，因此脉压主瓣、旁瓣、距离响应和远距离采样窗口的物理意义都有限。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6"/>
      </w:tblGrid>
      <w:tr w14:paraId="0C7F5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6" w:type="dxa"/>
            <w:shd w:val="clear" w:color="auto" w:fill="FFF2CC"/>
          </w:tcPr>
          <w:p w14:paraId="3EB5176E">
            <w:pPr>
              <w:spacing w:after="0" w:line="288" w:lineRule="auto"/>
            </w:pPr>
            <w:r>
              <w:rPr>
                <w:rFonts w:ascii="Times New Roman" w:hAnsi="Times New Roman" w:eastAsia="黑体"/>
                <w:b/>
                <w:sz w:val="21"/>
              </w:rPr>
              <w:t>关键结论</w:t>
            </w:r>
            <w:r>
              <w:br w:type="textWrapping"/>
            </w:r>
            <w:r>
              <w:rPr>
                <w:rFonts w:ascii="Times New Roman" w:hAnsi="Times New Roman" w:eastAsia="宋体"/>
                <w:sz w:val="21"/>
              </w:rPr>
              <w:t>4096→11820 FFT resize 可以用于“把旧背景变成新算法可读的工程数据”，但不能用于证明“旧 38 μs 回波已经变成新 130 μs 回波”。如果要验证新 130 μs 脉冲体制下的脉压质量、距离响应和物理几何，必须采用新 LFM 正演或由散射点重新生成 DDC 回波。</w:t>
            </w:r>
          </w:p>
        </w:tc>
      </w:tr>
    </w:tbl>
    <w:p w14:paraId="46A04057"/>
    <w:p w14:paraId="3043D582">
      <w:pPr>
        <w:pStyle w:val="5"/>
      </w:pPr>
      <w:r>
        <w:t>4.5.1 什么时候不需要严格变换为新 130 μs 脉冲</w:t>
      </w:r>
    </w:p>
    <w:p w14:paraId="33DF5920">
      <w:pPr>
        <w:pStyle w:val="16"/>
        <w:numPr>
          <w:ilvl w:val="0"/>
          <w:numId w:val="9"/>
        </w:numPr>
        <w:tabs>
          <w:tab w:val="clear" w:pos="420"/>
        </w:tabs>
        <w:spacing w:after="60" w:line="288" w:lineRule="auto"/>
        <w:ind w:left="845" w:leftChars="0" w:hanging="425" w:firstLineChars="0"/>
      </w:pPr>
      <w:r>
        <w:rPr>
          <w:rFonts w:ascii="Times New Roman" w:hAnsi="Times New Roman" w:eastAsia="宋体"/>
          <w:sz w:val="21"/>
        </w:rPr>
        <w:t>只验证文件格式、数据读写、缓存组织、GPU 显存占用和单周期处理时间。</w:t>
      </w:r>
    </w:p>
    <w:p w14:paraId="4D67A1CA">
      <w:pPr>
        <w:pStyle w:val="16"/>
        <w:numPr>
          <w:ilvl w:val="0"/>
          <w:numId w:val="9"/>
        </w:numPr>
        <w:tabs>
          <w:tab w:val="clear" w:pos="420"/>
        </w:tabs>
        <w:spacing w:after="60" w:line="288" w:lineRule="auto"/>
        <w:ind w:left="845" w:leftChars="0" w:hanging="425" w:firstLineChars="0"/>
      </w:pPr>
      <w:r>
        <w:rPr>
          <w:rFonts w:ascii="Times New Roman" w:hAnsi="Times New Roman" w:eastAsia="宋体"/>
          <w:sz w:val="21"/>
        </w:rPr>
        <w:t>只希望背景具有接近旧实测数据的幅度分布、噪声水平、虚警特征和纹理感。</w:t>
      </w:r>
    </w:p>
    <w:p w14:paraId="72AD68E3">
      <w:pPr>
        <w:pStyle w:val="16"/>
        <w:numPr>
          <w:ilvl w:val="0"/>
          <w:numId w:val="9"/>
        </w:numPr>
        <w:tabs>
          <w:tab w:val="clear" w:pos="420"/>
        </w:tabs>
        <w:spacing w:after="60" w:line="288" w:lineRule="auto"/>
        <w:ind w:left="845" w:leftChars="0" w:hanging="425" w:firstLineChars="0"/>
      </w:pPr>
      <w:r>
        <w:rPr>
          <w:rFonts w:ascii="Times New Roman" w:hAnsi="Times New Roman" w:eastAsia="宋体"/>
          <w:sz w:val="21"/>
        </w:rPr>
        <w:t>主要评价合作目标的检测、定位、速度估计和航迹关联，而合作目标本身已经按新 130 μs LFM 在 DDC 域重新注入。</w:t>
      </w:r>
    </w:p>
    <w:p w14:paraId="31F5C5B8">
      <w:pPr>
        <w:pStyle w:val="16"/>
        <w:numPr>
          <w:ilvl w:val="0"/>
          <w:numId w:val="9"/>
        </w:numPr>
        <w:tabs>
          <w:tab w:val="clear" w:pos="420"/>
        </w:tabs>
        <w:spacing w:after="60" w:line="288" w:lineRule="auto"/>
        <w:ind w:left="845" w:leftChars="0" w:hanging="425" w:firstLineChars="0"/>
      </w:pPr>
      <w:r>
        <w:rPr>
          <w:rFonts w:ascii="Times New Roman" w:hAnsi="Times New Roman" w:eastAsia="宋体"/>
          <w:sz w:val="21"/>
        </w:rPr>
        <w:t>只做算法链路压力测试和初步稳定性测试，不把背景图像的脉压细节作为物理结论。</w:t>
      </w:r>
    </w:p>
    <w:p w14:paraId="076D5CAE">
      <w:pPr>
        <w:pStyle w:val="5"/>
      </w:pPr>
      <w:r>
        <w:t>4.5.2 什么时候必须生成新 130 μs 脉冲体制回波</w:t>
      </w:r>
    </w:p>
    <w:p w14:paraId="5AAB1A8C">
      <w:pPr>
        <w:pStyle w:val="16"/>
        <w:numPr>
          <w:ilvl w:val="0"/>
          <w:numId w:val="10"/>
        </w:numPr>
        <w:tabs>
          <w:tab w:val="clear" w:pos="420"/>
        </w:tabs>
        <w:spacing w:after="60" w:line="288" w:lineRule="auto"/>
        <w:ind w:left="845" w:leftChars="0" w:hanging="425" w:firstLineChars="0"/>
      </w:pPr>
      <w:r>
        <w:rPr>
          <w:rFonts w:ascii="Times New Roman" w:hAnsi="Times New Roman" w:eastAsia="宋体"/>
          <w:sz w:val="21"/>
        </w:rPr>
        <w:t>需要验证新系统匹配滤波器是否正确，包括脉压主瓣宽度、旁瓣水平、截取起点 3864 是否合理。</w:t>
      </w:r>
    </w:p>
    <w:p w14:paraId="6841B172">
      <w:pPr>
        <w:pStyle w:val="16"/>
        <w:numPr>
          <w:ilvl w:val="0"/>
          <w:numId w:val="10"/>
        </w:numPr>
        <w:tabs>
          <w:tab w:val="clear" w:pos="420"/>
        </w:tabs>
        <w:spacing w:after="60" w:line="288" w:lineRule="auto"/>
        <w:ind w:left="845" w:leftChars="0" w:hanging="425" w:firstLineChars="0"/>
      </w:pPr>
      <w:r>
        <w:rPr>
          <w:rFonts w:ascii="Times New Roman" w:hAnsi="Times New Roman" w:eastAsia="宋体"/>
          <w:sz w:val="21"/>
        </w:rPr>
        <w:t>需要验证 488 μs 采样延迟、197 μs 采样窗口和 83 km 作用距离对应的距离位置是否物理正确。</w:t>
      </w:r>
    </w:p>
    <w:p w14:paraId="4226F79B">
      <w:pPr>
        <w:pStyle w:val="16"/>
        <w:numPr>
          <w:ilvl w:val="0"/>
          <w:numId w:val="10"/>
        </w:numPr>
        <w:tabs>
          <w:tab w:val="clear" w:pos="420"/>
        </w:tabs>
        <w:spacing w:after="60" w:line="288" w:lineRule="auto"/>
        <w:ind w:left="845" w:leftChars="0" w:hanging="425" w:firstLineChars="0"/>
      </w:pPr>
      <w:r>
        <w:rPr>
          <w:rFonts w:ascii="Times New Roman" w:hAnsi="Times New Roman" w:eastAsia="宋体"/>
          <w:sz w:val="21"/>
        </w:rPr>
        <w:t>需要评价新体制下的距离徙动、斜距历程、宽角成像和波位拼接质量。</w:t>
      </w:r>
    </w:p>
    <w:p w14:paraId="2C89190C">
      <w:pPr>
        <w:pStyle w:val="16"/>
        <w:numPr>
          <w:ilvl w:val="0"/>
          <w:numId w:val="10"/>
        </w:numPr>
        <w:tabs>
          <w:tab w:val="clear" w:pos="420"/>
        </w:tabs>
        <w:spacing w:after="60" w:line="288" w:lineRule="auto"/>
        <w:ind w:left="845" w:leftChars="0" w:hanging="425" w:firstLineChars="0"/>
      </w:pPr>
      <w:r>
        <w:rPr>
          <w:rFonts w:ascii="Times New Roman" w:hAnsi="Times New Roman" w:eastAsia="宋体"/>
          <w:sz w:val="21"/>
        </w:rPr>
        <w:t>需要用仿真数据与未来真实 61 波位新系统采集数据进行定量对照。</w:t>
      </w:r>
    </w:p>
    <w:p w14:paraId="0D672495">
      <w:pPr>
        <w:pStyle w:val="16"/>
        <w:numPr>
          <w:ilvl w:val="0"/>
          <w:numId w:val="10"/>
        </w:numPr>
        <w:tabs>
          <w:tab w:val="clear" w:pos="420"/>
        </w:tabs>
        <w:spacing w:after="60" w:line="288" w:lineRule="auto"/>
        <w:ind w:left="845" w:leftChars="0" w:hanging="425" w:firstLineChars="0"/>
      </w:pPr>
      <w:r>
        <w:rPr>
          <w:rFonts w:ascii="Times New Roman" w:hAnsi="Times New Roman" w:eastAsia="宋体"/>
          <w:sz w:val="21"/>
        </w:rPr>
        <w:t>需要对背景地物本身进行严格物理解释，而不只是把背景当作实测统计纹理。</w:t>
      </w:r>
    </w:p>
    <w:p w14:paraId="268340A7">
      <w:pPr>
        <w:pStyle w:val="5"/>
      </w:pPr>
      <w:r>
        <w:t>4.5.3 后续更真实的距离向生成路线</w:t>
      </w:r>
    </w:p>
    <w:p w14:paraId="7AC91AC0">
      <w:pPr>
        <w:spacing w:after="100" w:line="300" w:lineRule="auto"/>
        <w:ind w:firstLine="420"/>
      </w:pPr>
      <w:r>
        <w:rPr>
          <w:rFonts w:ascii="Times New Roman" w:hAnsi="Times New Roman" w:eastAsia="宋体"/>
          <w:b w:val="0"/>
          <w:sz w:val="21"/>
        </w:rPr>
        <w:t>当第一阶段链路跑通后，可逐步采用更真实的距离向生成方法。第一种是“背景工程 resize + 合作目标严格新 LFM 注入”的混合方案，即背景仍作为统计杂波，合作目标按新 130 μs 脉冲生成。第二种是从旧数据中估计散射反射率或脉压后散射分布，再用新 130 μs LFM 重新调制生成 11820 点 DDC。第三种是阶段四的 DBS 图像反投影散射点正演，即从地面散射点出发，按新载频、新采样延迟、新脉宽、新 PRF 和新波位几何重新生成完整回波。</w:t>
      </w:r>
    </w:p>
    <w:p w14:paraId="6933F215">
      <w:pPr>
        <w:pStyle w:val="4"/>
      </w:pPr>
      <w:r>
        <w:t>4.6 阶段一验收效果</w:t>
      </w:r>
    </w:p>
    <w:p w14:paraId="75C10711">
      <w:pPr>
        <w:pStyle w:val="14"/>
        <w:spacing w:after="60" w:line="288" w:lineRule="auto"/>
        <w:ind w:left="780" w:leftChars="0"/>
      </w:pPr>
      <w:r>
        <w:rPr>
          <w:rFonts w:ascii="Times New Roman" w:hAnsi="Times New Roman" w:eastAsia="宋体"/>
          <w:sz w:val="21"/>
        </w:rPr>
        <w:t>能够生成完整的 61×130×11820 双通道 DDC 数据文件，文件大小和维度正确。</w:t>
      </w:r>
    </w:p>
    <w:p w14:paraId="0E9A5E37">
      <w:pPr>
        <w:pStyle w:val="14"/>
        <w:spacing w:after="60" w:line="288" w:lineRule="auto"/>
        <w:ind w:left="780" w:leftChars="0"/>
      </w:pPr>
      <w:r>
        <w:rPr>
          <w:rFonts w:ascii="Times New Roman" w:hAnsi="Times New Roman" w:eastAsia="宋体"/>
          <w:sz w:val="21"/>
        </w:rPr>
        <w:t>新配置文件、波位角表、镜像映射表、重采样模式和距离向扩展方式完整保存。</w:t>
      </w:r>
    </w:p>
    <w:p w14:paraId="4B1493A7">
      <w:pPr>
        <w:pStyle w:val="14"/>
        <w:spacing w:after="60" w:line="288" w:lineRule="auto"/>
        <w:ind w:left="780" w:leftChars="0"/>
      </w:pPr>
      <w:r>
        <w:rPr>
          <w:rFonts w:ascii="Times New Roman" w:hAnsi="Times New Roman" w:eastAsia="宋体"/>
          <w:sz w:val="21"/>
        </w:rPr>
        <w:t>算法能够读取该数据并在内部完成脉压，不发生格式错误、越界或崩溃。</w:t>
      </w:r>
    </w:p>
    <w:p w14:paraId="70B00937">
      <w:pPr>
        <w:pStyle w:val="14"/>
        <w:spacing w:after="60" w:line="288" w:lineRule="auto"/>
        <w:ind w:left="780" w:leftChars="0"/>
      </w:pPr>
      <w:r>
        <w:rPr>
          <w:rFonts w:ascii="Times New Roman" w:hAnsi="Times New Roman" w:eastAsia="宋体"/>
          <w:sz w:val="21"/>
        </w:rPr>
        <w:t>无合作目标数据下，输出结果主要体现旧背景、噪声、虚警和旧数据中已有目标的统计特征。</w:t>
      </w:r>
    </w:p>
    <w:p w14:paraId="423822D0">
      <w:pPr>
        <w:pStyle w:val="14"/>
        <w:spacing w:after="60" w:line="288" w:lineRule="auto"/>
        <w:ind w:left="780" w:leftChars="0"/>
      </w:pPr>
      <w:r>
        <w:rPr>
          <w:rFonts w:ascii="Times New Roman" w:hAnsi="Times New Roman" w:eastAsia="宋体"/>
          <w:sz w:val="21"/>
        </w:rPr>
        <w:t>处理时间能够被稳定统计，为后续实时性评估提供基准。</w:t>
      </w:r>
    </w:p>
    <w:p w14:paraId="4D7786C2">
      <w:pPr>
        <w:pStyle w:val="14"/>
        <w:spacing w:after="60" w:line="288" w:lineRule="auto"/>
        <w:ind w:left="780" w:leftChars="0"/>
      </w:pPr>
      <w:r>
        <w:rPr>
          <w:rFonts w:ascii="Times New Roman" w:hAnsi="Times New Roman" w:eastAsia="宋体"/>
          <w:sz w:val="21"/>
        </w:rPr>
        <w:t>明确记录阶段一数据的适用范围：可用于工程链路、实时性和合作目标验证，不作为严格宽角成像几何结论。</w:t>
      </w:r>
    </w:p>
    <w:p w14:paraId="61EAE1BF">
      <w:r>
        <w:br w:type="page"/>
      </w:r>
    </w:p>
    <w:p w14:paraId="265231F2">
      <w:pPr>
        <w:pStyle w:val="3"/>
      </w:pPr>
      <w:r>
        <w:t>五、阶段二：合作运动目标注入</w:t>
      </w:r>
    </w:p>
    <w:p w14:paraId="733C2E11">
      <w:pPr>
        <w:spacing w:after="100" w:line="300" w:lineRule="auto"/>
        <w:ind w:firstLine="420"/>
      </w:pPr>
      <w:r>
        <w:rPr>
          <w:rFonts w:ascii="Times New Roman" w:hAnsi="Times New Roman" w:eastAsia="宋体"/>
          <w:b w:val="0"/>
          <w:sz w:val="21"/>
        </w:rPr>
        <w:t>阶段二在阶段一背景数据的基础上添加合作运动目标。由于现有算法在 DDC 后 11820 点上完成脉压，因此合作目标应添加在 DDC 原始快时间域，而不是添加在脉压后的 4096 点图像或距离像上。这样可以验证脉压、GMTI 通道处理、目标检测和航迹处理的完整链路。</w:t>
      </w:r>
    </w:p>
    <w:p w14:paraId="1487FF38">
      <w:pPr>
        <w:pStyle w:val="4"/>
      </w:pPr>
      <w:r>
        <w:t>5.1 目标运动模型</w:t>
      </w:r>
    </w:p>
    <w:p w14:paraId="509F1049">
      <w:pPr>
        <w:spacing w:after="100" w:line="300" w:lineRule="auto"/>
        <w:ind w:firstLine="420"/>
      </w:pPr>
      <w:r>
        <w:rPr>
          <w:rFonts w:ascii="Times New Roman" w:hAnsi="Times New Roman" w:eastAsia="宋体"/>
          <w:b w:val="0"/>
          <w:sz w:val="21"/>
        </w:rPr>
        <w:t>第一步只添加一个强合作目标，采用匀速直线运动模型，目标参数包括编号、初始位置、速度、幅度、出现周期和消失周期。单目标跑通后，再逐步添加弱目标、相邻目标、交叉目标和间歇出现目标。运动模型从匀速直线开始，后续再扩展到分段匀速、加速度和转弯模型。</w:t>
      </w:r>
    </w:p>
    <w:p w14:paraId="5D609E9C">
      <w:pPr>
        <w:pStyle w:val="4"/>
      </w:pPr>
      <w:r>
        <w:t>5.2 DDC 域回波注入</w:t>
      </w:r>
    </w:p>
    <w:p w14:paraId="491E6F09">
      <w:pPr>
        <w:spacing w:after="100" w:line="300" w:lineRule="auto"/>
        <w:ind w:firstLine="420"/>
      </w:pPr>
      <w:r>
        <w:rPr>
          <w:rFonts w:ascii="Times New Roman" w:hAnsi="Times New Roman" w:eastAsia="宋体"/>
          <w:b w:val="0"/>
          <w:sz w:val="21"/>
        </w:rPr>
        <w:t>对每个周期、波位和脉冲，根据平台位置和目标位置计算斜距 R(t)，再由 tau=2R(t)/c - sample_delay 计算目标在 DDC 采样窗口中的延迟位置 n0=tau×fs。若 n0 位于 0~11820 范围内，则在对应快时间附近加入新系统 130 μs LFM 基带回波，并叠加慢时间相位 exp(-j4πR/λ)。目标回波幅度初期用直接幅度控制，后续可改为基于局部背景均方根的 SNR 控制。</w:t>
      </w:r>
    </w:p>
    <w:p w14:paraId="794FA171">
      <w:pPr>
        <w:pStyle w:val="4"/>
      </w:pPr>
      <w:r>
        <w:t>5.3 波束可见性与双通道相位</w:t>
      </w:r>
    </w:p>
    <w:p w14:paraId="5A402219">
      <w:pPr>
        <w:spacing w:after="100" w:line="300" w:lineRule="auto"/>
        <w:ind w:firstLine="420"/>
      </w:pPr>
      <w:r>
        <w:rPr>
          <w:rFonts w:ascii="Times New Roman" w:hAnsi="Times New Roman" w:eastAsia="宋体"/>
          <w:b w:val="0"/>
          <w:sz w:val="21"/>
        </w:rPr>
        <w:t>目标是否在当前波位可见，需要由目标相对雷达的方位角与当前新系统波位角 θ_new 决定。第一版可采用硬门限，即方位角误差小于半波束宽度时可见；后续改为高斯波束方向图，使目标在相邻波位之间平滑出现和消失。双通道相位差初期可沿用配置中的通道间距，采用近似相位差公式，后续再扩展为基线向量与视线方向单位向量的点积模型。</w:t>
      </w:r>
    </w:p>
    <w:p w14:paraId="11B27711">
      <w:pPr>
        <w:pStyle w:val="4"/>
      </w:pPr>
      <w:r>
        <w:t>5.4 真值输出</w:t>
      </w:r>
    </w:p>
    <w:p w14:paraId="1B81FF16">
      <w:pPr>
        <w:spacing w:after="100" w:line="300" w:lineRule="auto"/>
        <w:ind w:firstLine="420"/>
      </w:pPr>
      <w:r>
        <w:rPr>
          <w:rFonts w:ascii="Times New Roman" w:hAnsi="Times New Roman" w:eastAsia="宋体"/>
          <w:b w:val="0"/>
          <w:sz w:val="21"/>
        </w:rPr>
        <w:t>合作目标必须同步输出 truth.csv，用于算法结果评价。真值字段包括周期、波位、脉冲、时间、目标编号、真实位置、斜距、方位角、DDC 距离采样点、径向速度、目标幅度、波束增益和可见性。后续检测结果、航迹结果和真值文件进行匹配，计算检测率、定位误差、速度误差和 ID 稳定性。</w:t>
      </w:r>
    </w:p>
    <w:p w14:paraId="0D04B332">
      <w:r>
        <w:br w:type="page"/>
      </w:r>
    </w:p>
    <w:p w14:paraId="104277CB">
      <w:pPr>
        <w:pStyle w:val="3"/>
      </w:pPr>
      <w:r>
        <w:t>六、阶段三：算法验证与评价指标</w:t>
      </w:r>
    </w:p>
    <w:p w14:paraId="48E734ED">
      <w:pPr>
        <w:spacing w:after="100" w:line="300" w:lineRule="auto"/>
        <w:ind w:firstLine="420"/>
      </w:pPr>
      <w:r>
        <w:rPr>
          <w:rFonts w:ascii="Times New Roman" w:hAnsi="Times New Roman" w:eastAsia="宋体"/>
          <w:b w:val="0"/>
          <w:sz w:val="21"/>
        </w:rPr>
        <w:t>阶段三主要验证算法有效性和实时性。验证对象包括 DDC 数据读取、距离脉压、GMTI 检测、双通道处理、目标定位、速度估计、航迹起始、航迹维持、漏检后的重关联和跨周期编号稳定性。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402"/>
        <w:gridCol w:w="3402"/>
      </w:tblGrid>
      <w:tr w14:paraId="399BB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3A122193">
            <w:pPr>
              <w:spacing w:after="0" w:line="276" w:lineRule="auto"/>
            </w:pPr>
            <w:r>
              <w:rPr>
                <w:rFonts w:ascii="Times New Roman" w:hAnsi="Times New Roman" w:eastAsia="宋体"/>
                <w:b/>
                <w:sz w:val="20"/>
              </w:rPr>
              <w:t>评价方向</w:t>
            </w:r>
          </w:p>
        </w:tc>
        <w:tc>
          <w:tcPr>
            <w:tcW w:w="3402" w:type="dxa"/>
            <w:shd w:val="clear" w:color="auto" w:fill="D9EAF7"/>
            <w:vAlign w:val="center"/>
          </w:tcPr>
          <w:p w14:paraId="3E935E12">
            <w:pPr>
              <w:spacing w:after="0" w:line="276" w:lineRule="auto"/>
            </w:pPr>
            <w:r>
              <w:rPr>
                <w:rFonts w:ascii="Times New Roman" w:hAnsi="Times New Roman" w:eastAsia="宋体"/>
                <w:b/>
                <w:sz w:val="20"/>
              </w:rPr>
              <w:t>指标</w:t>
            </w:r>
          </w:p>
        </w:tc>
        <w:tc>
          <w:tcPr>
            <w:tcW w:w="3402" w:type="dxa"/>
            <w:shd w:val="clear" w:color="auto" w:fill="D9EAF7"/>
            <w:vAlign w:val="center"/>
          </w:tcPr>
          <w:p w14:paraId="7AEE2442">
            <w:pPr>
              <w:spacing w:after="0" w:line="276" w:lineRule="auto"/>
            </w:pPr>
            <w:r>
              <w:rPr>
                <w:rFonts w:ascii="Times New Roman" w:hAnsi="Times New Roman" w:eastAsia="宋体"/>
                <w:b/>
                <w:sz w:val="20"/>
              </w:rPr>
              <w:t>用途</w:t>
            </w:r>
          </w:p>
        </w:tc>
      </w:tr>
      <w:tr w14:paraId="0AA43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5D7DC50">
            <w:pPr>
              <w:spacing w:after="0" w:line="276" w:lineRule="auto"/>
            </w:pPr>
            <w:r>
              <w:rPr>
                <w:rFonts w:ascii="Times New Roman" w:hAnsi="Times New Roman" w:eastAsia="宋体"/>
                <w:b w:val="0"/>
                <w:sz w:val="20"/>
              </w:rPr>
              <w:t>检测能力</w:t>
            </w:r>
          </w:p>
        </w:tc>
        <w:tc>
          <w:tcPr>
            <w:tcW w:w="3402" w:type="dxa"/>
            <w:vAlign w:val="center"/>
          </w:tcPr>
          <w:p w14:paraId="711DBB85">
            <w:pPr>
              <w:spacing w:after="0" w:line="276" w:lineRule="auto"/>
            </w:pPr>
            <w:r>
              <w:rPr>
                <w:rFonts w:ascii="Times New Roman" w:hAnsi="Times New Roman" w:eastAsia="宋体"/>
                <w:b w:val="0"/>
                <w:sz w:val="20"/>
              </w:rPr>
              <w:t>检测率 Pd、漏检率、虚警数、虚警率</w:t>
            </w:r>
          </w:p>
        </w:tc>
        <w:tc>
          <w:tcPr>
            <w:tcW w:w="3402" w:type="dxa"/>
            <w:vAlign w:val="center"/>
          </w:tcPr>
          <w:p w14:paraId="3354AF66">
            <w:pPr>
              <w:spacing w:after="0" w:line="276" w:lineRule="auto"/>
            </w:pPr>
            <w:r>
              <w:rPr>
                <w:rFonts w:ascii="Times New Roman" w:hAnsi="Times New Roman" w:eastAsia="宋体"/>
                <w:b w:val="0"/>
                <w:sz w:val="20"/>
              </w:rPr>
              <w:t>验证合作目标是否能被稳定检出</w:t>
            </w:r>
          </w:p>
        </w:tc>
      </w:tr>
      <w:tr w14:paraId="7B733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9A1971A">
            <w:pPr>
              <w:spacing w:after="0" w:line="276" w:lineRule="auto"/>
            </w:pPr>
            <w:r>
              <w:rPr>
                <w:rFonts w:ascii="Times New Roman" w:hAnsi="Times New Roman" w:eastAsia="宋体"/>
                <w:b w:val="0"/>
                <w:sz w:val="20"/>
              </w:rPr>
              <w:t>定位能力</w:t>
            </w:r>
          </w:p>
        </w:tc>
        <w:tc>
          <w:tcPr>
            <w:tcW w:w="3402" w:type="dxa"/>
            <w:vAlign w:val="center"/>
          </w:tcPr>
          <w:p w14:paraId="2E512337">
            <w:pPr>
              <w:spacing w:after="0" w:line="276" w:lineRule="auto"/>
            </w:pPr>
            <w:r>
              <w:rPr>
                <w:rFonts w:ascii="Times New Roman" w:hAnsi="Times New Roman" w:eastAsia="宋体"/>
                <w:b w:val="0"/>
                <w:sz w:val="20"/>
              </w:rPr>
              <w:t>距离误差、方位误差、像素/地理位置误差</w:t>
            </w:r>
          </w:p>
        </w:tc>
        <w:tc>
          <w:tcPr>
            <w:tcW w:w="3402" w:type="dxa"/>
            <w:vAlign w:val="center"/>
          </w:tcPr>
          <w:p w14:paraId="39FFAFDA">
            <w:pPr>
              <w:spacing w:after="0" w:line="276" w:lineRule="auto"/>
            </w:pPr>
            <w:r>
              <w:rPr>
                <w:rFonts w:ascii="Times New Roman" w:hAnsi="Times New Roman" w:eastAsia="宋体"/>
                <w:b w:val="0"/>
                <w:sz w:val="20"/>
              </w:rPr>
              <w:t>验证目标定位是否与 truth.csv 一致</w:t>
            </w:r>
          </w:p>
        </w:tc>
      </w:tr>
      <w:tr w14:paraId="1FBB5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vAlign w:val="center"/>
          </w:tcPr>
          <w:p w14:paraId="3F65F1D0">
            <w:pPr>
              <w:spacing w:after="0" w:line="276" w:lineRule="auto"/>
            </w:pPr>
            <w:r>
              <w:rPr>
                <w:rFonts w:ascii="Times New Roman" w:hAnsi="Times New Roman" w:eastAsia="宋体"/>
                <w:b w:val="0"/>
                <w:sz w:val="20"/>
              </w:rPr>
              <w:t>速度估计</w:t>
            </w:r>
          </w:p>
        </w:tc>
        <w:tc>
          <w:tcPr>
            <w:tcW w:w="3402" w:type="dxa"/>
            <w:vAlign w:val="center"/>
          </w:tcPr>
          <w:p w14:paraId="3EB4C45F">
            <w:pPr>
              <w:spacing w:after="0" w:line="276" w:lineRule="auto"/>
            </w:pPr>
            <w:r>
              <w:rPr>
                <w:rFonts w:ascii="Times New Roman" w:hAnsi="Times New Roman" w:eastAsia="宋体"/>
                <w:b w:val="0"/>
                <w:sz w:val="20"/>
              </w:rPr>
              <w:t>径向速度误差、速度符号正确率</w:t>
            </w:r>
          </w:p>
        </w:tc>
        <w:tc>
          <w:tcPr>
            <w:tcW w:w="3402" w:type="dxa"/>
            <w:vAlign w:val="center"/>
          </w:tcPr>
          <w:p w14:paraId="60912FC5">
            <w:pPr>
              <w:spacing w:after="0" w:line="276" w:lineRule="auto"/>
            </w:pPr>
            <w:r>
              <w:rPr>
                <w:rFonts w:ascii="Times New Roman" w:hAnsi="Times New Roman" w:eastAsia="宋体"/>
                <w:b w:val="0"/>
                <w:sz w:val="20"/>
              </w:rPr>
              <w:t>验证 GMTI 速度估计链路</w:t>
            </w:r>
          </w:p>
        </w:tc>
      </w:tr>
      <w:tr w14:paraId="5441F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CE9AF88">
            <w:pPr>
              <w:spacing w:after="0" w:line="276" w:lineRule="auto"/>
            </w:pPr>
            <w:r>
              <w:rPr>
                <w:rFonts w:ascii="Times New Roman" w:hAnsi="Times New Roman" w:eastAsia="宋体"/>
                <w:b w:val="0"/>
                <w:sz w:val="20"/>
              </w:rPr>
              <w:t>航迹关联</w:t>
            </w:r>
          </w:p>
        </w:tc>
        <w:tc>
          <w:tcPr>
            <w:tcW w:w="3402" w:type="dxa"/>
            <w:vAlign w:val="center"/>
          </w:tcPr>
          <w:p w14:paraId="65F43EF0">
            <w:pPr>
              <w:spacing w:after="0" w:line="276" w:lineRule="auto"/>
            </w:pPr>
            <w:r>
              <w:rPr>
                <w:rFonts w:ascii="Times New Roman" w:hAnsi="Times New Roman" w:eastAsia="宋体"/>
                <w:b w:val="0"/>
                <w:sz w:val="20"/>
              </w:rPr>
              <w:t>航迹连续性、中断次数、误关联次数、ID 切换次数</w:t>
            </w:r>
          </w:p>
        </w:tc>
        <w:tc>
          <w:tcPr>
            <w:tcW w:w="3402" w:type="dxa"/>
            <w:vAlign w:val="center"/>
          </w:tcPr>
          <w:p w14:paraId="1BBE7DEE">
            <w:pPr>
              <w:spacing w:after="0" w:line="276" w:lineRule="auto"/>
            </w:pPr>
            <w:r>
              <w:rPr>
                <w:rFonts w:ascii="Times New Roman" w:hAnsi="Times New Roman" w:eastAsia="宋体"/>
                <w:b w:val="0"/>
                <w:sz w:val="20"/>
              </w:rPr>
              <w:t>验证关联和跟踪稳定性</w:t>
            </w:r>
          </w:p>
        </w:tc>
      </w:tr>
      <w:tr w14:paraId="0E70A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270A6E3">
            <w:pPr>
              <w:spacing w:after="0" w:line="276" w:lineRule="auto"/>
            </w:pPr>
            <w:r>
              <w:rPr>
                <w:rFonts w:ascii="Times New Roman" w:hAnsi="Times New Roman" w:eastAsia="宋体"/>
                <w:b w:val="0"/>
                <w:sz w:val="20"/>
              </w:rPr>
              <w:t>跨周期稳定性</w:t>
            </w:r>
          </w:p>
        </w:tc>
        <w:tc>
          <w:tcPr>
            <w:tcW w:w="3402" w:type="dxa"/>
            <w:vAlign w:val="center"/>
          </w:tcPr>
          <w:p w14:paraId="41C36AF7">
            <w:pPr>
              <w:spacing w:after="0" w:line="276" w:lineRule="auto"/>
            </w:pPr>
            <w:r>
              <w:rPr>
                <w:rFonts w:ascii="Times New Roman" w:hAnsi="Times New Roman" w:eastAsia="宋体"/>
                <w:b w:val="0"/>
                <w:sz w:val="20"/>
              </w:rPr>
              <w:t>同一目标跨周期编号保持率</w:t>
            </w:r>
          </w:p>
        </w:tc>
        <w:tc>
          <w:tcPr>
            <w:tcW w:w="3402" w:type="dxa"/>
            <w:vAlign w:val="center"/>
          </w:tcPr>
          <w:p w14:paraId="08C60798">
            <w:pPr>
              <w:spacing w:after="0" w:line="276" w:lineRule="auto"/>
            </w:pPr>
            <w:r>
              <w:rPr>
                <w:rFonts w:ascii="Times New Roman" w:hAnsi="Times New Roman" w:eastAsia="宋体"/>
                <w:b w:val="0"/>
                <w:sz w:val="20"/>
              </w:rPr>
              <w:t>验证多周期持续跟踪能力</w:t>
            </w:r>
          </w:p>
        </w:tc>
      </w:tr>
      <w:tr w14:paraId="00E20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E6BB594">
            <w:pPr>
              <w:spacing w:after="0" w:line="276" w:lineRule="auto"/>
            </w:pPr>
            <w:r>
              <w:rPr>
                <w:rFonts w:ascii="Times New Roman" w:hAnsi="Times New Roman" w:eastAsia="宋体"/>
                <w:b w:val="0"/>
                <w:sz w:val="20"/>
              </w:rPr>
              <w:t>实时性</w:t>
            </w:r>
          </w:p>
        </w:tc>
        <w:tc>
          <w:tcPr>
            <w:tcW w:w="3402" w:type="dxa"/>
            <w:vAlign w:val="center"/>
          </w:tcPr>
          <w:p w14:paraId="1D9C7FA3">
            <w:pPr>
              <w:spacing w:after="0" w:line="276" w:lineRule="auto"/>
            </w:pPr>
            <w:r>
              <w:rPr>
                <w:rFonts w:ascii="Times New Roman" w:hAnsi="Times New Roman" w:eastAsia="宋体"/>
                <w:b w:val="0"/>
                <w:sz w:val="20"/>
              </w:rPr>
              <w:t>单周期处理时间、处理/采集时间比例、GPU/CPU 占用</w:t>
            </w:r>
          </w:p>
        </w:tc>
        <w:tc>
          <w:tcPr>
            <w:tcW w:w="3402" w:type="dxa"/>
            <w:vAlign w:val="center"/>
          </w:tcPr>
          <w:p w14:paraId="3C7247B4">
            <w:pPr>
              <w:spacing w:after="0" w:line="276" w:lineRule="auto"/>
            </w:pPr>
            <w:r>
              <w:rPr>
                <w:rFonts w:ascii="Times New Roman" w:hAnsi="Times New Roman" w:eastAsia="宋体"/>
                <w:b w:val="0"/>
                <w:sz w:val="20"/>
              </w:rPr>
              <w:t>验证是否满足 4.8 s 或 4.88 s 门限</w:t>
            </w:r>
          </w:p>
        </w:tc>
      </w:tr>
    </w:tbl>
    <w:p w14:paraId="45203B31"/>
    <w:p w14:paraId="3E4B9360">
      <w:r>
        <w:br w:type="page"/>
      </w:r>
    </w:p>
    <w:p w14:paraId="4FBBD3FA">
      <w:pPr>
        <w:pStyle w:val="3"/>
      </w:pPr>
      <w:r>
        <w:t>七、阶段四：DBS 图像反投影散射点正演</w:t>
      </w:r>
    </w:p>
    <w:p w14:paraId="4AF35F6B">
      <w:pPr>
        <w:spacing w:after="100" w:line="300" w:lineRule="auto"/>
        <w:ind w:firstLine="420"/>
      </w:pPr>
      <w:r>
        <w:rPr>
          <w:rFonts w:ascii="Times New Roman" w:hAnsi="Times New Roman" w:eastAsia="宋体"/>
          <w:b w:val="0"/>
          <w:sz w:val="21"/>
        </w:rPr>
        <w:t>阶段四是后续更高精度版本，目标是解决第一阶段镜像复制背景在几何上不严格的问题。其基本思想是：先利用已有 DBS 图像和角点映射关系，将图像像素转换为地面散射点；再按照新系统 -60°~60° 或指定角度网格的真实波位几何、平台轨迹、采样延迟和 LFM 体制，重新正演生成双通道 DDC 数据。</w:t>
      </w:r>
    </w:p>
    <w:p w14:paraId="703A1FC9">
      <w:pPr>
        <w:pStyle w:val="4"/>
      </w:pPr>
      <w:r>
        <w:t>7.1 散射点生成</w:t>
      </w:r>
    </w:p>
    <w:p w14:paraId="5CE55176">
      <w:pPr>
        <w:spacing w:after="100" w:line="300" w:lineRule="auto"/>
        <w:ind w:firstLine="420"/>
      </w:pPr>
      <w:r>
        <w:rPr>
          <w:rFonts w:ascii="Times New Roman" w:hAnsi="Times New Roman" w:eastAsia="宋体"/>
          <w:b w:val="0"/>
          <w:sz w:val="21"/>
        </w:rPr>
        <w:t>首先读取已有 DBS 图像，并根据图像角点或地理配准关系，将图像像素映射到地面坐标。图像强度可作为散射点幅度，初始相位可设置为随机相位或由局部纹理统计生成。为控制计算量，需要进行散射点筛选，例如按强度阈值保留强散射点、按网格块抽样代表点、对弱纹理区采用统计杂波模型等。</w:t>
      </w:r>
    </w:p>
    <w:p w14:paraId="4F1D2BC6">
      <w:pPr>
        <w:pStyle w:val="4"/>
      </w:pPr>
      <w:r>
        <w:t>7.2 新几何正演</w:t>
      </w:r>
    </w:p>
    <w:p w14:paraId="4761FA53">
      <w:pPr>
        <w:spacing w:after="100" w:line="300" w:lineRule="auto"/>
        <w:ind w:firstLine="420"/>
      </w:pPr>
      <w:r>
        <w:rPr>
          <w:rFonts w:ascii="Times New Roman" w:hAnsi="Times New Roman" w:eastAsia="宋体"/>
          <w:b w:val="0"/>
          <w:sz w:val="21"/>
        </w:rPr>
        <w:t>对每个散射点、每个新波位、每个脉冲，计算雷达到散射点的斜距、延迟、相位和天线方向图增益，然后在 11820 点 DDC 快时间域叠加新 130 μs LFM 回波。这样得到的数据在波位角、斜距历程、距离徙动、脉压体制和通道相位上更一致，更适合评估宽角 DBS 成像、波位拼接和边缘畸变问题。</w:t>
      </w:r>
    </w:p>
    <w:p w14:paraId="62AD2F56">
      <w:pPr>
        <w:pStyle w:val="4"/>
      </w:pPr>
      <w:r>
        <w:t>7.3 与第一阶段结果的关系</w:t>
      </w:r>
    </w:p>
    <w:p w14:paraId="665E355E">
      <w:pPr>
        <w:spacing w:after="100" w:line="300" w:lineRule="auto"/>
        <w:ind w:firstLine="420"/>
      </w:pPr>
      <w:r>
        <w:rPr>
          <w:rFonts w:ascii="Times New Roman" w:hAnsi="Times New Roman" w:eastAsia="宋体"/>
          <w:b w:val="0"/>
          <w:sz w:val="21"/>
        </w:rPr>
        <w:t>阶段四不是替代阶段一，而是在阶段一跑通工程链路后进一步提高物理一致性。阶段一用于快速验证算法读取、检测、航迹和实时性；阶段四用于验证成像几何和宽角拼接质量。两类数据应同时保留，分别作为“工程验证集”和“几何验证集”。</w:t>
      </w:r>
    </w:p>
    <w:p w14:paraId="38135FAF">
      <w:r>
        <w:br w:type="page"/>
      </w:r>
    </w:p>
    <w:p w14:paraId="6FBC0A0F">
      <w:pPr>
        <w:pStyle w:val="3"/>
      </w:pPr>
      <w:r>
        <w:t>八、总体工作计划与周安排</w:t>
      </w:r>
    </w:p>
    <w:p w14:paraId="48A6A186">
      <w:pPr>
        <w:spacing w:after="100" w:line="300" w:lineRule="auto"/>
        <w:ind w:firstLine="420"/>
      </w:pPr>
      <w:r>
        <w:rPr>
          <w:rFonts w:ascii="Times New Roman" w:hAnsi="Times New Roman" w:eastAsia="宋体"/>
          <w:b w:val="0"/>
          <w:sz w:val="21"/>
        </w:rPr>
        <w:t>计划周期为 5 周。第 1 周完成第一阶段工程仿真数据生成；第 2 周完成单合作目标的注入；第 3 周完成多目标与复杂场景下的算法验证指标和评估报告；第 4 周开展 DBS 图像反投影散射点正演；第 5 周进行进一步测试、总结、文档整理。若实际开发进度较快，可将第 5 周内容前移；若数据格式或算法接口问题较多，则优先保证前 4 周目标完成。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3"/>
        <w:gridCol w:w="2209"/>
        <w:gridCol w:w="3671"/>
        <w:gridCol w:w="2959"/>
      </w:tblGrid>
      <w:tr w14:paraId="124CD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97" w:type="dxa"/>
            <w:shd w:val="clear" w:color="auto" w:fill="1F4E79"/>
            <w:vAlign w:val="center"/>
          </w:tcPr>
          <w:p w14:paraId="6230F20B">
            <w:pPr>
              <w:spacing w:after="0" w:line="264" w:lineRule="auto"/>
              <w:jc w:val="center"/>
            </w:pPr>
            <w:r>
              <w:rPr>
                <w:rFonts w:ascii="Times New Roman" w:hAnsi="Times New Roman" w:eastAsia="Noto Serif CJK SC"/>
                <w:b/>
                <w:color w:val="FFFFFF"/>
                <w:sz w:val="16"/>
              </w:rPr>
              <w:t>周次</w:t>
            </w:r>
          </w:p>
        </w:tc>
        <w:tc>
          <w:tcPr>
            <w:tcW w:w="2263" w:type="dxa"/>
            <w:shd w:val="clear" w:color="auto" w:fill="1F4E79"/>
            <w:vAlign w:val="center"/>
          </w:tcPr>
          <w:p w14:paraId="6D680CB0">
            <w:pPr>
              <w:spacing w:after="0" w:line="264" w:lineRule="auto"/>
              <w:jc w:val="center"/>
            </w:pPr>
            <w:r>
              <w:rPr>
                <w:rFonts w:ascii="Times New Roman" w:hAnsi="Times New Roman" w:eastAsia="Noto Serif CJK SC"/>
                <w:b/>
                <w:color w:val="FFFFFF"/>
                <w:sz w:val="16"/>
              </w:rPr>
              <w:t>工作主题</w:t>
            </w:r>
          </w:p>
        </w:tc>
        <w:tc>
          <w:tcPr>
            <w:tcW w:w="3750" w:type="dxa"/>
            <w:shd w:val="clear" w:color="auto" w:fill="1F4E79"/>
            <w:vAlign w:val="center"/>
          </w:tcPr>
          <w:p w14:paraId="0ED89B32">
            <w:pPr>
              <w:spacing w:after="0" w:line="264" w:lineRule="auto"/>
              <w:jc w:val="center"/>
            </w:pPr>
            <w:r>
              <w:rPr>
                <w:rFonts w:ascii="Times New Roman" w:hAnsi="Times New Roman" w:eastAsia="Noto Serif CJK SC"/>
                <w:b/>
                <w:color w:val="FFFFFF"/>
                <w:sz w:val="16"/>
              </w:rPr>
              <w:t>具体做法</w:t>
            </w:r>
          </w:p>
        </w:tc>
        <w:tc>
          <w:tcPr>
            <w:tcW w:w="2972" w:type="dxa"/>
            <w:shd w:val="clear" w:color="auto" w:fill="1F4E79"/>
            <w:vAlign w:val="center"/>
          </w:tcPr>
          <w:p w14:paraId="005B433D">
            <w:pPr>
              <w:spacing w:after="0" w:line="264" w:lineRule="auto"/>
              <w:jc w:val="center"/>
            </w:pPr>
            <w:r>
              <w:rPr>
                <w:rFonts w:ascii="Times New Roman" w:hAnsi="Times New Roman" w:eastAsia="Noto Serif CJK SC"/>
                <w:b/>
                <w:color w:val="FFFFFF"/>
                <w:sz w:val="16"/>
              </w:rPr>
              <w:t>预期成果</w:t>
            </w:r>
          </w:p>
        </w:tc>
      </w:tr>
      <w:tr w14:paraId="76F19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7" w:type="dxa"/>
            <w:vMerge w:val="restart"/>
            <w:vAlign w:val="center"/>
          </w:tcPr>
          <w:p w14:paraId="1EC780B6">
            <w:pPr>
              <w:spacing w:after="0" w:line="264" w:lineRule="auto"/>
              <w:jc w:val="left"/>
            </w:pPr>
            <w:r>
              <w:rPr>
                <w:rFonts w:ascii="Times New Roman" w:hAnsi="Times New Roman" w:eastAsia="Noto Serif CJK SC"/>
                <w:b w:val="0"/>
                <w:sz w:val="16"/>
              </w:rPr>
              <w:t>第 1 周</w:t>
            </w:r>
          </w:p>
        </w:tc>
        <w:tc>
          <w:tcPr>
            <w:tcW w:w="2263" w:type="dxa"/>
            <w:vAlign w:val="center"/>
          </w:tcPr>
          <w:p w14:paraId="38277E1B">
            <w:pPr>
              <w:spacing w:after="0" w:line="264" w:lineRule="auto"/>
              <w:jc w:val="left"/>
            </w:pPr>
            <w:r>
              <w:rPr>
                <w:rFonts w:ascii="Times New Roman" w:hAnsi="Times New Roman" w:eastAsia="Noto Serif CJK SC"/>
                <w:b w:val="0"/>
                <w:sz w:val="16"/>
              </w:rPr>
              <w:t>参数梳理与数据审查</w:t>
            </w:r>
          </w:p>
        </w:tc>
        <w:tc>
          <w:tcPr>
            <w:tcW w:w="3750" w:type="dxa"/>
            <w:vAlign w:val="center"/>
          </w:tcPr>
          <w:p w14:paraId="7F9C7AF8">
            <w:pPr>
              <w:spacing w:after="0" w:line="264" w:lineRule="auto"/>
              <w:jc w:val="left"/>
            </w:pPr>
            <w:r>
              <w:rPr>
                <w:rFonts w:ascii="Times New Roman" w:hAnsi="Times New Roman" w:eastAsia="Noto Serif CJK SC"/>
                <w:b w:val="0"/>
                <w:sz w:val="16"/>
              </w:rPr>
              <w:t>核对新旧系统参数、旧数据周期/波位/通道组织方式，明确 61 波位与 6.1 s 周期约束。</w:t>
            </w:r>
          </w:p>
        </w:tc>
        <w:tc>
          <w:tcPr>
            <w:tcW w:w="2972" w:type="dxa"/>
            <w:vAlign w:val="center"/>
          </w:tcPr>
          <w:p w14:paraId="1FB8B872">
            <w:pPr>
              <w:spacing w:after="0" w:line="264" w:lineRule="auto"/>
              <w:jc w:val="left"/>
            </w:pPr>
            <w:r>
              <w:rPr>
                <w:rFonts w:ascii="Times New Roman" w:hAnsi="Times New Roman" w:eastAsia="Noto Serif CJK SC"/>
                <w:b w:val="0"/>
                <w:sz w:val="16"/>
              </w:rPr>
              <w:t>形成参数对比表、数据格式说明和初始实验记录。</w:t>
            </w:r>
          </w:p>
        </w:tc>
      </w:tr>
      <w:tr w14:paraId="51DC0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7" w:type="dxa"/>
            <w:vMerge w:val="continue"/>
            <w:vAlign w:val="center"/>
          </w:tcPr>
          <w:p w14:paraId="6B27F000">
            <w:pPr>
              <w:spacing w:after="0" w:line="264" w:lineRule="auto"/>
              <w:jc w:val="left"/>
            </w:pPr>
          </w:p>
        </w:tc>
        <w:tc>
          <w:tcPr>
            <w:tcW w:w="2263" w:type="dxa"/>
            <w:vAlign w:val="center"/>
          </w:tcPr>
          <w:p w14:paraId="14EE7AD6">
            <w:pPr>
              <w:spacing w:after="0" w:line="264" w:lineRule="auto"/>
              <w:jc w:val="left"/>
            </w:pPr>
            <w:r>
              <w:rPr>
                <w:rFonts w:ascii="Times New Roman" w:hAnsi="Times New Roman" w:eastAsia="Noto Serif CJK SC"/>
                <w:b w:val="0"/>
                <w:sz w:val="16"/>
              </w:rPr>
              <w:t>旧数据读取与波位映射</w:t>
            </w:r>
          </w:p>
        </w:tc>
        <w:tc>
          <w:tcPr>
            <w:tcW w:w="3750" w:type="dxa"/>
            <w:vAlign w:val="center"/>
          </w:tcPr>
          <w:p w14:paraId="66B95ED6">
            <w:pPr>
              <w:spacing w:after="0" w:line="264" w:lineRule="auto"/>
              <w:jc w:val="left"/>
            </w:pPr>
            <w:r>
              <w:rPr>
                <w:rFonts w:ascii="Times New Roman" w:hAnsi="Times New Roman" w:eastAsia="Noto Serif CJK SC"/>
                <w:b w:val="0"/>
                <w:sz w:val="16"/>
              </w:rPr>
              <w:t>实现旧 26 波位数据读取，建立新 61 波位角表，完成内部插值和外侧镜像映射表。</w:t>
            </w:r>
          </w:p>
        </w:tc>
        <w:tc>
          <w:tcPr>
            <w:tcW w:w="2972" w:type="dxa"/>
            <w:vAlign w:val="center"/>
          </w:tcPr>
          <w:p w14:paraId="4C889427">
            <w:pPr>
              <w:spacing w:after="0" w:line="264" w:lineRule="auto"/>
              <w:jc w:val="left"/>
            </w:pPr>
            <w:r>
              <w:rPr>
                <w:rFonts w:ascii="Times New Roman" w:hAnsi="Times New Roman" w:eastAsia="Noto Serif CJK SC"/>
                <w:b w:val="0"/>
                <w:sz w:val="16"/>
              </w:rPr>
              <w:t>输出 old_to_new_beam_map.csv，并抽查映射是否合理。</w:t>
            </w:r>
          </w:p>
        </w:tc>
      </w:tr>
      <w:tr w14:paraId="1CA7A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797" w:type="dxa"/>
            <w:vMerge w:val="continue"/>
            <w:vAlign w:val="center"/>
          </w:tcPr>
          <w:p w14:paraId="198DF8DD">
            <w:pPr>
              <w:spacing w:after="0" w:line="264" w:lineRule="auto"/>
              <w:jc w:val="left"/>
            </w:pPr>
          </w:p>
        </w:tc>
        <w:tc>
          <w:tcPr>
            <w:tcW w:w="2263" w:type="dxa"/>
            <w:vAlign w:val="center"/>
          </w:tcPr>
          <w:p w14:paraId="262F15C2">
            <w:pPr>
              <w:spacing w:after="0" w:line="264" w:lineRule="auto"/>
              <w:jc w:val="left"/>
            </w:pPr>
            <w:r>
              <w:rPr>
                <w:rFonts w:ascii="Times New Roman" w:hAnsi="Times New Roman" w:eastAsia="Noto Serif CJK SC"/>
                <w:b w:val="0"/>
                <w:sz w:val="16"/>
              </w:rPr>
              <w:t>慢时间与距离向重采样</w:t>
            </w:r>
          </w:p>
        </w:tc>
        <w:tc>
          <w:tcPr>
            <w:tcW w:w="3750" w:type="dxa"/>
            <w:vAlign w:val="center"/>
          </w:tcPr>
          <w:p w14:paraId="5999014B">
            <w:pPr>
              <w:spacing w:after="0" w:line="264" w:lineRule="auto"/>
              <w:jc w:val="left"/>
            </w:pPr>
            <w:r>
              <w:rPr>
                <w:rFonts w:ascii="Times New Roman" w:hAnsi="Times New Roman" w:eastAsia="Noto Serif CJK SC"/>
                <w:b w:val="0"/>
                <w:sz w:val="16"/>
              </w:rPr>
              <w:t>完成 256→130 脉冲重采样和 4096→11820 FFT resize，生成单周期试验数据。</w:t>
            </w:r>
          </w:p>
        </w:tc>
        <w:tc>
          <w:tcPr>
            <w:tcW w:w="2972" w:type="dxa"/>
            <w:vAlign w:val="center"/>
          </w:tcPr>
          <w:p w14:paraId="0EB0A28F">
            <w:pPr>
              <w:spacing w:after="0" w:line="264" w:lineRule="auto"/>
              <w:jc w:val="left"/>
            </w:pPr>
            <w:r>
              <w:rPr>
                <w:rFonts w:ascii="Times New Roman" w:hAnsi="Times New Roman" w:eastAsia="Noto Serif CJK SC"/>
                <w:b w:val="0"/>
                <w:sz w:val="16"/>
              </w:rPr>
              <w:t>输出单周期双通道 DDC 数据，检查均值、方差、频谱和无 NaN/Inf。</w:t>
            </w:r>
          </w:p>
        </w:tc>
      </w:tr>
      <w:tr w14:paraId="69113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7" w:type="dxa"/>
            <w:vMerge w:val="continue"/>
            <w:vAlign w:val="center"/>
          </w:tcPr>
          <w:p w14:paraId="2D26632C">
            <w:pPr>
              <w:spacing w:after="0" w:line="264" w:lineRule="auto"/>
              <w:jc w:val="left"/>
            </w:pPr>
          </w:p>
        </w:tc>
        <w:tc>
          <w:tcPr>
            <w:tcW w:w="2263" w:type="dxa"/>
            <w:vAlign w:val="center"/>
          </w:tcPr>
          <w:p w14:paraId="56E0EF26">
            <w:pPr>
              <w:spacing w:after="0" w:line="264" w:lineRule="auto"/>
              <w:jc w:val="left"/>
            </w:pPr>
            <w:r>
              <w:rPr>
                <w:rFonts w:ascii="Times New Roman" w:hAnsi="Times New Roman" w:eastAsia="Noto Serif CJK SC"/>
                <w:b w:val="0"/>
                <w:sz w:val="16"/>
              </w:rPr>
              <w:t>无目标背景数据跑通算法</w:t>
            </w:r>
          </w:p>
        </w:tc>
        <w:tc>
          <w:tcPr>
            <w:tcW w:w="3750" w:type="dxa"/>
            <w:vAlign w:val="center"/>
          </w:tcPr>
          <w:p w14:paraId="46C83D07">
            <w:pPr>
              <w:spacing w:after="0" w:line="264" w:lineRule="auto"/>
              <w:jc w:val="left"/>
            </w:pPr>
            <w:r>
              <w:rPr>
                <w:rFonts w:ascii="Times New Roman" w:hAnsi="Times New Roman" w:eastAsia="Noto Serif CJK SC"/>
                <w:b w:val="0"/>
                <w:sz w:val="16"/>
              </w:rPr>
              <w:t>生成多周期无合作目标数据，更新新配置文件，接入现有算法完成脉压和基础 GMTI 处理。</w:t>
            </w:r>
          </w:p>
        </w:tc>
        <w:tc>
          <w:tcPr>
            <w:tcW w:w="2972" w:type="dxa"/>
            <w:vAlign w:val="center"/>
          </w:tcPr>
          <w:p w14:paraId="35B61017">
            <w:pPr>
              <w:spacing w:after="0" w:line="264" w:lineRule="auto"/>
              <w:jc w:val="left"/>
            </w:pPr>
            <w:r>
              <w:rPr>
                <w:rFonts w:ascii="Times New Roman" w:hAnsi="Times New Roman" w:eastAsia="Noto Serif CJK SC"/>
                <w:b w:val="0"/>
                <w:sz w:val="16"/>
              </w:rPr>
              <w:t>算法能完整跑通，记录处理时间和基础输出图/检测结果。</w:t>
            </w:r>
          </w:p>
        </w:tc>
      </w:tr>
      <w:tr w14:paraId="72634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7" w:type="dxa"/>
            <w:vMerge w:val="restart"/>
            <w:vAlign w:val="center"/>
          </w:tcPr>
          <w:p w14:paraId="4296C931">
            <w:pPr>
              <w:spacing w:after="0" w:line="264" w:lineRule="auto"/>
              <w:jc w:val="left"/>
            </w:pPr>
            <w:r>
              <w:rPr>
                <w:rFonts w:ascii="Times New Roman" w:hAnsi="Times New Roman" w:eastAsia="Noto Serif CJK SC"/>
                <w:b w:val="0"/>
                <w:sz w:val="16"/>
              </w:rPr>
              <w:t xml:space="preserve">第 </w:t>
            </w:r>
            <w:r>
              <w:rPr>
                <w:rFonts w:hint="default"/>
                <w:b w:val="0"/>
                <w:sz w:val="16"/>
              </w:rPr>
              <w:t>2</w:t>
            </w:r>
            <w:r>
              <w:rPr>
                <w:rFonts w:ascii="Times New Roman" w:hAnsi="Times New Roman" w:eastAsia="Noto Serif CJK SC"/>
                <w:b w:val="0"/>
                <w:sz w:val="16"/>
              </w:rPr>
              <w:t xml:space="preserve"> 周</w:t>
            </w:r>
          </w:p>
        </w:tc>
        <w:tc>
          <w:tcPr>
            <w:tcW w:w="2263" w:type="dxa"/>
            <w:vAlign w:val="center"/>
          </w:tcPr>
          <w:p w14:paraId="39840C89">
            <w:pPr>
              <w:spacing w:after="0" w:line="264" w:lineRule="auto"/>
              <w:jc w:val="left"/>
            </w:pPr>
            <w:r>
              <w:rPr>
                <w:rFonts w:ascii="Times New Roman" w:hAnsi="Times New Roman" w:eastAsia="Noto Serif CJK SC"/>
                <w:b w:val="0"/>
                <w:sz w:val="16"/>
              </w:rPr>
              <w:t>单合作目标建模</w:t>
            </w:r>
          </w:p>
        </w:tc>
        <w:tc>
          <w:tcPr>
            <w:tcW w:w="3750" w:type="dxa"/>
            <w:vAlign w:val="center"/>
          </w:tcPr>
          <w:p w14:paraId="16ABA590">
            <w:pPr>
              <w:spacing w:after="0" w:line="264" w:lineRule="auto"/>
              <w:jc w:val="left"/>
            </w:pPr>
            <w:r>
              <w:rPr>
                <w:rFonts w:ascii="Times New Roman" w:hAnsi="Times New Roman" w:eastAsia="Noto Serif CJK SC"/>
                <w:b w:val="0"/>
                <w:sz w:val="16"/>
              </w:rPr>
              <w:t>建立目标坐标、速度、幅度、出现周期等参数，完成单强目标 DDC 域回波注入。</w:t>
            </w:r>
          </w:p>
        </w:tc>
        <w:tc>
          <w:tcPr>
            <w:tcW w:w="2972" w:type="dxa"/>
            <w:vAlign w:val="center"/>
          </w:tcPr>
          <w:p w14:paraId="23D998B0">
            <w:pPr>
              <w:spacing w:after="0" w:line="264" w:lineRule="auto"/>
              <w:jc w:val="left"/>
            </w:pPr>
            <w:r>
              <w:rPr>
                <w:rFonts w:ascii="Times New Roman" w:hAnsi="Times New Roman" w:eastAsia="Noto Serif CJK SC"/>
                <w:b w:val="0"/>
                <w:sz w:val="16"/>
              </w:rPr>
              <w:t>单目标可在算法结果中被检出，truth.csv 与检测位置基本一致。</w:t>
            </w:r>
          </w:p>
        </w:tc>
      </w:tr>
      <w:tr w14:paraId="012CF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7" w:type="dxa"/>
            <w:vMerge w:val="continue"/>
            <w:vAlign w:val="center"/>
          </w:tcPr>
          <w:p w14:paraId="49FB7D33">
            <w:pPr>
              <w:spacing w:after="0" w:line="264" w:lineRule="auto"/>
              <w:jc w:val="left"/>
            </w:pPr>
          </w:p>
        </w:tc>
        <w:tc>
          <w:tcPr>
            <w:tcW w:w="2263" w:type="dxa"/>
            <w:vAlign w:val="center"/>
          </w:tcPr>
          <w:p w14:paraId="52E154A2">
            <w:pPr>
              <w:spacing w:after="0" w:line="264" w:lineRule="auto"/>
              <w:jc w:val="left"/>
            </w:pPr>
            <w:r>
              <w:rPr>
                <w:rFonts w:ascii="Times New Roman" w:hAnsi="Times New Roman" w:eastAsia="Noto Serif CJK SC"/>
                <w:b w:val="0"/>
                <w:sz w:val="16"/>
              </w:rPr>
              <w:t>双通道相位与波束可见性</w:t>
            </w:r>
          </w:p>
        </w:tc>
        <w:tc>
          <w:tcPr>
            <w:tcW w:w="3750" w:type="dxa"/>
            <w:vAlign w:val="center"/>
          </w:tcPr>
          <w:p w14:paraId="45F33193">
            <w:pPr>
              <w:spacing w:after="0" w:line="264" w:lineRule="auto"/>
              <w:jc w:val="left"/>
            </w:pPr>
            <w:r>
              <w:rPr>
                <w:rFonts w:ascii="Times New Roman" w:hAnsi="Times New Roman" w:eastAsia="Noto Serif CJK SC"/>
                <w:b w:val="0"/>
                <w:sz w:val="16"/>
              </w:rPr>
              <w:t>完善目标波束可见性、通道相位差和径向速度真值，检查目标在相邻波位中的连续性。</w:t>
            </w:r>
          </w:p>
        </w:tc>
        <w:tc>
          <w:tcPr>
            <w:tcW w:w="2972" w:type="dxa"/>
            <w:vAlign w:val="center"/>
          </w:tcPr>
          <w:p w14:paraId="6E436A0F">
            <w:pPr>
              <w:spacing w:after="0" w:line="264" w:lineRule="auto"/>
              <w:jc w:val="left"/>
            </w:pPr>
            <w:r>
              <w:rPr>
                <w:rFonts w:ascii="Times New Roman" w:hAnsi="Times New Roman" w:eastAsia="Noto Serif CJK SC"/>
                <w:b w:val="0"/>
                <w:sz w:val="16"/>
              </w:rPr>
              <w:t>目标跨波位出现合理，双通道处理有明显响应。</w:t>
            </w:r>
          </w:p>
        </w:tc>
      </w:tr>
      <w:tr w14:paraId="4562B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797" w:type="dxa"/>
            <w:vMerge w:val="restart"/>
            <w:vAlign w:val="center"/>
          </w:tcPr>
          <w:p w14:paraId="7DA969D5">
            <w:pPr>
              <w:spacing w:after="0" w:line="264" w:lineRule="auto"/>
              <w:jc w:val="left"/>
            </w:pPr>
            <w:r>
              <w:rPr>
                <w:rFonts w:ascii="Times New Roman" w:hAnsi="Times New Roman" w:eastAsia="Noto Serif CJK SC"/>
                <w:b w:val="0"/>
                <w:sz w:val="16"/>
              </w:rPr>
              <w:t xml:space="preserve">第 </w:t>
            </w:r>
            <w:r>
              <w:rPr>
                <w:rFonts w:hint="default"/>
                <w:b w:val="0"/>
                <w:sz w:val="16"/>
              </w:rPr>
              <w:t>3</w:t>
            </w:r>
            <w:r>
              <w:rPr>
                <w:rFonts w:ascii="Times New Roman" w:hAnsi="Times New Roman" w:eastAsia="Noto Serif CJK SC"/>
                <w:b w:val="0"/>
                <w:sz w:val="16"/>
              </w:rPr>
              <w:t xml:space="preserve"> 周</w:t>
            </w:r>
          </w:p>
        </w:tc>
        <w:tc>
          <w:tcPr>
            <w:tcW w:w="2263" w:type="dxa"/>
            <w:vAlign w:val="center"/>
          </w:tcPr>
          <w:p w14:paraId="4D4042B4">
            <w:pPr>
              <w:spacing w:after="0" w:line="264" w:lineRule="auto"/>
              <w:jc w:val="left"/>
            </w:pPr>
            <w:r>
              <w:rPr>
                <w:rFonts w:ascii="Times New Roman" w:hAnsi="Times New Roman" w:eastAsia="Noto Serif CJK SC"/>
                <w:b w:val="0"/>
                <w:sz w:val="16"/>
              </w:rPr>
              <w:t>多目标与复杂场景</w:t>
            </w:r>
          </w:p>
        </w:tc>
        <w:tc>
          <w:tcPr>
            <w:tcW w:w="3750" w:type="dxa"/>
            <w:vAlign w:val="center"/>
          </w:tcPr>
          <w:p w14:paraId="282B84AA">
            <w:pPr>
              <w:spacing w:after="0" w:line="264" w:lineRule="auto"/>
              <w:jc w:val="left"/>
            </w:pPr>
            <w:r>
              <w:rPr>
                <w:rFonts w:ascii="Times New Roman" w:hAnsi="Times New Roman" w:eastAsia="Noto Serif CJK SC"/>
                <w:b w:val="0"/>
                <w:sz w:val="16"/>
              </w:rPr>
              <w:t>添加弱目标、相邻目标、交叉目标和间歇目标，形成多场景验证数据。</w:t>
            </w:r>
          </w:p>
        </w:tc>
        <w:tc>
          <w:tcPr>
            <w:tcW w:w="2972" w:type="dxa"/>
            <w:vAlign w:val="center"/>
          </w:tcPr>
          <w:p w14:paraId="6EF120D6">
            <w:pPr>
              <w:spacing w:after="0" w:line="264" w:lineRule="auto"/>
              <w:jc w:val="left"/>
            </w:pPr>
            <w:r>
              <w:rPr>
                <w:rFonts w:ascii="Times New Roman" w:hAnsi="Times New Roman" w:eastAsia="Noto Serif CJK SC"/>
                <w:b w:val="0"/>
                <w:sz w:val="16"/>
              </w:rPr>
              <w:t>形成多目标数据集，验证航迹关联和跨周期编号稳定性。</w:t>
            </w:r>
          </w:p>
        </w:tc>
      </w:tr>
      <w:tr w14:paraId="2014B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7" w:type="dxa"/>
            <w:vMerge w:val="continue"/>
            <w:vAlign w:val="center"/>
          </w:tcPr>
          <w:p w14:paraId="351E3A90">
            <w:pPr>
              <w:spacing w:after="0" w:line="264" w:lineRule="auto"/>
              <w:jc w:val="left"/>
            </w:pPr>
          </w:p>
        </w:tc>
        <w:tc>
          <w:tcPr>
            <w:tcW w:w="2263" w:type="dxa"/>
            <w:vAlign w:val="center"/>
          </w:tcPr>
          <w:p w14:paraId="21A67DD8">
            <w:pPr>
              <w:spacing w:after="0" w:line="264" w:lineRule="auto"/>
              <w:jc w:val="left"/>
            </w:pPr>
            <w:r>
              <w:rPr>
                <w:rFonts w:ascii="Times New Roman" w:hAnsi="Times New Roman" w:eastAsia="Noto Serif CJK SC"/>
                <w:b w:val="0"/>
                <w:sz w:val="16"/>
              </w:rPr>
              <w:t>评价指标与阶段报告</w:t>
            </w:r>
          </w:p>
        </w:tc>
        <w:tc>
          <w:tcPr>
            <w:tcW w:w="3750" w:type="dxa"/>
            <w:vAlign w:val="center"/>
          </w:tcPr>
          <w:p w14:paraId="554C0395">
            <w:pPr>
              <w:spacing w:after="0" w:line="264" w:lineRule="auto"/>
              <w:jc w:val="left"/>
            </w:pPr>
            <w:r>
              <w:rPr>
                <w:rFonts w:ascii="Times New Roman" w:hAnsi="Times New Roman" w:eastAsia="Noto Serif CJK SC"/>
                <w:b w:val="0"/>
                <w:sz w:val="16"/>
              </w:rPr>
              <w:t>编写真值匹配与评估脚本，统计检测、定位、速度、航迹和实时性指标。</w:t>
            </w:r>
          </w:p>
        </w:tc>
        <w:tc>
          <w:tcPr>
            <w:tcW w:w="2972" w:type="dxa"/>
            <w:vAlign w:val="center"/>
          </w:tcPr>
          <w:p w14:paraId="7E98E3E8">
            <w:pPr>
              <w:spacing w:after="0" w:line="264" w:lineRule="auto"/>
              <w:jc w:val="left"/>
            </w:pPr>
            <w:r>
              <w:rPr>
                <w:rFonts w:ascii="Times New Roman" w:hAnsi="Times New Roman" w:eastAsia="Noto Serif CJK SC"/>
                <w:b w:val="0"/>
                <w:sz w:val="16"/>
              </w:rPr>
              <w:t>形成第一阶段和合作目标验证阶段的阶段性报告。</w:t>
            </w:r>
          </w:p>
        </w:tc>
      </w:tr>
      <w:tr w14:paraId="66BE3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7" w:type="dxa"/>
            <w:vMerge w:val="restart"/>
            <w:vAlign w:val="center"/>
          </w:tcPr>
          <w:p w14:paraId="689BBE42">
            <w:pPr>
              <w:spacing w:after="0" w:line="264" w:lineRule="auto"/>
              <w:jc w:val="left"/>
            </w:pPr>
            <w:r>
              <w:rPr>
                <w:rFonts w:ascii="Times New Roman" w:hAnsi="Times New Roman" w:eastAsia="Noto Serif CJK SC"/>
                <w:b w:val="0"/>
                <w:sz w:val="16"/>
              </w:rPr>
              <w:t xml:space="preserve">第 </w:t>
            </w:r>
            <w:r>
              <w:rPr>
                <w:rFonts w:hint="default"/>
                <w:b w:val="0"/>
                <w:sz w:val="16"/>
              </w:rPr>
              <w:t>4</w:t>
            </w:r>
            <w:r>
              <w:rPr>
                <w:rFonts w:ascii="Times New Roman" w:hAnsi="Times New Roman" w:eastAsia="Noto Serif CJK SC"/>
                <w:b w:val="0"/>
                <w:sz w:val="16"/>
              </w:rPr>
              <w:t xml:space="preserve"> 周</w:t>
            </w:r>
          </w:p>
        </w:tc>
        <w:tc>
          <w:tcPr>
            <w:tcW w:w="2263" w:type="dxa"/>
            <w:vAlign w:val="center"/>
          </w:tcPr>
          <w:p w14:paraId="3FE09CED">
            <w:pPr>
              <w:spacing w:after="0" w:line="264" w:lineRule="auto"/>
              <w:jc w:val="left"/>
            </w:pPr>
            <w:r>
              <w:rPr>
                <w:rFonts w:ascii="Times New Roman" w:hAnsi="Times New Roman" w:eastAsia="Noto Serif CJK SC"/>
                <w:b w:val="0"/>
                <w:sz w:val="16"/>
              </w:rPr>
              <w:t>DBS 图像与地面散射点准备</w:t>
            </w:r>
          </w:p>
        </w:tc>
        <w:tc>
          <w:tcPr>
            <w:tcW w:w="3750" w:type="dxa"/>
            <w:vAlign w:val="center"/>
          </w:tcPr>
          <w:p w14:paraId="0A4794ED">
            <w:pPr>
              <w:spacing w:after="0" w:line="264" w:lineRule="auto"/>
              <w:jc w:val="left"/>
            </w:pPr>
            <w:r>
              <w:rPr>
                <w:rFonts w:ascii="Times New Roman" w:hAnsi="Times New Roman" w:eastAsia="Noto Serif CJK SC"/>
                <w:b w:val="0"/>
                <w:sz w:val="16"/>
              </w:rPr>
              <w:t>整理已有 DBS 图像、角点映射和地理关系，完成图像像素到地面散射点的转换。</w:t>
            </w:r>
          </w:p>
        </w:tc>
        <w:tc>
          <w:tcPr>
            <w:tcW w:w="2972" w:type="dxa"/>
            <w:vAlign w:val="center"/>
          </w:tcPr>
          <w:p w14:paraId="5BDD0DCC">
            <w:pPr>
              <w:spacing w:after="0" w:line="264" w:lineRule="auto"/>
              <w:jc w:val="left"/>
            </w:pPr>
            <w:r>
              <w:rPr>
                <w:rFonts w:ascii="Times New Roman" w:hAnsi="Times New Roman" w:eastAsia="Noto Serif CJK SC"/>
                <w:b w:val="0"/>
                <w:sz w:val="16"/>
              </w:rPr>
              <w:t>生成散射点列表和散射强度分布检查图。</w:t>
            </w:r>
          </w:p>
        </w:tc>
      </w:tr>
      <w:tr w14:paraId="595D5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7" w:type="dxa"/>
            <w:vMerge w:val="continue"/>
            <w:vAlign w:val="center"/>
          </w:tcPr>
          <w:p w14:paraId="2FB55AA5">
            <w:pPr>
              <w:spacing w:after="0" w:line="264" w:lineRule="auto"/>
              <w:jc w:val="left"/>
            </w:pPr>
          </w:p>
        </w:tc>
        <w:tc>
          <w:tcPr>
            <w:tcW w:w="2263" w:type="dxa"/>
            <w:vAlign w:val="center"/>
          </w:tcPr>
          <w:p w14:paraId="63F18922">
            <w:pPr>
              <w:spacing w:after="0" w:line="264" w:lineRule="auto"/>
              <w:jc w:val="left"/>
            </w:pPr>
            <w:r>
              <w:rPr>
                <w:rFonts w:ascii="Times New Roman" w:hAnsi="Times New Roman" w:eastAsia="Noto Serif CJK SC"/>
                <w:b w:val="0"/>
                <w:sz w:val="16"/>
              </w:rPr>
              <w:t>散射点新几何正演</w:t>
            </w:r>
          </w:p>
        </w:tc>
        <w:tc>
          <w:tcPr>
            <w:tcW w:w="3750" w:type="dxa"/>
            <w:vAlign w:val="center"/>
          </w:tcPr>
          <w:p w14:paraId="3D5937CF">
            <w:pPr>
              <w:spacing w:after="0" w:line="264" w:lineRule="auto"/>
              <w:jc w:val="left"/>
            </w:pPr>
            <w:r>
              <w:rPr>
                <w:rFonts w:ascii="Times New Roman" w:hAnsi="Times New Roman" w:eastAsia="Noto Serif CJK SC"/>
                <w:b w:val="0"/>
                <w:sz w:val="16"/>
              </w:rPr>
              <w:t>按新系统波位、平台位置、采样延迟和 LFM 体制，对散射点正演生成 DDC 回波。</w:t>
            </w:r>
          </w:p>
        </w:tc>
        <w:tc>
          <w:tcPr>
            <w:tcW w:w="2972" w:type="dxa"/>
            <w:vAlign w:val="center"/>
          </w:tcPr>
          <w:p w14:paraId="3EC06C20">
            <w:pPr>
              <w:spacing w:after="0" w:line="264" w:lineRule="auto"/>
              <w:jc w:val="left"/>
            </w:pPr>
            <w:r>
              <w:rPr>
                <w:rFonts w:ascii="Times New Roman" w:hAnsi="Times New Roman" w:eastAsia="Noto Serif CJK SC"/>
                <w:b w:val="0"/>
                <w:sz w:val="16"/>
              </w:rPr>
              <w:t>生成小规模散射点正演数据，验证距离位置和相位历程。</w:t>
            </w:r>
          </w:p>
        </w:tc>
      </w:tr>
      <w:tr w14:paraId="031B8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797" w:type="dxa"/>
            <w:vMerge w:val="restart"/>
            <w:vAlign w:val="center"/>
          </w:tcPr>
          <w:p w14:paraId="6458990A">
            <w:pPr>
              <w:spacing w:after="0" w:line="264" w:lineRule="auto"/>
              <w:jc w:val="left"/>
            </w:pPr>
            <w:r>
              <w:rPr>
                <w:rFonts w:ascii="Times New Roman" w:hAnsi="Times New Roman" w:eastAsia="Noto Serif CJK SC"/>
                <w:b w:val="0"/>
                <w:sz w:val="16"/>
              </w:rPr>
              <w:t xml:space="preserve">第 </w:t>
            </w:r>
            <w:r>
              <w:rPr>
                <w:rFonts w:hint="default"/>
                <w:b w:val="0"/>
                <w:sz w:val="16"/>
              </w:rPr>
              <w:t>5</w:t>
            </w:r>
            <w:r>
              <w:rPr>
                <w:rFonts w:ascii="Times New Roman" w:hAnsi="Times New Roman" w:eastAsia="Noto Serif CJK SC"/>
                <w:b w:val="0"/>
                <w:sz w:val="16"/>
              </w:rPr>
              <w:t xml:space="preserve"> 周</w:t>
            </w:r>
          </w:p>
        </w:tc>
        <w:tc>
          <w:tcPr>
            <w:tcW w:w="2263" w:type="dxa"/>
            <w:vAlign w:val="center"/>
          </w:tcPr>
          <w:p w14:paraId="3995DE1C">
            <w:pPr>
              <w:spacing w:after="0" w:line="264" w:lineRule="auto"/>
              <w:jc w:val="left"/>
            </w:pPr>
            <w:r>
              <w:rPr>
                <w:rFonts w:ascii="Times New Roman" w:hAnsi="Times New Roman" w:eastAsia="Noto Serif CJK SC"/>
                <w:b w:val="0"/>
                <w:sz w:val="16"/>
              </w:rPr>
              <w:t>宽角几何数据集生成与对比</w:t>
            </w:r>
          </w:p>
        </w:tc>
        <w:tc>
          <w:tcPr>
            <w:tcW w:w="3750" w:type="dxa"/>
            <w:vAlign w:val="center"/>
          </w:tcPr>
          <w:p w14:paraId="76672237">
            <w:pPr>
              <w:spacing w:after="0" w:line="264" w:lineRule="auto"/>
              <w:jc w:val="left"/>
            </w:pPr>
            <w:r>
              <w:rPr>
                <w:rFonts w:ascii="Times New Roman" w:hAnsi="Times New Roman" w:eastAsia="Noto Serif CJK SC"/>
                <w:b w:val="0"/>
                <w:sz w:val="16"/>
              </w:rPr>
              <w:t>扩大散射点数量，生成几何一致型宽角数据，并与第一阶段镜像数据对比。</w:t>
            </w:r>
          </w:p>
        </w:tc>
        <w:tc>
          <w:tcPr>
            <w:tcW w:w="2972" w:type="dxa"/>
            <w:vAlign w:val="center"/>
          </w:tcPr>
          <w:p w14:paraId="719A73D6">
            <w:pPr>
              <w:spacing w:after="0" w:line="264" w:lineRule="auto"/>
              <w:jc w:val="left"/>
            </w:pPr>
            <w:r>
              <w:rPr>
                <w:rFonts w:ascii="Times New Roman" w:hAnsi="Times New Roman" w:eastAsia="Noto Serif CJK SC"/>
                <w:b w:val="0"/>
                <w:sz w:val="16"/>
              </w:rPr>
              <w:t>形成工程验证集与几何验证集对比结果，分析边缘波位畸变改善情况。</w:t>
            </w:r>
          </w:p>
        </w:tc>
      </w:tr>
      <w:tr w14:paraId="7216B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7" w:type="dxa"/>
            <w:vMerge w:val="continue"/>
            <w:vAlign w:val="center"/>
          </w:tcPr>
          <w:p w14:paraId="50F7F4C4">
            <w:pPr>
              <w:spacing w:after="0" w:line="264" w:lineRule="auto"/>
              <w:jc w:val="left"/>
            </w:pPr>
          </w:p>
        </w:tc>
        <w:tc>
          <w:tcPr>
            <w:tcW w:w="2263" w:type="dxa"/>
            <w:vAlign w:val="center"/>
          </w:tcPr>
          <w:p w14:paraId="2635CF3C">
            <w:pPr>
              <w:spacing w:after="0" w:line="264" w:lineRule="auto"/>
              <w:jc w:val="left"/>
            </w:pPr>
            <w:r>
              <w:rPr>
                <w:rFonts w:ascii="Times New Roman" w:hAnsi="Times New Roman" w:eastAsia="Noto Serif CJK SC"/>
                <w:b w:val="0"/>
                <w:sz w:val="16"/>
              </w:rPr>
              <w:t>多目标与复杂场景</w:t>
            </w:r>
            <w:r>
              <w:rPr>
                <w:rFonts w:ascii="Times New Roman" w:hAnsi="Times New Roman" w:eastAsia="Noto Serif CJK SC"/>
                <w:b w:val="0"/>
                <w:sz w:val="16"/>
              </w:rPr>
              <w:br w:type="textWrapping"/>
            </w:r>
            <w:r>
              <w:rPr>
                <w:rFonts w:ascii="Times New Roman" w:hAnsi="Times New Roman" w:eastAsia="Noto Serif CJK SC"/>
                <w:b w:val="0"/>
                <w:sz w:val="16"/>
              </w:rPr>
              <w:t>评价指标与阶段报告</w:t>
            </w:r>
          </w:p>
        </w:tc>
        <w:tc>
          <w:tcPr>
            <w:tcW w:w="3750" w:type="dxa"/>
            <w:vAlign w:val="center"/>
          </w:tcPr>
          <w:p w14:paraId="6BFD8C70">
            <w:pPr>
              <w:spacing w:after="0" w:line="264" w:lineRule="auto"/>
              <w:jc w:val="left"/>
            </w:pPr>
            <w:r>
              <w:rPr>
                <w:rFonts w:ascii="Times New Roman" w:hAnsi="Times New Roman" w:eastAsia="Noto Serif CJK SC"/>
                <w:b w:val="0"/>
                <w:sz w:val="16"/>
              </w:rPr>
              <w:t>添加弱目标、相邻目标、交叉目标和间歇目标，形成多场景验证数据。编写真值匹配与评估脚本，统计检测、定位、速度、航迹和实时性指标。</w:t>
            </w:r>
          </w:p>
        </w:tc>
        <w:tc>
          <w:tcPr>
            <w:tcW w:w="2972" w:type="dxa"/>
            <w:vAlign w:val="center"/>
          </w:tcPr>
          <w:p w14:paraId="649ECFA9">
            <w:pPr>
              <w:spacing w:after="0" w:line="264" w:lineRule="auto"/>
              <w:jc w:val="left"/>
            </w:pPr>
            <w:r>
              <w:rPr>
                <w:rFonts w:ascii="Times New Roman" w:hAnsi="Times New Roman" w:eastAsia="Noto Serif CJK SC"/>
                <w:b w:val="0"/>
                <w:sz w:val="16"/>
              </w:rPr>
              <w:t>形成第</w:t>
            </w:r>
            <w:r>
              <w:rPr>
                <w:b w:val="0"/>
                <w:sz w:val="16"/>
              </w:rPr>
              <w:t>二</w:t>
            </w:r>
            <w:r>
              <w:rPr>
                <w:rFonts w:ascii="Times New Roman" w:hAnsi="Times New Roman" w:eastAsia="Noto Serif CJK SC"/>
                <w:b w:val="0"/>
                <w:sz w:val="16"/>
              </w:rPr>
              <w:t>阶段和合作目标验证阶段的阶段性报告。</w:t>
            </w:r>
          </w:p>
        </w:tc>
      </w:tr>
    </w:tbl>
    <w:p w14:paraId="69E19DAC">
      <w:r>
        <w:br w:type="page"/>
      </w:r>
    </w:p>
    <w:p w14:paraId="607868FE">
      <w:pPr>
        <w:pStyle w:val="3"/>
      </w:pPr>
      <w:r>
        <w:t>九、逐周详细实施说明</w:t>
      </w:r>
    </w:p>
    <w:p w14:paraId="05CE012C">
      <w:pPr>
        <w:pStyle w:val="4"/>
      </w:pPr>
      <w:r>
        <w:t>第 1 步：参数梳理与数据审查</w:t>
      </w:r>
    </w:p>
    <w:p w14:paraId="0609DAD2">
      <w:pPr>
        <w:spacing w:after="100" w:line="300" w:lineRule="auto"/>
        <w:ind w:firstLine="420"/>
        <w:rPr>
          <w:rFonts w:ascii="Times New Roman" w:hAnsi="Times New Roman" w:eastAsia="宋体"/>
          <w:b w:val="0"/>
          <w:sz w:val="21"/>
        </w:rPr>
      </w:pPr>
      <w:r>
        <w:rPr>
          <w:rFonts w:ascii="Times New Roman" w:hAnsi="Times New Roman" w:eastAsia="宋体"/>
          <w:b w:val="0"/>
          <w:sz w:val="21"/>
        </w:rPr>
        <w:t>整理 temp_config.xml 中旧系统参数，确认旧数据为 -25°~25°、26 波位、双通道、多周期、每波位 256 脉冲、每脉冲 4096 点。建立新系统参数表，重点确认 61 波位、130 脉冲、11820 点 DDC、12288 点 FFT、3864 起始截取和 4096 点脉压截取。核算采样窗口、距离窗口和实时性约束，明确 61 波位对应 6.1 s 周期，80% 处理时间阈值为 4.88 s。</w:t>
      </w:r>
    </w:p>
    <w:p w14:paraId="46A26EB9">
      <w:pPr>
        <w:spacing w:after="100" w:line="300" w:lineRule="auto"/>
        <w:ind w:firstLine="420"/>
      </w:pPr>
      <w:r>
        <w:rPr>
          <w:rFonts w:ascii="Times New Roman" w:hAnsi="Times New Roman" w:eastAsia="宋体"/>
          <w:b w:val="0"/>
          <w:sz w:val="21"/>
        </w:rPr>
        <w:t>预期效果：完成参数闭合，避免后续因波位数量、采样点数或时间约束理解不一致导致返工。</w:t>
      </w:r>
    </w:p>
    <w:p w14:paraId="3863A9BB">
      <w:pPr>
        <w:pStyle w:val="4"/>
      </w:pPr>
      <w:r>
        <w:t>第 2 步：旧数据读取与波位镜像映射</w:t>
      </w:r>
    </w:p>
    <w:p w14:paraId="0FF7FE08">
      <w:pPr>
        <w:spacing w:after="100" w:line="300" w:lineRule="auto"/>
        <w:ind w:firstLine="420"/>
        <w:rPr>
          <w:rFonts w:ascii="Times New Roman" w:hAnsi="Times New Roman" w:eastAsia="宋体"/>
          <w:b w:val="0"/>
          <w:sz w:val="21"/>
        </w:rPr>
      </w:pPr>
      <w:r>
        <w:rPr>
          <w:rFonts w:ascii="Times New Roman" w:hAnsi="Times New Roman" w:eastAsia="宋体"/>
          <w:b w:val="0"/>
          <w:sz w:val="21"/>
        </w:rPr>
        <w:t>实现或整理旧数据读取流程，将双通道数据按 period、beam、pulse、range 四维逻辑组织。建立新旧角度表，并保留 -60°~60° 与 -59°~61° 两种角度网格参数。对旧角度覆盖范围内的新波位按网格情况选择直接复制或角度插值；对外侧波位采用镜像复制，不固定复制边界波位。输出映射表，明确每个新波位的数据来源、镜像参考角和插值权重。</w:t>
      </w:r>
    </w:p>
    <w:p w14:paraId="41050B4A">
      <w:pPr>
        <w:spacing w:after="100" w:line="300" w:lineRule="auto"/>
        <w:ind w:firstLine="420"/>
      </w:pPr>
      <w:r>
        <w:rPr>
          <w:rFonts w:ascii="Times New Roman" w:hAnsi="Times New Roman" w:eastAsia="宋体"/>
          <w:b w:val="0"/>
          <w:sz w:val="21"/>
        </w:rPr>
        <w:t>预期效果：完成 61 个波位背景来源定义，保证外侧波位在数据纹理上具有连续性。</w:t>
      </w:r>
    </w:p>
    <w:p w14:paraId="63F309E1">
      <w:pPr>
        <w:pStyle w:val="4"/>
      </w:pPr>
      <w:r>
        <w:t>第 3 步：慢时间重采样与距离向扩展</w:t>
      </w:r>
    </w:p>
    <w:p w14:paraId="74AE97BB">
      <w:pPr>
        <w:spacing w:after="100" w:line="300" w:lineRule="auto"/>
        <w:ind w:firstLine="420"/>
        <w:rPr>
          <w:rFonts w:ascii="Times New Roman" w:hAnsi="Times New Roman" w:eastAsia="宋体"/>
          <w:b w:val="0"/>
          <w:sz w:val="21"/>
        </w:rPr>
      </w:pPr>
      <w:r>
        <w:rPr>
          <w:rFonts w:ascii="Times New Roman" w:hAnsi="Times New Roman" w:eastAsia="宋体"/>
          <w:b w:val="0"/>
          <w:sz w:val="21"/>
        </w:rPr>
        <w:t>将每波位脉冲数从 256 重采样到 130，默认采用物理慢时间映射，同时保留归一化压缩模式作为对照。将每脉冲 4096 点通过 FFT 频域补零和 IFFT 扩展到 11820 点，并记录该方法的工程近似属性。对单周期、单波位和全波位数据分别进行均值、方差、幅度直方图和频谱检查。</w:t>
      </w:r>
    </w:p>
    <w:p w14:paraId="0C517B8D">
      <w:pPr>
        <w:spacing w:after="100" w:line="300" w:lineRule="auto"/>
        <w:ind w:firstLine="420"/>
      </w:pPr>
      <w:r>
        <w:rPr>
          <w:rFonts w:ascii="Times New Roman" w:hAnsi="Times New Roman" w:eastAsia="宋体"/>
          <w:b w:val="0"/>
          <w:sz w:val="21"/>
        </w:rPr>
        <w:t>预期效果：获得第一份可写出的新系统 DDC 数据，且数值范围稳定、无异常值。</w:t>
      </w:r>
    </w:p>
    <w:p w14:paraId="766C5444">
      <w:pPr>
        <w:pStyle w:val="4"/>
      </w:pPr>
      <w:r>
        <w:t>第 4 步：无合作目标背景数据接入算法</w:t>
      </w:r>
    </w:p>
    <w:p w14:paraId="4A6DCF1A">
      <w:pPr>
        <w:spacing w:after="100" w:line="300" w:lineRule="auto"/>
        <w:ind w:firstLine="420"/>
        <w:rPr>
          <w:rFonts w:ascii="Times New Roman" w:hAnsi="Times New Roman" w:eastAsia="宋体"/>
          <w:b w:val="0"/>
          <w:sz w:val="21"/>
        </w:rPr>
      </w:pPr>
      <w:r>
        <w:rPr>
          <w:rFonts w:ascii="Times New Roman" w:hAnsi="Times New Roman" w:eastAsia="宋体"/>
          <w:b w:val="0"/>
          <w:sz w:val="21"/>
        </w:rPr>
        <w:t>生成多个周期的无合作目标仿真数据，保持文件名、路径和二进制格式与现有算法兼容。修改或准备新系统配置文件，使算法按 61 波位、130 脉冲和 11820 点读取数据，并在内部完成脉压。运行 DBS/GMTI 处理流程，检查脉压、检测、输出图像和日志是否正常。</w:t>
      </w:r>
    </w:p>
    <w:p w14:paraId="05CF32E3">
      <w:pPr>
        <w:spacing w:after="100" w:line="300" w:lineRule="auto"/>
        <w:ind w:firstLine="420"/>
      </w:pPr>
      <w:r>
        <w:rPr>
          <w:rFonts w:ascii="Times New Roman" w:hAnsi="Times New Roman" w:eastAsia="宋体"/>
          <w:b w:val="0"/>
          <w:sz w:val="21"/>
        </w:rPr>
        <w:t>预期效果：算法能够完整处理新格式数据，得到可用于后续对比的无合作目标基准结果。</w:t>
      </w:r>
    </w:p>
    <w:p w14:paraId="04C06BD2">
      <w:pPr>
        <w:pStyle w:val="4"/>
      </w:pPr>
      <w:r>
        <w:t>第 5 步：单合作目标 DDC 域注入</w:t>
      </w:r>
    </w:p>
    <w:p w14:paraId="659ADC1D">
      <w:pPr>
        <w:spacing w:after="100" w:line="300" w:lineRule="auto"/>
        <w:ind w:firstLine="420"/>
        <w:rPr>
          <w:rFonts w:ascii="Times New Roman" w:hAnsi="Times New Roman" w:eastAsia="宋体"/>
          <w:b w:val="0"/>
          <w:sz w:val="21"/>
        </w:rPr>
      </w:pPr>
      <w:r>
        <w:rPr>
          <w:rFonts w:ascii="Times New Roman" w:hAnsi="Times New Roman" w:eastAsia="宋体"/>
          <w:b w:val="0"/>
          <w:sz w:val="21"/>
        </w:rPr>
        <w:t>设计一个强合作目标，设置初始位置、速度、幅度、出现周期和消失周期。在 DDC 原始快时间域根据斜距延迟和新 130 μs LFM 基带回波添加目标，而不是在脉压后图像域添加。同步输出 truth.csv，记录目标在每个周期、波位和脉冲中的距离、方位、采样点和可见性。</w:t>
      </w:r>
    </w:p>
    <w:p w14:paraId="12908157">
      <w:pPr>
        <w:spacing w:after="100" w:line="300" w:lineRule="auto"/>
        <w:ind w:firstLine="420"/>
      </w:pPr>
      <w:r>
        <w:rPr>
          <w:rFonts w:ascii="Times New Roman" w:hAnsi="Times New Roman" w:eastAsia="宋体"/>
          <w:b w:val="0"/>
          <w:sz w:val="21"/>
        </w:rPr>
        <w:t>预期效果：单强目标能够稳定检出，检测位置与真值基本对应。</w:t>
      </w:r>
    </w:p>
    <w:p w14:paraId="05EAC650">
      <w:pPr>
        <w:pStyle w:val="4"/>
      </w:pPr>
      <w:r>
        <w:t>第 6 步：波束可见性与双通道相位完善</w:t>
      </w:r>
    </w:p>
    <w:p w14:paraId="397478E2">
      <w:pPr>
        <w:spacing w:after="100" w:line="300" w:lineRule="auto"/>
        <w:ind w:firstLine="420"/>
        <w:rPr>
          <w:rFonts w:ascii="Times New Roman" w:hAnsi="Times New Roman" w:eastAsia="宋体"/>
          <w:b w:val="0"/>
          <w:sz w:val="21"/>
        </w:rPr>
      </w:pPr>
      <w:r>
        <w:rPr>
          <w:rFonts w:ascii="Times New Roman" w:hAnsi="Times New Roman" w:eastAsia="宋体"/>
          <w:b w:val="0"/>
          <w:sz w:val="21"/>
        </w:rPr>
        <w:t>根据目标相对方位角和新系统波位角计算可见性，先采用硬门限，再逐步过渡到高斯波束方向图。为双通道目标回波添加通道相位差，使 GMTI 双通道处理能够产生合理响应。计算并输出径向速度真值，为速度估计评价做准备。</w:t>
      </w:r>
    </w:p>
    <w:p w14:paraId="1BA8BC25">
      <w:pPr>
        <w:spacing w:after="100" w:line="300" w:lineRule="auto"/>
        <w:ind w:firstLine="420"/>
      </w:pPr>
      <w:r>
        <w:rPr>
          <w:rFonts w:ascii="Times New Roman" w:hAnsi="Times New Roman" w:eastAsia="宋体"/>
          <w:b w:val="0"/>
          <w:sz w:val="21"/>
        </w:rPr>
        <w:t>预期效果：合作目标在波位间出现和消失较自然，双通道相位关系合理。</w:t>
      </w:r>
    </w:p>
    <w:p w14:paraId="296BC2AA">
      <w:pPr>
        <w:pStyle w:val="4"/>
      </w:pPr>
      <w:r>
        <w:t>第 7 步：多目标复杂场景构建</w:t>
      </w:r>
    </w:p>
    <w:p w14:paraId="5E4E380D">
      <w:pPr>
        <w:spacing w:after="100" w:line="300" w:lineRule="auto"/>
        <w:ind w:firstLine="420"/>
        <w:rPr>
          <w:rFonts w:ascii="Times New Roman" w:hAnsi="Times New Roman" w:eastAsia="宋体"/>
          <w:b w:val="0"/>
          <w:sz w:val="21"/>
        </w:rPr>
      </w:pPr>
      <w:r>
        <w:rPr>
          <w:rFonts w:ascii="Times New Roman" w:hAnsi="Times New Roman" w:eastAsia="宋体"/>
          <w:b w:val="0"/>
          <w:sz w:val="21"/>
        </w:rPr>
        <w:t>增加弱目标，用于测试检测门限附近的稳定性；增加相邻目标和交叉目标，用于测试航迹关联是否发生误关联或 ID 切换；增加间歇出现目标，用于测试漏检后的航迹维持和重关联能力。</w:t>
      </w:r>
    </w:p>
    <w:p w14:paraId="51FB1349">
      <w:pPr>
        <w:spacing w:after="100" w:line="300" w:lineRule="auto"/>
        <w:ind w:firstLine="420"/>
      </w:pPr>
      <w:r>
        <w:rPr>
          <w:rFonts w:ascii="Times New Roman" w:hAnsi="Times New Roman" w:eastAsia="宋体"/>
          <w:b w:val="0"/>
          <w:sz w:val="21"/>
        </w:rPr>
        <w:t>预期效果：形成覆盖不同难度的合作目标验证数据集。</w:t>
      </w:r>
    </w:p>
    <w:p w14:paraId="3FA9B490">
      <w:pPr>
        <w:pStyle w:val="4"/>
      </w:pPr>
      <w:r>
        <w:t>第 8 步：指标评估与阶段性报告</w:t>
      </w:r>
    </w:p>
    <w:p w14:paraId="5B98C5B5">
      <w:pPr>
        <w:spacing w:after="100" w:line="300" w:lineRule="auto"/>
        <w:ind w:firstLine="420"/>
        <w:rPr>
          <w:rFonts w:ascii="Times New Roman" w:hAnsi="Times New Roman" w:eastAsia="宋体"/>
          <w:b w:val="0"/>
          <w:sz w:val="21"/>
        </w:rPr>
      </w:pPr>
      <w:r>
        <w:rPr>
          <w:rFonts w:ascii="Times New Roman" w:hAnsi="Times New Roman" w:eastAsia="宋体"/>
          <w:b w:val="0"/>
          <w:sz w:val="21"/>
        </w:rPr>
        <w:t>将算法输出与 truth.csv 进行匹配，统计检测率、虚警数、距离误差、速度误差、航迹中断次数和 ID 切换次数。统计每周期处理时间、处理时间占采集时间比例以及是否满足 4.8 s 或 4.88 s 门限。整理阶段性结果，说明第一阶段工程仿真数据的可用性和局限性。</w:t>
      </w:r>
    </w:p>
    <w:p w14:paraId="702D65A8">
      <w:pPr>
        <w:spacing w:after="100" w:line="300" w:lineRule="auto"/>
        <w:ind w:firstLine="420"/>
      </w:pPr>
      <w:r>
        <w:rPr>
          <w:rFonts w:ascii="Times New Roman" w:hAnsi="Times New Roman" w:eastAsia="宋体"/>
          <w:b w:val="0"/>
          <w:sz w:val="21"/>
        </w:rPr>
        <w:t>预期效果：形成可向老师汇报的第一阶段结果，包括数据生成、算法跑通和合作目标验证。</w:t>
      </w:r>
    </w:p>
    <w:p w14:paraId="0C598C56">
      <w:pPr>
        <w:pStyle w:val="4"/>
      </w:pPr>
      <w:r>
        <w:t>第 9 步：DBS 图像反投影准备</w:t>
      </w:r>
    </w:p>
    <w:p w14:paraId="3B49E488">
      <w:pPr>
        <w:spacing w:after="100" w:line="300" w:lineRule="auto"/>
        <w:ind w:firstLine="420"/>
        <w:rPr>
          <w:rFonts w:ascii="Times New Roman" w:hAnsi="Times New Roman" w:eastAsia="宋体"/>
          <w:b w:val="0"/>
          <w:sz w:val="21"/>
        </w:rPr>
      </w:pPr>
      <w:r>
        <w:rPr>
          <w:rFonts w:ascii="Times New Roman" w:hAnsi="Times New Roman" w:eastAsia="宋体"/>
          <w:b w:val="0"/>
          <w:sz w:val="21"/>
        </w:rPr>
        <w:t>整理已有 DBS 图像、角点坐标、地理映射或像素到地面坐标的转换关系。根据图像强度生成候选散射点，并通过阈值、网格抽样或强散射点筛选控制点数。检查散射点空间分布是否与原图纹理一致。</w:t>
      </w:r>
    </w:p>
    <w:p w14:paraId="2C92BC82">
      <w:pPr>
        <w:spacing w:after="100" w:line="300" w:lineRule="auto"/>
        <w:ind w:firstLine="420"/>
      </w:pPr>
      <w:r>
        <w:rPr>
          <w:rFonts w:ascii="Times New Roman" w:hAnsi="Times New Roman" w:eastAsia="宋体"/>
          <w:b w:val="0"/>
          <w:sz w:val="21"/>
        </w:rPr>
        <w:t>预期效果：得到可用于正演的地面散射点集合。</w:t>
      </w:r>
    </w:p>
    <w:p w14:paraId="4D491E6D">
      <w:pPr>
        <w:pStyle w:val="4"/>
      </w:pPr>
      <w:r>
        <w:t>第 10 步：散射点新系统正演</w:t>
      </w:r>
    </w:p>
    <w:p w14:paraId="4F93F8BF">
      <w:pPr>
        <w:spacing w:after="100" w:line="300" w:lineRule="auto"/>
        <w:ind w:firstLine="420"/>
        <w:rPr>
          <w:rFonts w:ascii="Times New Roman" w:hAnsi="Times New Roman" w:eastAsia="宋体"/>
          <w:b w:val="0"/>
          <w:sz w:val="21"/>
        </w:rPr>
      </w:pPr>
      <w:r>
        <w:rPr>
          <w:rFonts w:ascii="Times New Roman" w:hAnsi="Times New Roman" w:eastAsia="宋体"/>
          <w:b w:val="0"/>
          <w:sz w:val="21"/>
        </w:rPr>
        <w:t>对少量散射点进行试验正演，计算每个波位和脉冲下的斜距、延迟、相位和波束增益。生成小规模 11820 点 DDC 数据，并通过脉压结果检查散射点距离位置是否正确。优化计算效率，避免散射点数量扩大后计算量失控。</w:t>
      </w:r>
    </w:p>
    <w:p w14:paraId="78516891">
      <w:pPr>
        <w:spacing w:after="100" w:line="300" w:lineRule="auto"/>
        <w:ind w:firstLine="420"/>
      </w:pPr>
      <w:r>
        <w:rPr>
          <w:rFonts w:ascii="Times New Roman" w:hAnsi="Times New Roman" w:eastAsia="宋体"/>
          <w:b w:val="0"/>
          <w:sz w:val="21"/>
        </w:rPr>
        <w:t>预期效果：验证 DBS 散射点到新系统 DDC 回波的基本链路正确。</w:t>
      </w:r>
    </w:p>
    <w:p w14:paraId="36C83D57">
      <w:pPr>
        <w:pStyle w:val="4"/>
      </w:pPr>
      <w:r>
        <w:t>第 11 步：几何一致型数据集生成与对比</w:t>
      </w:r>
    </w:p>
    <w:p w14:paraId="1F8CC8F3">
      <w:pPr>
        <w:spacing w:after="100" w:line="300" w:lineRule="auto"/>
        <w:ind w:firstLine="420"/>
        <w:rPr>
          <w:rFonts w:ascii="Times New Roman" w:hAnsi="Times New Roman" w:eastAsia="宋体"/>
          <w:b w:val="0"/>
          <w:sz w:val="21"/>
        </w:rPr>
      </w:pPr>
      <w:r>
        <w:rPr>
          <w:rFonts w:ascii="Times New Roman" w:hAnsi="Times New Roman" w:eastAsia="宋体"/>
          <w:b w:val="0"/>
          <w:sz w:val="21"/>
        </w:rPr>
        <w:t>扩大散射点数量，生成覆盖更多波位和周期的几何一致型数据。与第一阶段镜像复制数据进行对比，重点观察边缘波位、拼接连续性、脉压响应和几何畸变改善情况。在几何一致型背景上继续注入合作目标，验证检测和航迹是否仍稳定。</w:t>
      </w:r>
    </w:p>
    <w:p w14:paraId="17D3A716">
      <w:pPr>
        <w:spacing w:after="100" w:line="300" w:lineRule="auto"/>
        <w:ind w:firstLine="420"/>
      </w:pPr>
      <w:r>
        <w:rPr>
          <w:rFonts w:ascii="Times New Roman" w:hAnsi="Times New Roman" w:eastAsia="宋体"/>
          <w:b w:val="0"/>
          <w:sz w:val="21"/>
        </w:rPr>
        <w:t>预期效果：形成第二阶段数据集，并明确其相对于第一阶段数据的优势和代价。</w:t>
      </w:r>
    </w:p>
    <w:p w14:paraId="5E3510A2">
      <w:pPr>
        <w:pStyle w:val="4"/>
      </w:pPr>
      <w:r>
        <w:t>第 12 步：总结固化与后续建议</w:t>
      </w:r>
    </w:p>
    <w:p w14:paraId="19C8C575">
      <w:pPr>
        <w:spacing w:after="100" w:line="300" w:lineRule="auto"/>
        <w:ind w:firstLine="420"/>
        <w:rPr>
          <w:rFonts w:ascii="Times New Roman" w:hAnsi="Times New Roman" w:eastAsia="宋体"/>
          <w:b w:val="0"/>
          <w:sz w:val="21"/>
        </w:rPr>
      </w:pPr>
      <w:r>
        <w:rPr>
          <w:rFonts w:ascii="Times New Roman" w:hAnsi="Times New Roman" w:eastAsia="宋体"/>
          <w:b w:val="0"/>
          <w:sz w:val="21"/>
        </w:rPr>
        <w:t>整理工程验证集、合作目标验证集和几何验证集的参数、数据路径、生成方式和适用范围。整理关键实验图表、评估指标、实时性结果和存在问题。形成最终工作总结、老师汇报文档和后续优化建议。</w:t>
      </w:r>
    </w:p>
    <w:p w14:paraId="566B6D28">
      <w:pPr>
        <w:spacing w:after="100" w:line="300" w:lineRule="auto"/>
        <w:ind w:firstLine="420"/>
      </w:pPr>
      <w:bookmarkStart w:id="0" w:name="_GoBack"/>
      <w:bookmarkEnd w:id="0"/>
      <w:r>
        <w:rPr>
          <w:rFonts w:ascii="Times New Roman" w:hAnsi="Times New Roman" w:eastAsia="宋体"/>
          <w:b w:val="0"/>
          <w:sz w:val="21"/>
        </w:rPr>
        <w:t>预期效果：完成阶段性研究闭环，为后续真实 61 波位数据采集和算法实装提供依据。</w:t>
      </w:r>
    </w:p>
    <w:p w14:paraId="10D3CD3D">
      <w:r>
        <w:br w:type="page"/>
      </w:r>
    </w:p>
    <w:p w14:paraId="6477AAEB">
      <w:pPr>
        <w:pStyle w:val="3"/>
      </w:pPr>
      <w:r>
        <w:t>十、风险分析与应对措施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2835"/>
        <w:gridCol w:w="3402"/>
      </w:tblGrid>
      <w:tr w14:paraId="6498D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D9EAF7"/>
            <w:vAlign w:val="center"/>
          </w:tcPr>
          <w:p w14:paraId="4876C1D9">
            <w:pPr>
              <w:spacing w:after="0" w:line="276" w:lineRule="auto"/>
            </w:pPr>
            <w:r>
              <w:rPr>
                <w:rFonts w:ascii="Times New Roman" w:hAnsi="Times New Roman" w:eastAsia="宋体"/>
                <w:b/>
                <w:sz w:val="20"/>
              </w:rPr>
              <w:t>风险点</w:t>
            </w:r>
          </w:p>
        </w:tc>
        <w:tc>
          <w:tcPr>
            <w:tcW w:w="2835" w:type="dxa"/>
            <w:shd w:val="clear" w:color="auto" w:fill="D9EAF7"/>
            <w:vAlign w:val="center"/>
          </w:tcPr>
          <w:p w14:paraId="194EFD3A">
            <w:pPr>
              <w:spacing w:after="0" w:line="276" w:lineRule="auto"/>
            </w:pPr>
            <w:r>
              <w:rPr>
                <w:rFonts w:ascii="Times New Roman" w:hAnsi="Times New Roman" w:eastAsia="宋体"/>
                <w:b/>
                <w:sz w:val="20"/>
              </w:rPr>
              <w:t>可能影响</w:t>
            </w:r>
          </w:p>
        </w:tc>
        <w:tc>
          <w:tcPr>
            <w:tcW w:w="3402" w:type="dxa"/>
            <w:shd w:val="clear" w:color="auto" w:fill="D9EAF7"/>
            <w:vAlign w:val="center"/>
          </w:tcPr>
          <w:p w14:paraId="6B81BCB5">
            <w:pPr>
              <w:spacing w:after="0" w:line="276" w:lineRule="auto"/>
            </w:pPr>
            <w:r>
              <w:rPr>
                <w:rFonts w:ascii="Times New Roman" w:hAnsi="Times New Roman" w:eastAsia="宋体"/>
                <w:b/>
                <w:sz w:val="20"/>
              </w:rPr>
              <w:t>应对措施</w:t>
            </w:r>
          </w:p>
        </w:tc>
      </w:tr>
      <w:tr w14:paraId="1FF78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3B5485AE">
            <w:pPr>
              <w:spacing w:after="0" w:line="276" w:lineRule="auto"/>
            </w:pPr>
            <w:r>
              <w:rPr>
                <w:rFonts w:ascii="Times New Roman" w:hAnsi="Times New Roman" w:eastAsia="宋体"/>
                <w:b w:val="0"/>
                <w:sz w:val="20"/>
              </w:rPr>
              <w:t>阶段一背景数据并非真实新几何回波</w:t>
            </w:r>
          </w:p>
        </w:tc>
        <w:tc>
          <w:tcPr>
            <w:tcW w:w="2835" w:type="dxa"/>
            <w:vAlign w:val="center"/>
          </w:tcPr>
          <w:p w14:paraId="43D99042">
            <w:pPr>
              <w:spacing w:after="0" w:line="276" w:lineRule="auto"/>
            </w:pPr>
            <w:r>
              <w:rPr>
                <w:rFonts w:ascii="Times New Roman" w:hAnsi="Times New Roman" w:eastAsia="宋体"/>
                <w:b w:val="0"/>
                <w:sz w:val="20"/>
              </w:rPr>
              <w:t>可能无法严格验证边缘波位成像几何</w:t>
            </w:r>
          </w:p>
        </w:tc>
        <w:tc>
          <w:tcPr>
            <w:tcW w:w="3402" w:type="dxa"/>
            <w:vAlign w:val="center"/>
          </w:tcPr>
          <w:p w14:paraId="0BAD4F21">
            <w:pPr>
              <w:spacing w:after="0" w:line="276" w:lineRule="auto"/>
            </w:pPr>
            <w:r>
              <w:rPr>
                <w:rFonts w:ascii="Times New Roman" w:hAnsi="Times New Roman" w:eastAsia="宋体"/>
                <w:b w:val="0"/>
                <w:sz w:val="20"/>
              </w:rPr>
              <w:t>第一阶段只用于工程链路、实时性和合作目标验证；宽角成像几何由阶段四验证</w:t>
            </w:r>
          </w:p>
        </w:tc>
      </w:tr>
      <w:tr w14:paraId="222A2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666EE422">
            <w:pPr>
              <w:spacing w:after="0" w:line="276" w:lineRule="auto"/>
            </w:pPr>
            <w:r>
              <w:rPr>
                <w:rFonts w:ascii="Times New Roman" w:hAnsi="Times New Roman" w:eastAsia="宋体"/>
                <w:b w:val="0"/>
                <w:sz w:val="20"/>
              </w:rPr>
              <w:t>镜像复制外侧波位仍存在背景重复</w:t>
            </w:r>
          </w:p>
        </w:tc>
        <w:tc>
          <w:tcPr>
            <w:tcW w:w="2835" w:type="dxa"/>
            <w:vAlign w:val="center"/>
          </w:tcPr>
          <w:p w14:paraId="1DE8C6B8">
            <w:pPr>
              <w:spacing w:after="0" w:line="276" w:lineRule="auto"/>
            </w:pPr>
            <w:r>
              <w:rPr>
                <w:rFonts w:ascii="Times New Roman" w:hAnsi="Times New Roman" w:eastAsia="宋体"/>
                <w:b w:val="0"/>
                <w:sz w:val="20"/>
              </w:rPr>
              <w:t>外侧波位背景纹理可能存在人为相关性</w:t>
            </w:r>
          </w:p>
        </w:tc>
        <w:tc>
          <w:tcPr>
            <w:tcW w:w="3402" w:type="dxa"/>
            <w:vAlign w:val="center"/>
          </w:tcPr>
          <w:p w14:paraId="2F590C07">
            <w:pPr>
              <w:spacing w:after="0" w:line="276" w:lineRule="auto"/>
            </w:pPr>
            <w:r>
              <w:rPr>
                <w:rFonts w:ascii="Times New Roman" w:hAnsi="Times New Roman" w:eastAsia="宋体"/>
                <w:b w:val="0"/>
                <w:sz w:val="20"/>
              </w:rPr>
              <w:t>保留 angle_source_map 和 old_to_new_beam_map；最终使用 DBS 散射点正演改善</w:t>
            </w:r>
          </w:p>
        </w:tc>
      </w:tr>
      <w:tr w14:paraId="698AB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51" w:type="dxa"/>
            <w:vAlign w:val="center"/>
          </w:tcPr>
          <w:p w14:paraId="1D8903B5">
            <w:pPr>
              <w:spacing w:after="0" w:line="276" w:lineRule="auto"/>
            </w:pPr>
            <w:r>
              <w:rPr>
                <w:rFonts w:ascii="Times New Roman" w:hAnsi="Times New Roman" w:eastAsia="宋体"/>
                <w:b w:val="0"/>
                <w:sz w:val="20"/>
              </w:rPr>
              <w:t>4096→11820 FFT resize 不是严格体制变换</w:t>
            </w:r>
          </w:p>
        </w:tc>
        <w:tc>
          <w:tcPr>
            <w:tcW w:w="2835" w:type="dxa"/>
            <w:vAlign w:val="center"/>
          </w:tcPr>
          <w:p w14:paraId="710890BC">
            <w:pPr>
              <w:spacing w:after="0" w:line="276" w:lineRule="auto"/>
            </w:pPr>
            <w:r>
              <w:rPr>
                <w:rFonts w:ascii="Times New Roman" w:hAnsi="Times New Roman" w:eastAsia="宋体"/>
                <w:b w:val="0"/>
                <w:sz w:val="20"/>
              </w:rPr>
              <w:t>可能影响背景脉压响应和距离向物理解释</w:t>
            </w:r>
          </w:p>
        </w:tc>
        <w:tc>
          <w:tcPr>
            <w:tcW w:w="3402" w:type="dxa"/>
            <w:vAlign w:val="center"/>
          </w:tcPr>
          <w:p w14:paraId="06CC579C">
            <w:pPr>
              <w:spacing w:after="0" w:line="276" w:lineRule="auto"/>
            </w:pPr>
            <w:r>
              <w:rPr>
                <w:rFonts w:ascii="Times New Roman" w:hAnsi="Times New Roman" w:eastAsia="宋体"/>
                <w:b w:val="0"/>
                <w:sz w:val="20"/>
              </w:rPr>
              <w:t>第一阶段接受工程近似；合作目标按新 130 μs LFM 注入；后续采用散射点新 LFM 正演</w:t>
            </w:r>
          </w:p>
        </w:tc>
      </w:tr>
      <w:tr w14:paraId="47B2D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0013E4E6">
            <w:pPr>
              <w:spacing w:after="0" w:line="276" w:lineRule="auto"/>
            </w:pPr>
            <w:r>
              <w:rPr>
                <w:rFonts w:ascii="Times New Roman" w:hAnsi="Times New Roman" w:eastAsia="宋体"/>
                <w:b w:val="0"/>
                <w:sz w:val="20"/>
              </w:rPr>
              <w:t>-59°~61° 与正式 -60°~60° 不完全一致</w:t>
            </w:r>
          </w:p>
        </w:tc>
        <w:tc>
          <w:tcPr>
            <w:tcW w:w="2835" w:type="dxa"/>
            <w:vAlign w:val="center"/>
          </w:tcPr>
          <w:p w14:paraId="0E177784">
            <w:pPr>
              <w:spacing w:after="0" w:line="276" w:lineRule="auto"/>
            </w:pPr>
            <w:r>
              <w:rPr>
                <w:rFonts w:ascii="Times New Roman" w:hAnsi="Times New Roman" w:eastAsia="宋体"/>
                <w:b w:val="0"/>
                <w:sz w:val="20"/>
              </w:rPr>
              <w:t>可能与正式系统扫描中心存在 1° 偏差</w:t>
            </w:r>
          </w:p>
        </w:tc>
        <w:tc>
          <w:tcPr>
            <w:tcW w:w="3402" w:type="dxa"/>
            <w:vAlign w:val="center"/>
          </w:tcPr>
          <w:p w14:paraId="135694BC">
            <w:pPr>
              <w:spacing w:after="0" w:line="276" w:lineRule="auto"/>
            </w:pPr>
            <w:r>
              <w:rPr>
                <w:rFonts w:ascii="Times New Roman" w:hAnsi="Times New Roman" w:eastAsia="宋体"/>
                <w:b w:val="0"/>
                <w:sz w:val="20"/>
              </w:rPr>
              <w:t>将 -59°~61° 作为调试参数，最终结果同时保留 -60°~60° 数据</w:t>
            </w:r>
          </w:p>
        </w:tc>
      </w:tr>
      <w:tr w14:paraId="0E71E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6DA5E374">
            <w:pPr>
              <w:spacing w:after="0" w:line="276" w:lineRule="auto"/>
            </w:pPr>
            <w:r>
              <w:rPr>
                <w:rFonts w:ascii="Times New Roman" w:hAnsi="Times New Roman" w:eastAsia="宋体"/>
                <w:b w:val="0"/>
                <w:sz w:val="20"/>
              </w:rPr>
              <w:t>归一化压缩会改变慢时间多普勒尺度</w:t>
            </w:r>
          </w:p>
        </w:tc>
        <w:tc>
          <w:tcPr>
            <w:tcW w:w="2835" w:type="dxa"/>
            <w:vAlign w:val="center"/>
          </w:tcPr>
          <w:p w14:paraId="18211EF8">
            <w:pPr>
              <w:spacing w:after="0" w:line="276" w:lineRule="auto"/>
            </w:pPr>
            <w:r>
              <w:rPr>
                <w:rFonts w:ascii="Times New Roman" w:hAnsi="Times New Roman" w:eastAsia="宋体"/>
                <w:b w:val="0"/>
                <w:sz w:val="20"/>
              </w:rPr>
              <w:t>已有目标速度可能出现偏差</w:t>
            </w:r>
          </w:p>
        </w:tc>
        <w:tc>
          <w:tcPr>
            <w:tcW w:w="3402" w:type="dxa"/>
            <w:vAlign w:val="center"/>
          </w:tcPr>
          <w:p w14:paraId="21902E34">
            <w:pPr>
              <w:spacing w:after="0" w:line="276" w:lineRule="auto"/>
            </w:pPr>
            <w:r>
              <w:rPr>
                <w:rFonts w:ascii="Times New Roman" w:hAnsi="Times New Roman" w:eastAsia="宋体"/>
                <w:b w:val="0"/>
                <w:sz w:val="20"/>
              </w:rPr>
              <w:t>主实验采用物理慢时间模式，归一化压缩仅作对照</w:t>
            </w:r>
          </w:p>
        </w:tc>
      </w:tr>
      <w:tr w14:paraId="52F0E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7A7AB49E">
            <w:pPr>
              <w:spacing w:after="0" w:line="276" w:lineRule="auto"/>
            </w:pPr>
            <w:r>
              <w:rPr>
                <w:rFonts w:ascii="Times New Roman" w:hAnsi="Times New Roman" w:eastAsia="宋体"/>
                <w:b w:val="0"/>
                <w:sz w:val="20"/>
              </w:rPr>
              <w:t>合作目标模型过强或过弱</w:t>
            </w:r>
          </w:p>
        </w:tc>
        <w:tc>
          <w:tcPr>
            <w:tcW w:w="2835" w:type="dxa"/>
            <w:vAlign w:val="center"/>
          </w:tcPr>
          <w:p w14:paraId="7E0464A9">
            <w:pPr>
              <w:spacing w:after="0" w:line="276" w:lineRule="auto"/>
            </w:pPr>
            <w:r>
              <w:rPr>
                <w:rFonts w:ascii="Times New Roman" w:hAnsi="Times New Roman" w:eastAsia="宋体"/>
                <w:b w:val="0"/>
                <w:sz w:val="20"/>
              </w:rPr>
              <w:t>过强无法体现算法难度，过弱不易排查问题</w:t>
            </w:r>
          </w:p>
        </w:tc>
        <w:tc>
          <w:tcPr>
            <w:tcW w:w="3402" w:type="dxa"/>
            <w:vAlign w:val="center"/>
          </w:tcPr>
          <w:p w14:paraId="6543A38F">
            <w:pPr>
              <w:spacing w:after="0" w:line="276" w:lineRule="auto"/>
            </w:pPr>
            <w:r>
              <w:rPr>
                <w:rFonts w:ascii="Times New Roman" w:hAnsi="Times New Roman" w:eastAsia="宋体"/>
                <w:b w:val="0"/>
                <w:sz w:val="20"/>
              </w:rPr>
              <w:t>先强目标跑通，再基于局部背景 RMS 进行 SNR 分级</w:t>
            </w:r>
          </w:p>
        </w:tc>
      </w:tr>
      <w:tr w14:paraId="6C366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51" w:type="dxa"/>
            <w:vAlign w:val="center"/>
          </w:tcPr>
          <w:p w14:paraId="1396E64F">
            <w:pPr>
              <w:spacing w:after="0" w:line="276" w:lineRule="auto"/>
            </w:pPr>
            <w:r>
              <w:rPr>
                <w:rFonts w:ascii="Times New Roman" w:hAnsi="Times New Roman" w:eastAsia="宋体"/>
                <w:b w:val="0"/>
                <w:sz w:val="20"/>
              </w:rPr>
              <w:t>双通道相位差模型简化</w:t>
            </w:r>
          </w:p>
        </w:tc>
        <w:tc>
          <w:tcPr>
            <w:tcW w:w="2835" w:type="dxa"/>
            <w:vAlign w:val="center"/>
          </w:tcPr>
          <w:p w14:paraId="3CE3523E">
            <w:pPr>
              <w:spacing w:after="0" w:line="276" w:lineRule="auto"/>
            </w:pPr>
            <w:r>
              <w:rPr>
                <w:rFonts w:ascii="Times New Roman" w:hAnsi="Times New Roman" w:eastAsia="宋体"/>
                <w:b w:val="0"/>
                <w:sz w:val="20"/>
              </w:rPr>
              <w:t>可能影响速度估计精度</w:t>
            </w:r>
          </w:p>
        </w:tc>
        <w:tc>
          <w:tcPr>
            <w:tcW w:w="3402" w:type="dxa"/>
            <w:vAlign w:val="center"/>
          </w:tcPr>
          <w:p w14:paraId="5ED3BDDC">
            <w:pPr>
              <w:spacing w:after="0" w:line="276" w:lineRule="auto"/>
            </w:pPr>
            <w:r>
              <w:rPr>
                <w:rFonts w:ascii="Times New Roman" w:hAnsi="Times New Roman" w:eastAsia="宋体"/>
                <w:b w:val="0"/>
                <w:sz w:val="20"/>
              </w:rPr>
              <w:t>先用近似模型验证链路，后续改为基线向量与视线方向点积</w:t>
            </w:r>
          </w:p>
        </w:tc>
      </w:tr>
      <w:tr w14:paraId="13C47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0879AF83">
            <w:pPr>
              <w:spacing w:after="0" w:line="276" w:lineRule="auto"/>
            </w:pPr>
            <w:r>
              <w:rPr>
                <w:rFonts w:ascii="Times New Roman" w:hAnsi="Times New Roman" w:eastAsia="宋体"/>
                <w:b w:val="0"/>
                <w:sz w:val="20"/>
              </w:rPr>
              <w:t>数据量较大，I/O 和处理时间压力高</w:t>
            </w:r>
          </w:p>
        </w:tc>
        <w:tc>
          <w:tcPr>
            <w:tcW w:w="2835" w:type="dxa"/>
            <w:vAlign w:val="center"/>
          </w:tcPr>
          <w:p w14:paraId="71E1AA18">
            <w:pPr>
              <w:spacing w:after="0" w:line="276" w:lineRule="auto"/>
            </w:pPr>
            <w:r>
              <w:rPr>
                <w:rFonts w:ascii="Times New Roman" w:hAnsi="Times New Roman" w:eastAsia="宋体"/>
                <w:b w:val="0"/>
                <w:sz w:val="20"/>
              </w:rPr>
              <w:t>影响实时性测试和开发效率</w:t>
            </w:r>
          </w:p>
        </w:tc>
        <w:tc>
          <w:tcPr>
            <w:tcW w:w="3402" w:type="dxa"/>
            <w:vAlign w:val="center"/>
          </w:tcPr>
          <w:p w14:paraId="4A6D2C6D">
            <w:pPr>
              <w:spacing w:after="0" w:line="276" w:lineRule="auto"/>
            </w:pPr>
            <w:r>
              <w:rPr>
                <w:rFonts w:ascii="Times New Roman" w:hAnsi="Times New Roman" w:eastAsia="宋体"/>
                <w:b w:val="0"/>
                <w:sz w:val="20"/>
              </w:rPr>
              <w:t>先单周期/少周期调试，再批量生成；记录 I/O 与计算耗时</w:t>
            </w:r>
          </w:p>
        </w:tc>
      </w:tr>
      <w:tr w14:paraId="4B7BB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563EB723">
            <w:pPr>
              <w:spacing w:after="0" w:line="276" w:lineRule="auto"/>
            </w:pPr>
            <w:r>
              <w:rPr>
                <w:rFonts w:ascii="Times New Roman" w:hAnsi="Times New Roman" w:eastAsia="宋体"/>
                <w:b w:val="0"/>
                <w:sz w:val="20"/>
              </w:rPr>
              <w:t>DBS 散射点正演计算量大</w:t>
            </w:r>
          </w:p>
        </w:tc>
        <w:tc>
          <w:tcPr>
            <w:tcW w:w="2835" w:type="dxa"/>
            <w:vAlign w:val="center"/>
          </w:tcPr>
          <w:p w14:paraId="009F09BF">
            <w:pPr>
              <w:spacing w:after="0" w:line="276" w:lineRule="auto"/>
            </w:pPr>
            <w:r>
              <w:rPr>
                <w:rFonts w:ascii="Times New Roman" w:hAnsi="Times New Roman" w:eastAsia="宋体"/>
                <w:b w:val="0"/>
                <w:sz w:val="20"/>
              </w:rPr>
              <w:t>正演时间过长</w:t>
            </w:r>
          </w:p>
        </w:tc>
        <w:tc>
          <w:tcPr>
            <w:tcW w:w="3402" w:type="dxa"/>
            <w:vAlign w:val="center"/>
          </w:tcPr>
          <w:p w14:paraId="662AFE18">
            <w:pPr>
              <w:spacing w:after="0" w:line="276" w:lineRule="auto"/>
            </w:pPr>
            <w:r>
              <w:rPr>
                <w:rFonts w:ascii="Times New Roman" w:hAnsi="Times New Roman" w:eastAsia="宋体"/>
                <w:b w:val="0"/>
                <w:sz w:val="20"/>
              </w:rPr>
              <w:t>采用强散射点筛选、网格抽样、分块处理和 GPU 加速策略</w:t>
            </w:r>
          </w:p>
        </w:tc>
      </w:tr>
    </w:tbl>
    <w:p w14:paraId="606ABE63"/>
    <w:p w14:paraId="12B3B2F9">
      <w:pPr>
        <w:pStyle w:val="3"/>
      </w:pPr>
      <w:r>
        <w:t>十一、预期最终成果</w:t>
      </w:r>
    </w:p>
    <w:p w14:paraId="1F9D227F">
      <w:pPr>
        <w:pStyle w:val="14"/>
        <w:numPr>
          <w:numId w:val="11"/>
        </w:numPr>
        <w:spacing w:after="60" w:line="288" w:lineRule="auto"/>
        <w:ind w:left="780" w:leftChars="0"/>
      </w:pPr>
      <w:r>
        <w:rPr>
          <w:rFonts w:ascii="Times New Roman" w:hAnsi="Times New Roman" w:eastAsia="宋体"/>
          <w:sz w:val="21"/>
        </w:rPr>
        <w:t>一套新系统参数下的工程验证型双通道 DDC 仿真数据，维度为 61 波位 × 130 脉冲 × 11820 点。</w:t>
      </w:r>
    </w:p>
    <w:p w14:paraId="21B3F525">
      <w:pPr>
        <w:pStyle w:val="14"/>
        <w:numPr>
          <w:numId w:val="11"/>
        </w:numPr>
        <w:spacing w:after="60" w:line="288" w:lineRule="auto"/>
        <w:ind w:left="780" w:leftChars="0"/>
      </w:pPr>
      <w:r>
        <w:rPr>
          <w:rFonts w:ascii="Times New Roman" w:hAnsi="Times New Roman" w:eastAsia="宋体"/>
          <w:sz w:val="21"/>
        </w:rPr>
        <w:t>一套合作目标验证数据集，包括单强目标、多目标、弱目标、交叉目标和间歇目标场景。</w:t>
      </w:r>
    </w:p>
    <w:p w14:paraId="3D0DEDCB">
      <w:pPr>
        <w:pStyle w:val="14"/>
        <w:numPr>
          <w:numId w:val="11"/>
        </w:numPr>
        <w:spacing w:after="60" w:line="288" w:lineRule="auto"/>
        <w:ind w:left="780" w:leftChars="0"/>
      </w:pPr>
      <w:r>
        <w:rPr>
          <w:rFonts w:ascii="Times New Roman" w:hAnsi="Times New Roman" w:eastAsia="宋体"/>
          <w:sz w:val="21"/>
        </w:rPr>
        <w:t>完整的 truth.csv 真值文件和检测/航迹评估结果。</w:t>
      </w:r>
    </w:p>
    <w:p w14:paraId="01DD11AC">
      <w:pPr>
        <w:pStyle w:val="14"/>
        <w:numPr>
          <w:numId w:val="11"/>
        </w:numPr>
        <w:spacing w:after="60" w:line="288" w:lineRule="auto"/>
        <w:ind w:left="780" w:leftChars="0"/>
      </w:pPr>
      <w:r>
        <w:rPr>
          <w:rFonts w:ascii="Times New Roman" w:hAnsi="Times New Roman" w:eastAsia="宋体"/>
          <w:sz w:val="21"/>
        </w:rPr>
        <w:t>算法实时性评估结果，包括单周期处理时间、处理占采集时间比例和是否满足 80% 实时性要求。</w:t>
      </w:r>
    </w:p>
    <w:p w14:paraId="2216456E">
      <w:pPr>
        <w:pStyle w:val="14"/>
        <w:numPr>
          <w:numId w:val="11"/>
        </w:numPr>
        <w:spacing w:after="60" w:line="288" w:lineRule="auto"/>
        <w:ind w:left="780" w:leftChars="0"/>
      </w:pPr>
      <w:r>
        <w:rPr>
          <w:rFonts w:ascii="Times New Roman" w:hAnsi="Times New Roman" w:eastAsia="宋体"/>
          <w:sz w:val="21"/>
        </w:rPr>
        <w:t>一套基于 DBS 图像反投影散射点的新几何正演数据生成方法，用于后续验证宽角成像和拼接质量。</w:t>
      </w:r>
    </w:p>
    <w:p w14:paraId="50A30F9E">
      <w:pPr>
        <w:pStyle w:val="14"/>
        <w:numPr>
          <w:numId w:val="11"/>
        </w:numPr>
        <w:spacing w:after="60" w:line="288" w:lineRule="auto"/>
        <w:ind w:left="780" w:leftChars="0"/>
      </w:pPr>
      <w:r>
        <w:rPr>
          <w:rFonts w:ascii="Times New Roman" w:hAnsi="Times New Roman" w:eastAsia="宋体"/>
          <w:sz w:val="21"/>
        </w:rPr>
        <w:t>阶段性报告和汇报材料，说明方法、过程、结果、局限性和下一步真实数据采集验证思路。</w:t>
      </w:r>
    </w:p>
    <w:p w14:paraId="292F07A6">
      <w:pPr>
        <w:spacing w:after="100" w:line="300" w:lineRule="auto"/>
        <w:ind w:firstLine="420"/>
      </w:pPr>
      <w:r>
        <w:rPr>
          <w:rFonts w:ascii="Times New Roman" w:hAnsi="Times New Roman" w:eastAsia="宋体"/>
          <w:b w:val="0"/>
          <w:sz w:val="21"/>
        </w:rPr>
        <w:t>总体上，本方案先解决“数据能生成、算法能读取、合作目标能验证”的工程问题，再逐步解决“宽角背景几何是否真实、成像拼接是否可靠”的物理一致性问题。这样的推进方式风险较低、每个阶段都有明确的成果，也便于阶段性汇报。</w:t>
      </w:r>
    </w:p>
    <w:sectPr>
      <w:pgSz w:w="12240" w:h="15840"/>
      <w:pgMar w:top="1247" w:right="1417" w:bottom="1134" w:left="1417" w:header="680"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0"/>
    <w:family w:val="auto"/>
    <w:pitch w:val="default"/>
    <w:sig w:usb0="00000000" w:usb1="00000000" w:usb2="00000000" w:usb3="00000000" w:csb0="00000000" w:csb1="00000000"/>
  </w:font>
  <w:font w:name="Wingdings">
    <w:altName w:val="EB Garamond 12"/>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EB Garamond 12"/>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文泉驿微米黑">
    <w:panose1 w:val="020B0606030804020204"/>
    <w:charset w:val="86"/>
    <w:family w:val="auto"/>
    <w:pitch w:val="default"/>
    <w:sig w:usb0="E10002EF" w:usb1="6BDFFCFB" w:usb2="00800036" w:usb3="00000000" w:csb0="603E019F" w:csb1="DFD70000"/>
  </w:font>
  <w:font w:name="Cambria">
    <w:altName w:val="Caladea"/>
    <w:panose1 w:val="02040503050406030204"/>
    <w:charset w:val="00"/>
    <w:family w:val="auto"/>
    <w:pitch w:val="default"/>
    <w:sig w:usb0="00000000" w:usb1="00000000" w:usb2="00000000" w:usb3="00000000" w:csb0="0000019F" w:csb1="00000000"/>
  </w:font>
  <w:font w:name="Caladea">
    <w:panose1 w:val="02040503050406030204"/>
    <w:charset w:val="00"/>
    <w:family w:val="auto"/>
    <w:pitch w:val="default"/>
    <w:sig w:usb0="00000007" w:usb1="00000000" w:usb2="00000000" w:usb3="00000000" w:csb0="20000093" w:csb1="00000000"/>
  </w:font>
  <w:font w:name="ＭＳ 明朝">
    <w:altName w:val="Comfortaa Light"/>
    <w:panose1 w:val="00000000000000000000"/>
    <w:charset w:val="80"/>
    <w:family w:val="roman"/>
    <w:pitch w:val="default"/>
    <w:sig w:usb0="00000000" w:usb1="00000000" w:usb2="00000010" w:usb3="00000000" w:csb0="00020000" w:csb1="00000000"/>
  </w:font>
  <w:font w:name="ＭＳ 明朝">
    <w:altName w:val="Comfortaa Light"/>
    <w:panose1 w:val="00000000000000000000"/>
    <w:charset w:val="86"/>
    <w:family w:val="auto"/>
    <w:pitch w:val="default"/>
    <w:sig w:usb0="00000000" w:usb1="00000000" w:usb2="00000000" w:usb3="00000000" w:csb0="00000000" w:csb1="00000000"/>
  </w:font>
  <w:font w:name="Comfortaa Light">
    <w:panose1 w:val="00000400000000000000"/>
    <w:charset w:val="00"/>
    <w:family w:val="auto"/>
    <w:pitch w:val="default"/>
    <w:sig w:usb0="20000287" w:usb1="00000002" w:usb2="00000000" w:usb3="00000000" w:csb0="2000019F" w:csb1="00000000"/>
  </w:font>
  <w:font w:name="ＭＳ ゴシック">
    <w:altName w:val="Comfortaa Light"/>
    <w:panose1 w:val="00000000000000000000"/>
    <w:charset w:val="80"/>
    <w:family w:val="modern"/>
    <w:pitch w:val="default"/>
    <w:sig w:usb0="00000000" w:usb1="00000000" w:usb2="00000010" w:usb3="00000000" w:csb0="00020000" w:csb1="00000000"/>
  </w:font>
  <w:font w:name="ＭＳ 明朝">
    <w:altName w:val="Comfortaa Light"/>
    <w:panose1 w:val="00000000000000000000"/>
    <w:charset w:val="00"/>
    <w:family w:val="auto"/>
    <w:pitch w:val="default"/>
    <w:sig w:usb0="00000000" w:usb1="00000000" w:usb2="00000000" w:usb3="00000000" w:csb0="00000000" w:csb1="00000000"/>
  </w:font>
  <w:font w:name="EB Garamond 12">
    <w:panose1 w:val="02020502060206020403"/>
    <w:charset w:val="00"/>
    <w:family w:val="auto"/>
    <w:pitch w:val="default"/>
    <w:sig w:usb0="E00002FF" w:usb1="5240E4FF" w:usb2="00000028" w:usb3="00000000" w:csb0="0000019F" w:csb1="00000000"/>
  </w:font>
  <w:font w:name="Courier">
    <w:panose1 w:val="00000000000000000000"/>
    <w:charset w:val="00"/>
    <w:family w:val="auto"/>
    <w:pitch w:val="default"/>
    <w:sig w:usb0="00000000" w:usb1="00000000" w:usb2="00000000" w:usb3="00000000" w:csb0="00000000" w:csb1="00000000"/>
  </w:font>
  <w:font w:name="黑体">
    <w:altName w:val="文泉驿微米黑"/>
    <w:panose1 w:val="00000000000000000000"/>
    <w:charset w:val="00"/>
    <w:family w:val="auto"/>
    <w:pitch w:val="default"/>
    <w:sig w:usb0="00000000" w:usb1="00000000" w:usb2="00000000" w:usb3="00000000" w:csb0="00000000" w:csb1="00000000"/>
  </w:font>
  <w:font w:name="ＭＳ ゴシック">
    <w:altName w:val="Comfortaa Light"/>
    <w:panose1 w:val="00000000000000000000"/>
    <w:charset w:val="00"/>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Noto Serif CJK SC">
    <w:panose1 w:val="02020400000000000000"/>
    <w:charset w:val="86"/>
    <w:family w:val="auto"/>
    <w:pitch w:val="default"/>
    <w:sig w:usb0="30000083" w:usb1="2BDF3C10" w:usb2="00000016" w:usb3="00000000" w:csb0="602E01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DE9BD6"/>
    <w:multiLevelType w:val="singleLevel"/>
    <w:tmpl w:val="BFDE9BD6"/>
    <w:lvl w:ilvl="0" w:tentative="0">
      <w:start w:val="1"/>
      <w:numFmt w:val="decimal"/>
      <w:lvlText w:val="%1."/>
      <w:lvlJc w:val="left"/>
      <w:pPr>
        <w:tabs>
          <w:tab w:val="left" w:pos="420"/>
        </w:tabs>
        <w:ind w:left="845" w:hanging="425"/>
      </w:pPr>
      <w:rPr>
        <w:rFonts w:hint="default"/>
      </w:rPr>
    </w:lvl>
  </w:abstractNum>
  <w:abstractNum w:abstractNumId="1">
    <w:nsid w:val="C9FE4818"/>
    <w:multiLevelType w:val="singleLevel"/>
    <w:tmpl w:val="C9FE4818"/>
    <w:lvl w:ilvl="0" w:tentative="0">
      <w:start w:val="1"/>
      <w:numFmt w:val="decimal"/>
      <w:lvlText w:val="%1."/>
      <w:lvlJc w:val="left"/>
      <w:pPr>
        <w:tabs>
          <w:tab w:val="left" w:pos="420"/>
        </w:tabs>
        <w:ind w:left="845" w:hanging="425"/>
      </w:pPr>
      <w:rPr>
        <w:rFonts w:hint="default"/>
      </w:rPr>
    </w:lvl>
  </w:abstractNum>
  <w:abstractNum w:abstractNumId="2">
    <w:nsid w:val="EEE5EABD"/>
    <w:multiLevelType w:val="singleLevel"/>
    <w:tmpl w:val="EEE5EABD"/>
    <w:lvl w:ilvl="0" w:tentative="0">
      <w:start w:val="1"/>
      <w:numFmt w:val="decimal"/>
      <w:lvlText w:val="%1."/>
      <w:lvlJc w:val="left"/>
      <w:pPr>
        <w:tabs>
          <w:tab w:val="left" w:pos="420"/>
        </w:tabs>
        <w:ind w:left="845" w:hanging="425"/>
      </w:pPr>
      <w:rPr>
        <w:rFonts w:hint="default"/>
      </w:rPr>
    </w:lvl>
  </w:abstractNum>
  <w:abstractNum w:abstractNumId="3">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14"/>
      <w:lvlText w:val="%1."/>
      <w:lvlJc w:val="left"/>
      <w:pPr>
        <w:tabs>
          <w:tab w:val="left" w:pos="780"/>
        </w:tabs>
        <w:ind w:left="780" w:hanging="360"/>
      </w:pPr>
    </w:lvl>
  </w:abstractNum>
  <w:abstractNum w:abstractNumId="8">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9">
    <w:nsid w:val="7CBC68AF"/>
    <w:multiLevelType w:val="singleLevel"/>
    <w:tmpl w:val="7CBC68AF"/>
    <w:lvl w:ilvl="0" w:tentative="0">
      <w:start w:val="1"/>
      <w:numFmt w:val="decimal"/>
      <w:lvlText w:val="%1."/>
      <w:lvlJc w:val="left"/>
      <w:pPr>
        <w:tabs>
          <w:tab w:val="left" w:pos="420"/>
        </w:tabs>
        <w:ind w:left="845" w:hanging="425"/>
      </w:pPr>
      <w:rPr>
        <w:rFonts w:hint="default"/>
      </w:rPr>
    </w:lvl>
  </w:abstractNum>
  <w:num w:numId="1">
    <w:abstractNumId w:val="4"/>
  </w:num>
  <w:num w:numId="2">
    <w:abstractNumId w:val="7"/>
  </w:num>
  <w:num w:numId="3">
    <w:abstractNumId w:val="8"/>
  </w:num>
  <w:num w:numId="4">
    <w:abstractNumId w:val="5"/>
  </w:num>
  <w:num w:numId="5">
    <w:abstractNumId w:val="3"/>
  </w:num>
  <w:num w:numId="6">
    <w:abstractNumId w:val="6"/>
  </w:num>
  <w:num w:numId="7">
    <w:abstractNumId w:val="0"/>
  </w:num>
  <w:num w:numId="8">
    <w:abstractNumId w:val="2"/>
  </w:num>
  <w:num w:numId="9">
    <w:abstractNumId w:val="9"/>
  </w:num>
  <w:num w:numId="10">
    <w:abstractNumId w:val="1"/>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FF157C"/>
    <w:rsid w:val="31F7269D"/>
    <w:rsid w:val="5B3E8128"/>
    <w:rsid w:val="694FACE8"/>
    <w:rsid w:val="7FF627F8"/>
    <w:rsid w:val="DEB9E111"/>
    <w:rsid w:val="E3FB1B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200" w:after="120" w:line="288" w:lineRule="auto"/>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120" w:line="288" w:lineRule="auto"/>
      <w:outlineLvl w:val="1"/>
    </w:pPr>
    <w:rPr>
      <w:rFonts w:asciiTheme="majorHAnsi" w:hAnsiTheme="majorHAnsi" w:eastAsiaTheme="majorEastAsia" w:cstheme="majorBidi"/>
      <w:b/>
      <w:bCs/>
      <w:color w:val="1F4E79"/>
      <w:sz w:val="26"/>
      <w:szCs w:val="26"/>
    </w:rPr>
  </w:style>
  <w:style w:type="paragraph" w:styleId="5">
    <w:name w:val="heading 3"/>
    <w:basedOn w:val="1"/>
    <w:next w:val="1"/>
    <w:link w:val="140"/>
    <w:unhideWhenUsed/>
    <w:qFormat/>
    <w:uiPriority w:val="9"/>
    <w:pPr>
      <w:keepNext/>
      <w:keepLines/>
      <w:spacing w:before="200" w:after="120" w:line="288" w:lineRule="auto"/>
      <w:outlineLvl w:val="2"/>
    </w:pPr>
    <w:rPr>
      <w:rFonts w:asciiTheme="majorHAnsi" w:hAnsiTheme="majorHAnsi" w:eastAsiaTheme="majorEastAsia" w:cstheme="majorBidi"/>
      <w:b/>
      <w:bCs/>
      <w:color w:val="1F4E79"/>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tabs>
        <w:tab w:val="left" w:pos="360"/>
        <w:tab w:val="clear" w:pos="780"/>
      </w:tabs>
      <w:contextualSpacing/>
    </w:pPr>
    <w:rPr>
      <w:rFonts w:ascii="Times New Roman" w:hAnsi="Times New Roman" w:eastAsia="宋体"/>
      <w:sz w:val="21"/>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Times New Roman" w:hAnsi="Times New Roman" w:eastAsia="宋体"/>
      <w:sz w:val="21"/>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5</TotalTime>
  <ScaleCrop>false</ScaleCrop>
  <LinksUpToDate>false</LinksUpToDate>
  <CharactersWithSpaces>0</CharactersWithSpaces>
  <Application>WPS Office_12.1.2.26885_F1E327BC-269C-435d-A152-05C5408002CA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shy</cp:lastModifiedBy>
  <dcterms:modified xsi:type="dcterms:W3CDTF">2026-06-29T14:24:06Z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2052-12.1.2.26885</vt:lpwstr>
  </property>
  <property fmtid="{D5CDD505-2E9C-101B-9397-08002B2CF9AE}" pid="3" name="ICV">
    <vt:lpwstr>13FDDF0AF4A3064541EB416A621CFFB7_42</vt:lpwstr>
  </property>
</Properties>
</file>