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1F5AA6"/>
          <w:sz w:val="52"/>
          <w:szCs w:val="52"/>
        </w:rPr>
        <w:t xml:space="preserve">技术需求规格书</w:t>
      </w:r>
    </w:p>
    <w:p>
      <w:pPr>
        <w:spacing w:after="300"/>
      </w:pPr>
      <w:r>
        <w:rPr>
          <w:color w:val="516A8C"/>
          <w:sz w:val="28"/>
          <w:szCs w:val="28"/>
        </w:rPr>
        <w:t xml:space="preserve">供应商协同采购一体化平台（SRM · STC · PTP）</w:t>
      </w:r>
    </w:p>
    <w:tbl>
      <w:tblPr>
        <w:tblW w:type="pct" w:w="100%"/>
        <w:tblBorders>
          <w:top w:val="single" w:color="D3DCE6" w:sz="4"/>
          <w:left w:val="single" w:color="D3DCE6" w:sz="4"/>
          <w:bottom w:val="single" w:color="D3DCE6" w:sz="4"/>
          <w:right w:val="single" w:color="D3DCE6" w:sz="4"/>
          <w:insideH w:val="single" w:color="D3DCE6" w:sz="4"/>
          <w:insideV w:val="single" w:color="D3DCE6" w:sz="4"/>
        </w:tblBorders>
      </w:tblPr>
      <w:tblGrid>
        <w:gridCol w:w="2200"/>
        <w:gridCol w:w="6800"/>
      </w:tblGrid>
      <w:tr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文档版本</w:t>
            </w:r>
          </w:p>
        </w:tc>
        <w:tc>
          <w:tcPr>
            <w:tcW w:type="pct" w:w="8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编写日期</w:t>
            </w:r>
          </w:p>
        </w:tc>
        <w:tc>
          <w:tcPr>
            <w:tcW w:type="pct" w:w="8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2026-09-15</w:t>
            </w:r>
          </w:p>
        </w:tc>
      </w:tr>
      <w:tr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文档状态</w:t>
            </w:r>
          </w:p>
        </w:tc>
        <w:tc>
          <w:tcPr>
            <w:tcW w:type="pct" w:w="8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草拟稿（待业务方评审确认）</w:t>
            </w:r>
          </w:p>
        </w:tc>
      </w:tr>
      <w:tr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适用范围</w:t>
            </w:r>
          </w:p>
        </w:tc>
        <w:tc>
          <w:tcPr>
            <w:tcW w:type="pct" w:w="8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供应商关系管理（SRM）、寻源到合同（STC）、采购执行与采购到付款（PTP）全流程，及与SAP / BTS / TMS / BMS / ECS的系统集成</w:t>
            </w:r>
          </w:p>
        </w:tc>
      </w:tr>
      <w:tr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资料来源</w:t>
            </w:r>
          </w:p>
        </w:tc>
        <w:tc>
          <w:tcPr>
            <w:tcW w:type="pct" w:w="8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业务架构手写草稿（业务场景梳理）、功能预设手写草稿；并参照常规供应商招投标与S2P（Source-to-Pay）标准流程补充完善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一、项目背景与目标</w:t>
      </w:r>
    </w:p>
    <w:p>
      <w:pPr>
        <w:spacing w:after="140" w:line="300"/>
      </w:pPr>
      <w:r>
        <w:rPr>
          <w:sz w:val="21"/>
          <w:szCs w:val="21"/>
        </w:rPr>
        <w:t xml:space="preserve">随着企业采购业务规模扩大，原有分散的供应商管理、寻源比价与采购执行方式已难以支撑规范化、透明化与数字化的管理要求。本项目旨在构建一套端到端的“供应商协同采购一体化平台”，覆盖供应商全生命周期管理（SRM）、寻源到合同（STC）、采购执行（PR-PO）以及采购到付款（PTP）四大阶段，实现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统一供应商准入、认证、绩效与冻结管理，形成闭环治理；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规范寻源与招投标流程，满足合规与审计要求，同时提升议价效率；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打通“需求—订单—收货—对账—付款”全链路，减少人工干预与信息断点；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与SAP、税务（BTS）、资金（TMS）、预算（BMS）、费用报销（ECS）等外围系统集成，实现数据一致与流程联动；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面向企业端与供应商端提供协同门户，提升双方协作效率与体验。</w:t>
      </w:r>
    </w:p>
    <w:p>
      <w:pPr>
        <w:pBdr>
          <w:left w:val="single" w:color="1F5AA6" w:sz="18" w:space="8"/>
        </w:pBdr>
        <w:spacing w:after="160" w:before="60"/>
      </w:pPr>
      <w:r>
        <w:rPr>
          <w:i/>
          <w:iCs/>
          <w:color w:val="516A8C"/>
          <w:sz w:val="20"/>
          <w:szCs w:val="20"/>
        </w:rPr>
        <w:t xml:space="preserve">本规格书基于现有手写业务架构草稿整理形成。草稿中部分环节表述较为模糊（如招投标具体动作、三单匹配规则、无PO请款场景等），已参照常规供应商招投标与S2P标准流程进行合理补充，具体命名、字段与审批路径请在需求评审阶段与业务方逐项确认（见第九章“待确认事项”）。</w:t>
      </w:r>
    </w:p>
    <w:p>
      <w:pPr>
        <w:pStyle w:val="Heading1"/>
        <w:spacing w:after="160" w:before="360"/>
      </w:pPr>
      <w:r>
        <w:t xml:space="preserve">二、名词术语与系统集成对象说明</w:t>
      </w:r>
    </w:p>
    <w:p>
      <w:pPr>
        <w:pStyle w:val="Heading2"/>
        <w:spacing w:after="120" w:before="280"/>
      </w:pPr>
      <w:r>
        <w:t xml:space="preserve">2.1 核心业务模块</w:t>
      </w:r>
    </w:p>
    <w:tbl>
      <w:tblPr>
        <w:tblW w:type="pct" w:w="100%"/>
        <w:tblBorders>
          <w:top w:val="single" w:color="D3DCE6" w:sz="4"/>
          <w:left w:val="single" w:color="D3DCE6" w:sz="4"/>
          <w:bottom w:val="single" w:color="D3DCE6" w:sz="4"/>
          <w:right w:val="single" w:color="D3DCE6" w:sz="4"/>
          <w:insideH w:val="single" w:color="D3DCE6" w:sz="4"/>
          <w:insideV w:val="single" w:color="D3DCE6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pct" w:w="18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pct" w:w="82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SRM</w:t>
            </w:r>
          </w:p>
        </w:tc>
        <w:tc>
          <w:tcPr>
            <w:tcW w:type="pct" w:w="8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Supplier Relationship Management，供应商关系管理：负责供应商注册、认证、主数据、品类、绩效、冻结解冻等全生命周期管理。</w:t>
            </w:r>
          </w:p>
        </w:tc>
      </w:tr>
      <w:tr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STC</w:t>
            </w:r>
          </w:p>
        </w:tc>
        <w:tc>
          <w:tcPr>
            <w:tcW w:type="pct" w:w="8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Sourcing to Contract，寻源到合同：负责寻源立项、招投标、询议价、供应商选择定标、合同、价目表、框架协议（BPA）等寻源与定价管理。</w:t>
            </w:r>
          </w:p>
        </w:tc>
      </w:tr>
      <w:tr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PTP</w:t>
            </w:r>
          </w:p>
        </w:tc>
        <w:tc>
          <w:tcPr>
            <w:tcW w:type="pct" w:w="8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（本文档特指）Purchase Requisition to Payment，采购申请到付款：负责采购需求、取价、审批、订单、协同、收货、验收、对账、发票、结算、请款等采购执行与履约交付环节。</w:t>
            </w:r>
          </w:p>
        </w:tc>
      </w:tr>
      <w:tr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BPA</w:t>
            </w:r>
          </w:p>
        </w:tc>
        <w:tc>
          <w:tcPr>
            <w:tcW w:type="pct" w:w="8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Blanket Purchase Agreement，框架协议 / 一揽子采购协议：约定额度、单价与有效期，简化重复性采购下单流程。</w:t>
            </w:r>
          </w:p>
        </w:tc>
      </w:tr>
      <w:tr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PR / PO</w:t>
            </w:r>
          </w:p>
        </w:tc>
        <w:tc>
          <w:tcPr>
            <w:tcW w:type="pct" w:w="8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Purchase Requisition（采购申请）/ Purchase Order（采购订单）。</w:t>
            </w:r>
          </w:p>
        </w:tc>
      </w:tr>
      <w:tr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GR</w:t>
            </w:r>
          </w:p>
        </w:tc>
        <w:tc>
          <w:tcPr>
            <w:tcW w:type="pct" w:w="8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Goods Receipt，收货单。</w:t>
            </w:r>
          </w:p>
        </w:tc>
      </w:tr>
      <w:tr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SR配额</w:t>
            </w:r>
          </w:p>
        </w:tc>
        <w:tc>
          <w:tcPr>
            <w:tcW w:type="pct" w:w="8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同品类多供应商的采购份额分配（Supplier Ratio），用于分单策略。</w:t>
            </w:r>
          </w:p>
        </w:tc>
      </w:tr>
      <w:tr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MP</w:t>
            </w:r>
          </w:p>
        </w:tc>
        <w:tc>
          <w:tcPr>
            <w:tcW w:type="pct" w:w="8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移动采购申请入口，供需求方通过移动端提交采购申请（PR）。</w:t>
            </w:r>
          </w:p>
        </w:tc>
      </w:tr>
    </w:tbl>
    <w:p>
      <w:pPr>
        <w:pStyle w:val="Heading2"/>
        <w:spacing w:after="120" w:before="280"/>
      </w:pPr>
      <w:r>
        <w:t xml:space="preserve">2.2 外围集成系统一览</w:t>
      </w:r>
    </w:p>
    <w:tbl>
      <w:tblPr>
        <w:tblW w:type="pct" w:w="100%"/>
        <w:tblBorders>
          <w:top w:val="single" w:color="D3DCE6" w:sz="4"/>
          <w:left w:val="single" w:color="D3DCE6" w:sz="4"/>
          <w:bottom w:val="single" w:color="D3DCE6" w:sz="4"/>
          <w:right w:val="single" w:color="D3DCE6" w:sz="4"/>
          <w:insideH w:val="single" w:color="D3DCE6" w:sz="4"/>
          <w:insideV w:val="single" w:color="D3DCE6" w:sz="4"/>
        </w:tblBorders>
      </w:tblPr>
      <w:tblGrid>
        <w:gridCol w:w="1600"/>
        <w:gridCol w:w="3200"/>
        <w:gridCol w:w="4200"/>
      </w:tblGrid>
      <w:tr>
        <w:trPr>
          <w:tblHeader/>
        </w:trPr>
        <w:tc>
          <w:tcPr>
            <w:tcW w:type="pct" w:w="18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系统</w:t>
            </w:r>
          </w:p>
        </w:tc>
        <w:tc>
          <w:tcPr>
            <w:tcW w:type="pct" w:w="36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全称</w:t>
            </w:r>
          </w:p>
        </w:tc>
        <w:tc>
          <w:tcPr>
            <w:tcW w:type="pct" w:w="46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核心职责</w:t>
            </w:r>
          </w:p>
        </w:tc>
      </w:tr>
      <w:tr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SAP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SAP ERP</w:t>
            </w:r>
          </w:p>
        </w:tc>
        <w:tc>
          <w:tcPr>
            <w:tcW w:type="pct" w:w="4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财务总账、供应商 / 物料主数据、库存记账、应付账款核算。</w:t>
            </w:r>
          </w:p>
        </w:tc>
      </w:tr>
      <w:tr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BTS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BTS 税务系统</w:t>
            </w:r>
          </w:p>
        </w:tc>
        <w:tc>
          <w:tcPr>
            <w:tcW w:type="pct" w:w="4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发票查验、进项税额校验、税务合规判断。</w:t>
            </w:r>
          </w:p>
        </w:tc>
      </w:tr>
      <w:tr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TMS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TMS 资金系统</w:t>
            </w:r>
          </w:p>
        </w:tc>
        <w:tc>
          <w:tcPr>
            <w:tcW w:type="pct" w:w="4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付款排期、支付执行、银企直联、账户余额管理。</w:t>
            </w:r>
          </w:p>
        </w:tc>
      </w:tr>
      <w:tr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BMS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BMS 预算管理系统</w:t>
            </w:r>
          </w:p>
        </w:tc>
        <w:tc>
          <w:tcPr>
            <w:tcW w:type="pct" w:w="4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采购申请预算占用校验、付款阶段预算核销、超预算预警。</w:t>
            </w:r>
          </w:p>
        </w:tc>
      </w:tr>
      <w:tr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ECS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ECS 费用报销系统</w:t>
            </w:r>
          </w:p>
        </w:tc>
        <w:tc>
          <w:tcPr>
            <w:tcW w:type="pct" w:w="4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无PO场景费用报销，与请款申请复用审批与额度控制。</w:t>
            </w:r>
          </w:p>
        </w:tc>
      </w:tr>
    </w:tbl>
    <w:p>
      <w:pPr>
        <w:pStyle w:val="Heading1"/>
        <w:spacing w:after="160" w:before="360"/>
      </w:pPr>
      <w:r>
        <w:t xml:space="preserve">三、总体业务架构</w:t>
      </w:r>
    </w:p>
    <w:p>
      <w:pPr>
        <w:spacing w:after="140" w:line="300"/>
      </w:pPr>
      <w:r>
        <w:rPr>
          <w:sz w:val="21"/>
          <w:szCs w:val="21"/>
        </w:rPr>
        <w:t xml:space="preserve">参照功能预设草稿，平台业务架构自上而下分为四层（L1-L4），从“寻源到合同”“采购到付款”两条主线贯穿：</w:t>
      </w:r>
    </w:p>
    <w:p>
      <w:pPr>
        <w:pStyle w:val="Heading2"/>
        <w:spacing w:after="120" w:before="280"/>
      </w:pPr>
      <w:r>
        <w:t xml:space="preserve">3.1 分层架构（L1-L4）</w:t>
      </w:r>
    </w:p>
    <w:p>
      <w:pPr>
        <w:pStyle w:val="Heading3"/>
        <w:spacing w:after="100" w:before="200"/>
      </w:pPr>
      <w:r>
        <w:t xml:space="preserve">L1 · 管理采购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平台顶层能力：统筹供应商管理（SRM）、寻源与合同管理（STC）、采购执行（PTP）、采购运营与权限 / 品类等横向能力。</w:t>
      </w:r>
    </w:p>
    <w:p>
      <w:pPr>
        <w:pStyle w:val="Heading3"/>
        <w:spacing w:after="100" w:before="200"/>
      </w:pPr>
      <w:r>
        <w:t xml:space="preserve">L2 · 四大业务域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管理 SRM：供应商全生命周期管理域。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管理 STC：寻源立项、招投标、合同管理域。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采购申请 → 采购任务：需求发起与任务化处理域（PR）。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管理 PTP：采购门户PO、采购收货、采购运营域。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管理采购运营：权限管理、品类管理等横向支撑能力。</w:t>
      </w:r>
    </w:p>
    <w:p>
      <w:pPr>
        <w:pStyle w:val="Heading3"/>
        <w:spacing w:after="100" w:before="200"/>
      </w:pPr>
      <w:r>
        <w:t xml:space="preserve">L3 · 业务子域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管理供应商：供应商选择、采购合同。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寻源立项管理、合同管理、招投标管理、询议价管理。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中：采购申请及PR、采购门户PO、采购收货、管理验收→采购验收。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采购结算→对账开票、应付结算；请款→请款管理；权限管理、品类管理。</w:t>
      </w:r>
    </w:p>
    <w:p>
      <w:pPr>
        <w:pStyle w:val="Heading3"/>
        <w:spacing w:after="100" w:before="200"/>
      </w:pPr>
      <w:r>
        <w:t xml:space="preserve">L4 · 具体功能点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供应商认证、供应商日常、供应商绩效、BPA管理、SR配额管理。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供应商门户（4.2）：门户首页（注册登录、招投标公告、中标公告、系统公告）。</w:t>
      </w:r>
    </w:p>
    <w:p>
      <w:pPr>
        <w:pStyle w:val="Heading2"/>
        <w:spacing w:after="120" w:before="280"/>
      </w:pPr>
      <w:r>
        <w:t xml:space="preserve">3.2 应用架构（部分蓝图）</w:t>
      </w:r>
    </w:p>
    <w:p>
      <w:pPr>
        <w:spacing w:after="140" w:line="300"/>
      </w:pPr>
      <w:r>
        <w:rPr>
          <w:sz w:val="21"/>
          <w:szCs w:val="21"/>
        </w:rPr>
        <w:t xml:space="preserve">企业端用户协同场景：认证协同、寻源协同、采购协同、供应商用户管理、质量文档协同。功能域包括：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供应商认证 / 供应商日常 / 供应商绩效（供应商管理域）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寻源清单、分额管理、优惠管理、招标（采购管理域）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价格管理：取价方案、采购价目表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供应商选择：寻源启动、招标管理、价格谈判、线下询价、BPA管理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采购需求管理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采购协同：采购门单、PO类型、计划、订单变更、质量整改、采购收货、对账中心、入库退货、采购验收、发票签收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结算请款：订单预付、发票签收、应付核销、付款申请、请款额度控制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品类管理、合同管理（横向 / 基础能力）</w:t>
      </w:r>
    </w:p>
    <w:p>
      <w:pPr>
        <w:pBdr>
          <w:left w:val="single" w:color="1F5AA6" w:sz="18" w:space="8"/>
        </w:pBdr>
        <w:spacing w:after="160" w:before="60"/>
      </w:pPr>
      <w:r>
        <w:rPr>
          <w:i/>
          <w:iCs/>
          <w:color w:val="516A8C"/>
          <w:sz w:val="20"/>
          <w:szCs w:val="20"/>
        </w:rPr>
        <w:t xml:space="preserve">以上L1-L4及应用架构内容为草稿原始记录的整理复原，具体功能边界与命名需在详细设计阶段与各业务域负责人逐项对齐。</w:t>
      </w:r>
    </w:p>
    <w:p>
      <w:r>
        <w:br w:type="page"/>
      </w:r>
    </w:p>
    <w:p>
      <w:pPr>
        <w:pStyle w:val="Heading1"/>
        <w:spacing w:after="160" w:before="360"/>
      </w:pPr>
      <w:r>
        <w:t xml:space="preserve">四、端到端业务流程与详细功能需求</w:t>
      </w:r>
    </w:p>
    <w:p>
      <w:pPr>
        <w:spacing w:after="140" w:line="300"/>
      </w:pPr>
      <w:r>
        <w:rPr>
          <w:sz w:val="21"/>
          <w:szCs w:val="21"/>
        </w:rPr>
        <w:t xml:space="preserve">全流程遵循“供应商准入（SRM）→ 寻源定价（STC）→ 采购执行（PR-PO）→ 履约与付款（PTP）”的主线，并通过供应商绩效数据回流形成管理闭环。各环节功能说明、上下游关联与外围系统集成关系如下表：</w:t>
      </w:r>
    </w:p>
    <w:p>
      <w:pPr>
        <w:pStyle w:val="Heading2"/>
        <w:spacing w:after="120" w:before="280"/>
      </w:pPr>
      <w:r>
        <w:t xml:space="preserve">4.1 SRM · 供应商关系管理</w:t>
      </w:r>
    </w:p>
    <w:tbl>
      <w:tblPr>
        <w:tblW w:type="pct" w:w="100%"/>
        <w:tblBorders>
          <w:top w:val="single" w:color="D3DCE6" w:sz="4"/>
          <w:left w:val="single" w:color="D3DCE6" w:sz="4"/>
          <w:bottom w:val="single" w:color="D3DCE6" w:sz="4"/>
          <w:right w:val="single" w:color="D3DCE6" w:sz="4"/>
          <w:insideH w:val="single" w:color="D3DCE6" w:sz="4"/>
          <w:insideV w:val="single" w:color="D3DCE6" w:sz="4"/>
        </w:tblBorders>
      </w:tblPr>
      <w:tblGrid>
        <w:gridCol w:w="1500"/>
        <w:gridCol w:w="2200"/>
        <w:gridCol w:w="4200"/>
        <w:gridCol w:w="3600"/>
        <w:gridCol w:w="2300"/>
      </w:tblGrid>
      <w:tr>
        <w:trPr>
          <w:tblHeader/>
        </w:trPr>
        <w:tc>
          <w:tcPr>
            <w:tcW w:type="pct" w:w="6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pct" w:w="15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功能环节</w:t>
            </w:r>
          </w:p>
        </w:tc>
        <w:tc>
          <w:tcPr>
            <w:tcW w:type="pct" w:w="36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业务说明</w:t>
            </w:r>
          </w:p>
        </w:tc>
        <w:tc>
          <w:tcPr>
            <w:tcW w:type="pct" w:w="28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上游 / 下游关联</w:t>
            </w:r>
          </w:p>
        </w:tc>
        <w:tc>
          <w:tcPr>
            <w:tcW w:type="pct" w:w="15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关联外围系统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供应商注册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供应商通过门户提交企业资质与基础信息，发起合作申请。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上游：采购方定向邀请（可选）
下游：供应商认证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02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供应商认证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资质审核、体系认证（如ISO）、样品打样试用，评定“正式合格 / 临时合格 / 不通过”。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上游：供应商注册
下游：供应商库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SAP（主数据同步）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03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供应商库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合格供应商主数据中心，承载资质状态与有效期管理，到期前提醒复审。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上游：供应商认证
下游：供应商品类库、供应商日常管理、寻源立项管理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SAP（主数据同步）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04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供应商品类库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按统一品类树对供应商分类打标，支撑精准寻源与品类采购策略。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上游：供应商库
下游：寻源立项管理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05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供应商日常管理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基础信息变更、证照到期提醒、异动留痕，与冻结解冻联动。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上游：供应商库
下游：SAP主数据更新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SAP（主数据同步）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06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供应商冻结 / 解冻管理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因绩效、合规问题限制交易资格，解冻需履行审批并说明整改依据。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上游：供应商绩效管理、合规稽核
下游：供应商选择 / 定标（资格校验）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07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供应商绩效管理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按月 / 季度汇总质量、交付、成本、服务多维数据评分并分级（A/B/C）。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上游：采购验收、对账中心
下游：冻结解冻管理、供应商选择评分、SR配额管理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4.2 STC · 寻源到合同</w:t>
      </w:r>
    </w:p>
    <w:tbl>
      <w:tblPr>
        <w:tblW w:type="pct" w:w="100%"/>
        <w:tblBorders>
          <w:top w:val="single" w:color="D3DCE6" w:sz="4"/>
          <w:left w:val="single" w:color="D3DCE6" w:sz="4"/>
          <w:bottom w:val="single" w:color="D3DCE6" w:sz="4"/>
          <w:right w:val="single" w:color="D3DCE6" w:sz="4"/>
          <w:insideH w:val="single" w:color="D3DCE6" w:sz="4"/>
          <w:insideV w:val="single" w:color="D3DCE6" w:sz="4"/>
        </w:tblBorders>
      </w:tblPr>
      <w:tblGrid>
        <w:gridCol w:w="1500"/>
        <w:gridCol w:w="2200"/>
        <w:gridCol w:w="4200"/>
        <w:gridCol w:w="3600"/>
        <w:gridCol w:w="2300"/>
      </w:tblGrid>
      <w:tr>
        <w:trPr>
          <w:tblHeader/>
        </w:trPr>
        <w:tc>
          <w:tcPr>
            <w:tcW w:type="pct" w:w="6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pct" w:w="15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功能环节</w:t>
            </w:r>
          </w:p>
        </w:tc>
        <w:tc>
          <w:tcPr>
            <w:tcW w:type="pct" w:w="36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业务说明</w:t>
            </w:r>
          </w:p>
        </w:tc>
        <w:tc>
          <w:tcPr>
            <w:tcW w:type="pct" w:w="28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上游 / 下游关联</w:t>
            </w:r>
          </w:p>
        </w:tc>
        <w:tc>
          <w:tcPr>
            <w:tcW w:type="pct" w:w="15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关联外围系统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寻源立项管理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依据采购计划 / 需求发起寻源项目，选定招标 / 邀标 / 竞谈 / 单一来源等方式。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上游：供应商库、供应商品类库、采购需求汇总
下游：招投标管理、询议价管理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02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招投标管理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标准全流程：发标公告→资格预审→标书发售与澄清→开标→评标→定标建议→中标公告→异议处理。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上游：寻源立项管理
下游：供应商选择 / 定标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03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询议价管理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线上RFQ多轮报价、线下补充议价，适用小额或标准化采购场景。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上游：寻源立项管理
下游：供应商选择 / 定标、价目表管理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04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供应商选择 / 定标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综合技术评分、商务报价、历史绩效及冻结状态确定中标方，生成定标单。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上游：招投标管理、询议价管理、冻结解冻管理、供应商绩效管理
下游：合同管理、价目表管理、BPA管理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05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合同管理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合同起草、法务 / 财务联合审批、盖章、履约跟踪与到期预警续签。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上游：供应商选择 / 定标
下游：采购订单（履约依据）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SAP（主数据/归档）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06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价目表管理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维护物料 / 服务有效期价格（含阶梯价、区域价），供PR自动取价。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上游：供应商选择 / 定标、询议价管理
下游：取价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07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BPA管理（框架协议）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维护额度、期限、适用范围，额度内可直接下单，简化重复采购。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上游：供应商选择 / 定标
下游：取价、SR配额管理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08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SR配额管理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按绩效评分、产能、框架额度设定同品类多供应商的份额分配比例。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上游：BPA管理、供应商绩效管理
下游：采购订单（分单依据）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4.3 采购执行 · PR-PO</w:t>
      </w:r>
    </w:p>
    <w:tbl>
      <w:tblPr>
        <w:tblW w:type="pct" w:w="100%"/>
        <w:tblBorders>
          <w:top w:val="single" w:color="D3DCE6" w:sz="4"/>
          <w:left w:val="single" w:color="D3DCE6" w:sz="4"/>
          <w:bottom w:val="single" w:color="D3DCE6" w:sz="4"/>
          <w:right w:val="single" w:color="D3DCE6" w:sz="4"/>
          <w:insideH w:val="single" w:color="D3DCE6" w:sz="4"/>
          <w:insideV w:val="single" w:color="D3DCE6" w:sz="4"/>
        </w:tblBorders>
      </w:tblPr>
      <w:tblGrid>
        <w:gridCol w:w="1500"/>
        <w:gridCol w:w="2200"/>
        <w:gridCol w:w="4200"/>
        <w:gridCol w:w="3600"/>
        <w:gridCol w:w="2300"/>
      </w:tblGrid>
      <w:tr>
        <w:trPr>
          <w:tblHeader/>
        </w:trPr>
        <w:tc>
          <w:tcPr>
            <w:tcW w:type="pct" w:w="6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pct" w:w="15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功能环节</w:t>
            </w:r>
          </w:p>
        </w:tc>
        <w:tc>
          <w:tcPr>
            <w:tcW w:type="pct" w:w="36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业务说明</w:t>
            </w:r>
          </w:p>
        </w:tc>
        <w:tc>
          <w:tcPr>
            <w:tcW w:type="pct" w:w="28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上游 / 下游关联</w:t>
            </w:r>
          </w:p>
        </w:tc>
        <w:tc>
          <w:tcPr>
            <w:tcW w:type="pct" w:w="15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关联外围系统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采购需求管理（PR）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需求部门通过PC或MP移动端提交采购申请，联动预算做占用校验。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上游：需求部门 / MP移动端、供应商品类库
下游：取价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BMS（预算占用校验）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02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取价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自动匹配价目表 / BPA价格，无价则转STC询议价流程补充报价。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上游：采购需求管理、价目表管理、BPA管理
下游：采购申请审批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03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采购申请审批（含退回）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按金额 / 品类 / 部门分级审批，不合格退回需求部门修改，留痕可追溯。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上游：取价
下游：采购订单；（退回回环至PR）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04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采购订单（PO）/ 采购运营订单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审批通过后生成正式订单，依据合同 / 框架条款固化价格与交期。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上游：采购申请审批、合同管理、SR配额管理
下游：采购门户PO / 协同采购订单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SAP（PO同步）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05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采购门户PO / 协同采购订单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供应商在线确认接单或申请交期变更，协同至发货前状态。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上游：采购订单（PO）
下游：采购收货（GR）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4.4 PTP · 采购到付款</w:t>
      </w:r>
    </w:p>
    <w:tbl>
      <w:tblPr>
        <w:tblW w:type="pct" w:w="100%"/>
        <w:tblBorders>
          <w:top w:val="single" w:color="D3DCE6" w:sz="4"/>
          <w:left w:val="single" w:color="D3DCE6" w:sz="4"/>
          <w:bottom w:val="single" w:color="D3DCE6" w:sz="4"/>
          <w:right w:val="single" w:color="D3DCE6" w:sz="4"/>
          <w:insideH w:val="single" w:color="D3DCE6" w:sz="4"/>
          <w:insideV w:val="single" w:color="D3DCE6" w:sz="4"/>
        </w:tblBorders>
      </w:tblPr>
      <w:tblGrid>
        <w:gridCol w:w="1500"/>
        <w:gridCol w:w="2200"/>
        <w:gridCol w:w="4200"/>
        <w:gridCol w:w="3600"/>
        <w:gridCol w:w="2300"/>
      </w:tblGrid>
      <w:tr>
        <w:trPr>
          <w:tblHeader/>
        </w:trPr>
        <w:tc>
          <w:tcPr>
            <w:tcW w:type="pct" w:w="6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pct" w:w="15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功能环节</w:t>
            </w:r>
          </w:p>
        </w:tc>
        <w:tc>
          <w:tcPr>
            <w:tcW w:type="pct" w:w="36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业务说明</w:t>
            </w:r>
          </w:p>
        </w:tc>
        <w:tc>
          <w:tcPr>
            <w:tcW w:type="pct" w:w="28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上游 / 下游关联</w:t>
            </w:r>
          </w:p>
        </w:tc>
        <w:tc>
          <w:tcPr>
            <w:tcW w:type="pct" w:w="15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关联外围系统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采购收货（GR）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按订单登记到货数量与批次，做超收容差校验，生成收货单。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上游：采购门户PO / 协同采购订单
下游：采购入库、采购验收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02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采购入库（Stock）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合格物料办理入库，更新库存台账并与ERP库存联动记账。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上游：采购收货（GR）
下游：库存 / Stock台账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SAP（库存记账）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03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采购验收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质量检验与不合格整改闭环，验收结论用于放款与绩效评分。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上游：采购收货（GR）
下游：对账中心；供应商绩效管理（质量数据回流）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04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对账中心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订单—收货 / 验收—发票三单匹配（3-way match），生成对账单。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上游：采购验收、发票签收
下游：应付结算、供应商月结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SAP（应付）、BTS（发票查验）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05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发票签收 / 开票工作台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供应商线上开票，企业签收并联动税务系统校验票种税额。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上游：对账中心（触发开票需求）
下游：对账中心（回填）、应付结算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BTS（发票查验/进项税校验）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06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应付结算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依据对账结果核销应付账款，明确付款条件，生成付款计划。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上游：对账中心、发票签收、供应商月结
下游：请款申请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SAP（总账挂账）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07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供应商月结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高频交易供应商按月汇总对账，批量生成汇总对账单。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上游：对账中心（交易明细汇总）
下游：应付结算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08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请款申请（含无PO请款）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应付结算后发起付款申请；支持无PO费用类请款与额度控制。</w:t>
            </w:r>
          </w:p>
        </w:tc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上游：应付结算、ECS费用报销（无PO请款来源）
下游：TMS资金系统（支付执行）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TMS（支付执行）、BMS（预算核销）、ECS（费用报销对接）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4.5 关键流程回环说明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绩效反馈闭环：采购验收环节产生的质量数据回流至“供应商绩效管理”，驱动供应商分级、冻结解冻及下一轮寻源 / SR配额权重调整。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采购申请退回回环：采购申请审批环节可将不合格申请退回“采购需求管理（PR）”，由需求部门修改后重新提交。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发票与对账双向关联：对账中心触发开票需求，发票签收结果回填对账中心，共同支撑应付结算。</w:t>
      </w:r>
    </w:p>
    <w:p>
      <w:r>
        <w:br w:type="page"/>
      </w:r>
    </w:p>
    <w:p>
      <w:pPr>
        <w:pStyle w:val="Heading1"/>
        <w:spacing w:after="160" w:before="360"/>
      </w:pPr>
      <w:r>
        <w:t xml:space="preserve">五、系统集成需求</w:t>
      </w:r>
    </w:p>
    <w:p>
      <w:pPr>
        <w:spacing w:after="140" w:line="300"/>
      </w:pPr>
      <w:r>
        <w:rPr>
          <w:sz w:val="21"/>
          <w:szCs w:val="21"/>
        </w:rPr>
        <w:t xml:space="preserve">平台需与以下外围系统完成集成，具体接口规范（同步/异步、接口协议、字段映射）建议在技术设计阶段与各系统对接方共同确认：</w:t>
      </w:r>
    </w:p>
    <w:tbl>
      <w:tblPr>
        <w:tblW w:type="pct" w:w="100%"/>
        <w:tblBorders>
          <w:top w:val="single" w:color="D3DCE6" w:sz="4"/>
          <w:left w:val="single" w:color="D3DCE6" w:sz="4"/>
          <w:bottom w:val="single" w:color="D3DCE6" w:sz="4"/>
          <w:right w:val="single" w:color="D3DCE6" w:sz="4"/>
          <w:insideH w:val="single" w:color="D3DCE6" w:sz="4"/>
          <w:insideV w:val="single" w:color="D3DCE6" w:sz="4"/>
        </w:tblBorders>
      </w:tblPr>
      <w:tblGrid>
        <w:gridCol w:w="1100"/>
        <w:gridCol w:w="3400"/>
        <w:gridCol w:w="5200"/>
        <w:gridCol w:w="3100"/>
        <w:gridCol w:w="3100"/>
        <w:gridCol w:w="3100"/>
      </w:tblGrid>
      <w:tr>
        <w:trPr>
          <w:tblHeader/>
        </w:trPr>
        <w:tc>
          <w:tcPr>
            <w:tcW w:type="pct" w:w="7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系统</w:t>
            </w:r>
          </w:p>
        </w:tc>
        <w:tc>
          <w:tcPr>
            <w:tcW w:type="pct" w:w="18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全称 / 定位</w:t>
            </w:r>
          </w:p>
        </w:tc>
        <w:tc>
          <w:tcPr>
            <w:tcW w:type="pct" w:w="30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集成场景</w:t>
            </w:r>
          </w:p>
        </w:tc>
        <w:tc>
          <w:tcPr>
            <w:tcW w:type="pct" w:w="15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触发时点</w:t>
            </w:r>
          </w:p>
        </w:tc>
        <w:tc>
          <w:tcPr>
            <w:tcW w:type="pct" w:w="15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交互方向</w:t>
            </w:r>
          </w:p>
        </w:tc>
        <w:tc>
          <w:tcPr>
            <w:tcW w:type="pct" w:w="15%"/>
            <w:shd w:fill="1F5AA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关键数据</w:t>
            </w:r>
          </w:p>
        </w:tc>
      </w:tr>
      <w:tr>
        <w:tc>
          <w:tcPr>
            <w:tcW w:type="pct" w:w="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SAP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SAP ERP（财务与主数据系统）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供应商 / 物料主数据同步、采购订单下达、库存记账、应付总账核算。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供应商认证通过、订单生成、入库确认、对账/结算完成等关键节点。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双向：主数据由SAP下发或与SRM双向同步；订单、入库、应付单据由采购平台推送至SAP。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供应商编码与状态、物料编码、采购订单、收货单、应付凭证。</w:t>
            </w:r>
          </w:p>
        </w:tc>
      </w:tr>
      <w:tr>
        <w:tc>
          <w:tcPr>
            <w:tcW w:type="pct" w:w="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BTS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BTS 税务系统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发票查验（防止虚开/重复）、进项税额校验、税务合规判断。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供应商开票、企业签收发票、对账中心三单匹配时。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采购平台向BTS发起查验请求，BTS返回验真结果与税额校验结论。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发票代码/号码、开票金额、税率税额、验真结果。</w:t>
            </w:r>
          </w:p>
        </w:tc>
      </w:tr>
      <w:tr>
        <w:tc>
          <w:tcPr>
            <w:tcW w:type="pct" w:w="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TMS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TMS 资金系统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付款排期、支付执行、银企直联、账户余额管理。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请款申请审批通过后，推送至资金系统排期支付。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采购平台向TMS推送付款指令，TMS回传支付状态/结果。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请款单号、收款方账户信息、金额、期望支付日期、支付状态。</w:t>
            </w:r>
          </w:p>
        </w:tc>
      </w:tr>
      <w:tr>
        <w:tc>
          <w:tcPr>
            <w:tcW w:type="pct" w:w="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BMS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BMS 预算管理系统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采购申请阶段的预算占用校验；付款阶段的预算核销；超预算预警或转特批。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采购需求管理（PR）提交时做预算占用；请款申请环节做预算核销。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双向：采购平台查询预算余额并占用/核销，BMS返回校验结果。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预算科目、可用余额、占用金额、核销金额。</w:t>
            </w:r>
          </w:p>
        </w:tc>
      </w:tr>
      <w:tr>
        <w:tc>
          <w:tcPr>
            <w:tcW w:type="pct" w:w="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ECS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ECS 费用报销系统</w:t>
            </w:r>
          </w:p>
        </w:tc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无PO场景下零星费用报销，与请款申请复用审批链路与额度控制。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需求方发起无采购订单（无PO）的费用报销 / 请款申请时。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ECS费用单作为请款申请的来源之一，推送至采购平台统一请款出口。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费用报销单号、费用类别、金额、审批状态。</w:t>
            </w:r>
          </w:p>
        </w:tc>
      </w:tr>
    </w:tbl>
    <w:p>
      <w:pPr>
        <w:pStyle w:val="Heading1"/>
        <w:spacing w:after="160" w:before="360"/>
      </w:pPr>
      <w:r>
        <w:t xml:space="preserve">六、用户角色与门户功能</w:t>
      </w:r>
    </w:p>
    <w:p>
      <w:pPr>
        <w:pStyle w:val="Heading2"/>
        <w:spacing w:after="120" w:before="280"/>
      </w:pPr>
      <w:r>
        <w:t xml:space="preserve">6.1 企业端用户</w:t>
      </w:r>
    </w:p>
    <w:p>
      <w:pPr>
        <w:spacing w:after="140" w:line="300"/>
      </w:pPr>
      <w:r>
        <w:rPr>
          <w:sz w:val="21"/>
          <w:szCs w:val="21"/>
        </w:rPr>
        <w:t xml:space="preserve">企业端用户覆盖采购、质量、法务、财务等内部角色，核心协同场景包括：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认证协同（供应商认证审核）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寻源协同（招投标 / 询议价评审）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采购协同（订单确认、交期变更、验收整改）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质量文档协同（体系认证、样品试用记录、质量整改单）</w:t>
      </w:r>
    </w:p>
    <w:p>
      <w:pPr>
        <w:pStyle w:val="Heading2"/>
        <w:spacing w:after="120" w:before="280"/>
      </w:pPr>
      <w:r>
        <w:t xml:space="preserve">6.2 供应商端门户</w:t>
      </w:r>
    </w:p>
    <w:p>
      <w:pPr>
        <w:spacing w:after="140" w:line="300"/>
      </w:pPr>
      <w:r>
        <w:rPr>
          <w:sz w:val="21"/>
          <w:szCs w:val="21"/>
        </w:rPr>
        <w:t xml:space="preserve">供应商端用户角色为“供应商用户”，通过供应商门户完成以下核心操作：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门户首页：注册登录、招投标公告、中标公告、系统公告查看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订单协同：订单确认、入库查询、规格确认、收货查询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验收与结算：验收申请退回查询、对账中心、开票工作台、付款查询</w:t>
      </w:r>
    </w:p>
    <w:p>
      <w:pPr>
        <w:pStyle w:val="Heading1"/>
        <w:spacing w:after="160" w:before="360"/>
      </w:pPr>
      <w:r>
        <w:t xml:space="preserve">七、平台级横向能力</w:t>
      </w:r>
    </w:p>
    <w:p>
      <w:pPr>
        <w:pStyle w:val="Heading2"/>
        <w:spacing w:after="120" w:before="280"/>
      </w:pPr>
      <w:r>
        <w:t xml:space="preserve">7.1 权限管理</w:t>
      </w:r>
    </w:p>
    <w:p>
      <w:pPr>
        <w:spacing w:after="140" w:line="300"/>
      </w:pPr>
      <w:r>
        <w:rPr>
          <w:sz w:val="21"/>
          <w:szCs w:val="21"/>
        </w:rPr>
        <w:t xml:space="preserve">基于角色 / 组织架构的功能权限与数据权限控制，覆盖企业端全部内部角色与供应商端用户，按“操作权限 + 数据可见范围”两个维度设计，贯穿SRM / STC / 执行 / PTP全流程，不属于某一具体业务环节。</w:t>
      </w:r>
    </w:p>
    <w:p>
      <w:pPr>
        <w:pStyle w:val="Heading2"/>
        <w:spacing w:after="120" w:before="280"/>
      </w:pPr>
      <w:r>
        <w:t xml:space="preserve">7.2 品类管理</w:t>
      </w:r>
    </w:p>
    <w:p>
      <w:pPr>
        <w:spacing w:after="140" w:line="300"/>
      </w:pPr>
      <w:r>
        <w:rPr>
          <w:sz w:val="21"/>
          <w:szCs w:val="21"/>
        </w:rPr>
        <w:t xml:space="preserve">维护统一的物料 / 服务品类树，作为供应商品类库、寻源立项策略、采购需求匹配、SR配额分配等环节共用的基础数据，也是供应商绩效分析与集中采购策略制定的重要切片依据。</w:t>
      </w:r>
    </w:p>
    <w:p>
      <w:pPr>
        <w:pStyle w:val="Heading1"/>
        <w:spacing w:after="160" w:before="360"/>
      </w:pPr>
      <w:r>
        <w:t xml:space="preserve">八、非功能性需求（概要）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移动端支持：采购需求管理（PR）需支持移动端（MP）提交与审批，兼顾时效性场景。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审计留痕：招投标、审批退回、供应商冻结解冻等关键操作需全程留痕，满足合规稽核要求。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数据安全与权限隔离：供应商端仅可见与自身相关的订单、对账、发票等数据。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性能与并发：寻源比价（多轮报价对比）、对账中心（批量三单匹配）等环节需重点关注批量处理性能。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与外围系统的接口时效：预算校验、发票查验等实时性要求较高的集成场景，需明确同步接口的响应时间要求。</w:t>
      </w:r>
    </w:p>
    <w:p>
      <w:pPr>
        <w:pStyle w:val="Heading1"/>
        <w:spacing w:after="160" w:before="360"/>
      </w:pPr>
      <w:r>
        <w:t xml:space="preserve">九、待确认事项与假设说明</w:t>
      </w:r>
    </w:p>
    <w:p>
      <w:pPr>
        <w:spacing w:after="140" w:line="300"/>
      </w:pPr>
      <w:r>
        <w:rPr>
          <w:sz w:val="21"/>
          <w:szCs w:val="21"/>
        </w:rPr>
        <w:t xml:space="preserve">由于原始草稿部分环节表述模糊，本规格书已参照常规供应商招投标及S2P标准流程进行合理假设与补充，以下事项建议在需求评审阶段与业务方逐项确认：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招投标环节是否需要支持“反向竞价”“资格预审”等具体形式，以及是否所有采购均需走公开招标；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“无PO请款”的适用范围、金额上限及审批链路，与ECS费用报销系统的具体边界划分；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供应商冻结解冻的具体触发规则（绩效阈值、合规问题分级）与解冻审批层级；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对账中心三单匹配的容差规则（价格 / 数量 / 税额允许偏差范围）；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SR配额分配策略的具体算法（是否与绩效评分强制挂钩，权重如何设定）；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与SAP、BTS、TMS、BMS、ECS的接口方式（实时接口 / 批量接口）及负责集成的技术团队。</w:t>
      </w:r>
    </w:p>
    <w:p>
      <w:r>
        <w:br w:type="page"/>
      </w:r>
    </w:p>
    <w:p>
      <w:pPr>
        <w:pStyle w:val="Heading1"/>
        <w:spacing w:after="160" w:before="360"/>
      </w:pPr>
      <w:r>
        <w:t xml:space="preserve">附录A：原始手写架构草稿</w:t>
      </w:r>
    </w:p>
    <w:p>
      <w:pPr>
        <w:spacing w:after="140" w:line="300"/>
      </w:pPr>
      <w:r>
        <w:rPr>
          <w:sz w:val="21"/>
          <w:szCs w:val="21"/>
        </w:rPr>
        <w:t xml:space="preserve">以下为本规格书整理所依据的原始手写草稿，供追溯核对。</w:t>
      </w:r>
    </w:p>
    <w:p>
      <w:pPr>
        <w:spacing w:after="80" w:before="200"/>
        <w:jc w:val="center"/>
      </w:pPr>
      <w:r>
        <w:drawing>
          <wp:inline distT="0" distB="0" distL="0" distR="0">
            <wp:extent cx="40957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16A8C"/>
          <w:sz w:val="18"/>
          <w:szCs w:val="18"/>
        </w:rPr>
        <w:t xml:space="preserve">图1 · 业务场景梳理与整体流程手写草稿</w:t>
      </w:r>
    </w:p>
    <w:p>
      <w:r>
        <w:br w:type="page"/>
      </w:r>
    </w:p>
    <w:p>
      <w:pPr>
        <w:spacing w:after="80" w:before="200"/>
        <w:jc w:val="center"/>
      </w:pPr>
      <w:r>
        <w:drawing>
          <wp:inline distT="0" distB="0" distL="0" distR="0">
            <wp:extent cx="40957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16A8C"/>
          <w:sz w:val="18"/>
          <w:szCs w:val="18"/>
        </w:rPr>
        <w:t xml:space="preserve">图2 · 功能预设与业务架构（L1-L4）手写草稿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-"/>
      <w:lvlJc w:val="left"/>
      <w:pPr>
        <w:ind w:left="79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F5A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icrosoft YaHei" w:cs="Microsoft YaHei" w:eastAsia="Microsoft YaHei" w:hAnsi="Microsoft YaHe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3450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8eb42d393214e48488c2d83c576c79ebdc1dcf.jpg"/><Relationship Id="rId8" Type="http://schemas.openxmlformats.org/officeDocument/2006/relationships/image" Target="media/d124c9adb4336be3dd75a0295d12efb44c794133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2026-09-16T01:14:18.073Z</dcterms:created>
  <dcterms:modified xsi:type="dcterms:W3CDTF">2026-09-16T01:14:18.081Z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