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0"/>
        </w:rPr>
        <w:t>主线小周期 1 进 2 领涨确认交易模式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4"/>
        </w:rPr>
        <w:t>弱转强 / 强更强执行手册</w:t>
      </w:r>
    </w:p>
    <w:p>
      <w:pPr>
        <w:spacing w:after="120"/>
      </w:pPr>
      <w:r>
        <w:rPr>
          <w:rFonts w:ascii="Noto Sans CJK SC" w:hAnsi="Noto Sans CJK SC" w:eastAsia="Noto Sans CJK SC"/>
        </w:rPr>
        <w:t>核心原则：只做题材启动后次日，最具辨识度首板股的 1 进 2。弱转强看竞价超预期，强更强看竞价符合预期并快速封板。买点只在快速封板或回封确认，错过不追后排。</w:t>
      </w:r>
    </w:p>
    <w:p>
      <w:pPr>
        <w:pStyle w:val="Heading1"/>
      </w:pPr>
      <w:r>
        <w:rPr>
          <w:rFonts w:ascii="Noto Sans CJK SC" w:hAnsi="Noto Sans CJK SC" w:eastAsia="Noto Sans CJK SC"/>
        </w:rPr>
        <w:t>一、模式定位</w:t>
      </w:r>
    </w:p>
    <w:p>
      <w:pPr>
        <w:spacing w:after="120"/>
      </w:pPr>
      <w:r>
        <w:rPr>
          <w:rFonts w:ascii="Noto Sans CJK SC" w:hAnsi="Noto Sans CJK SC" w:eastAsia="Noto Sans CJK SC"/>
        </w:rPr>
        <w:t>模式名称：主线小周期 1 进 2 领涨确认模式。</w:t>
      </w:r>
    </w:p>
    <w:p>
      <w:pPr>
        <w:spacing w:after="120"/>
      </w:pPr>
      <w:r>
        <w:rPr>
          <w:rFonts w:ascii="Noto Sans CJK SC" w:hAnsi="Noto Sans CJK SC" w:eastAsia="Noto Sans CJK SC"/>
        </w:rPr>
        <w:t>交易对象：新题材、轮动支线或主线小周期启动日后的核心首板股。</w:t>
      </w:r>
    </w:p>
    <w:p>
      <w:pPr>
        <w:spacing w:after="120"/>
      </w:pPr>
      <w:r>
        <w:rPr>
          <w:rFonts w:ascii="Noto Sans CJK SC" w:hAnsi="Noto Sans CJK SC" w:eastAsia="Noto Sans CJK SC"/>
        </w:rPr>
        <w:t>交易目的：在首板后的第二天，通过竞价和开盘行为确认谁从“候选股”变成“领涨股”。</w:t>
      </w:r>
    </w:p>
    <w:p>
      <w:pPr>
        <w:spacing w:after="120"/>
      </w:pPr>
      <w:r>
        <w:rPr>
          <w:rFonts w:ascii="Noto Sans CJK SC" w:hAnsi="Noto Sans CJK SC" w:eastAsia="Noto Sans CJK SC"/>
        </w:rPr>
        <w:t>交易心法：不是盘中猜它会不会涨，而是判断它是否满足计划条件。满足就执行，不满足就放弃。</w:t>
      </w:r>
    </w:p>
    <w:p>
      <w:pPr>
        <w:pStyle w:val="Heading1"/>
      </w:pPr>
      <w:r>
        <w:rPr>
          <w:rFonts w:ascii="Noto Sans CJK SC" w:hAnsi="Noto Sans CJK SC" w:eastAsia="Noto Sans CJK SC"/>
        </w:rPr>
        <w:t>二、总前提：不是所有 1 进 2 都做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只做“题材启动第 1 天后的 1 进 2”，即启动日出现涨停群，次日做最强确认。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不做孤立个股的 1 进 2；不做题材已经高潮后排的 1 进 2。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不做大盘系统性退潮、高位批量跌停、连板核按钮明显扩散时的 1 进 2。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不做错过龙头后的替代交易，错过就是放弃。</w:t>
      </w:r>
    </w:p>
    <w:p>
      <w:pPr>
        <w:pStyle w:val="Heading1"/>
      </w:pPr>
      <w:r>
        <w:rPr>
          <w:rFonts w:ascii="Noto Sans CJK SC" w:hAnsi="Noto Sans CJK SC" w:eastAsia="Noto Sans CJK SC"/>
        </w:rPr>
        <w:t>三、题材筛选条件</w:t>
      </w:r>
    </w:p>
    <w:p>
      <w:pPr>
        <w:spacing w:after="120"/>
      </w:pPr>
      <w:r>
        <w:rPr>
          <w:rFonts w:ascii="Noto Sans CJK SC" w:hAnsi="Noto Sans CJK SC" w:eastAsia="Noto Sans CJK SC"/>
        </w:rPr>
        <w:t>题材至少满足以下 3 条，才进入次日 1 进 2 观察池：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条件</w:t>
            </w:r>
          </w:p>
        </w:tc>
        <w:tc>
          <w:tcPr>
            <w:tcW w:type="dxa" w:w="316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量化标准</w:t>
            </w:r>
          </w:p>
        </w:tc>
        <w:tc>
          <w:tcPr>
            <w:tcW w:type="dxa" w:w="3456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明确催化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政策 / 消息 / 产业事件 / 价格上涨 / 新技术分支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没有催化，尽量不做。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启动日涨停群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板块涨停 ≥ 3 家；≥ 5 家较好；≥ 8 家强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说明不是单股行为。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扩散结构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10cm、20cm、中军、容量核心、低价弹性股有联动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说明资金认可题材。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市场环境可交易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指数不暴跌；高位不批量跌停；跌停家数不明显失控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弱市可轻仓，退潮期不做。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四、个股筛选条件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维度</w:t>
            </w:r>
          </w:p>
        </w:tc>
        <w:tc>
          <w:tcPr>
            <w:tcW w:type="dxa" w:w="3312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优先选择</w:t>
            </w:r>
          </w:p>
        </w:tc>
        <w:tc>
          <w:tcPr>
            <w:tcW w:type="dxa" w:w="3312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回避对象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题材正宗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属于题材核心方向，市场容易理解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蹭概念、逻辑牵强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首板质量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封板早、封单强、炸板少、带动板块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反复炸板、尾盘偷袭、被动跟风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图形位置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底部启动、平台突破、均线多头、上方压力小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连续阴跌反抽、套牢盘密集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辨识度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有股性、有涨停记忆、名字易传播、弹性足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成交冷清、股性差、无辨识度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唯一性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题材内最强、最早、形态最好或辨识度最高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同质化严重且无优势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五、两类买点定义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440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昨日状态</w:t>
            </w:r>
          </w:p>
        </w:tc>
        <w:tc>
          <w:tcPr>
            <w:tcW w:type="dxa" w:w="3312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今日确认</w:t>
            </w:r>
          </w:p>
        </w:tc>
        <w:tc>
          <w:tcPr>
            <w:tcW w:type="dxa" w:w="2304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核心逻辑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弱转强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首板不是最早或最硬，但图形好、筹码好、题材有预期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竞价跳空高开，开盘主动上攻，快速封板或回封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昨日不够强，今日资金重新定价。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强更强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首板就是题材首板龙头，封板早、带动强</w:t>
            </w:r>
          </w:p>
        </w:tc>
        <w:tc>
          <w:tcPr>
            <w:tcW w:type="dxa" w:w="331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竞价符合预期高开或一字，开盘 3-5 分钟内封板</w:t>
            </w:r>
          </w:p>
        </w:tc>
        <w:tc>
          <w:tcPr>
            <w:tcW w:type="dxa" w:w="230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昨日已经强，今日继续被资金抢筹。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六、弱转强买点量化：大有能源类型</w:t>
      </w:r>
    </w:p>
    <w:p>
      <w:pPr>
        <w:spacing w:after="120"/>
      </w:pPr>
      <w:r>
        <w:rPr>
          <w:rFonts w:ascii="Noto Sans CJK SC" w:hAnsi="Noto Sans CJK SC" w:eastAsia="Noto Sans CJK SC"/>
        </w:rPr>
        <w:t>适用场景：题材是近期轮动支线，首板不是最强，但图形和筹码较好；次日竞价出现暴力弱转强，资金重新定价。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6480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标准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竞价涨幅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高开 5% - 9% 最佳；跳空高开更强。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竞价金额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达到昨日成交额的 3% - 8% 较好。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开盘承接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开盘 5 分钟内不快速杀绿，不跌破竞价低点。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上攻时间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开盘 10 分钟内主动冲板最佳。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板块配合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同题材至少 1-2 只个股红盘、冲高或助攻。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买入方式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保守：回封打板；进取：放量突破分时均线半路。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失败处理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炸板不能回封、跌破分时均线并转弱，按计划走。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</w:rPr>
        <w:t>弱转强执行条件：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题材昨日启动，今日仍有延续预期。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个股昨日首板，形态好但不是最强。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今日竞价高开 ≥ 5%。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竞价金额 ≥ 昨日成交额 3%。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开盘 5 分钟内不跌破竞价低点。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股价主动上攻并接近涨停。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满足以上条件，允许买入；不满足，放弃。</w:t>
      </w:r>
    </w:p>
    <w:p>
      <w:pPr>
        <w:pStyle w:val="Heading1"/>
      </w:pPr>
      <w:r>
        <w:rPr>
          <w:rFonts w:ascii="Noto Sans CJK SC" w:hAnsi="Noto Sans CJK SC" w:eastAsia="Noto Sans CJK SC"/>
        </w:rPr>
        <w:t>七、强更强买点量化：天娱数科类型</w:t>
      </w:r>
    </w:p>
    <w:p>
      <w:pPr>
        <w:spacing w:after="120"/>
      </w:pPr>
      <w:r>
        <w:rPr>
          <w:rFonts w:ascii="Noto Sans CJK SC" w:hAnsi="Noto Sans CJK SC" w:eastAsia="Noto Sans CJK SC"/>
        </w:rPr>
        <w:t>适用场景：个股是题材启动日首板龙头，首板已经具有带动性；次日竞价符合预期高开或一字，开盘快速封板。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160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6480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标准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首板地位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昨日题材内最强首板，最好是最早涨停或封单最强。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次日竞价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高开 6% - 10% 或一字。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竞价态度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买盘明显强于卖盘，没有明显抢跑。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开盘动作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3 - 5 分钟内封板最佳。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板块状态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题材没有明显负反馈，最好有助攻股。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买入方式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第一次封板打板；或炸板后快速回封打板。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风险提示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一致性太强后炸板容易大面，所以不做高位犹豫后的追涨。</w:t>
            </w:r>
          </w:p>
        </w:tc>
      </w:tr>
    </w:tbl>
    <w:p/>
    <w:p>
      <w:pPr>
        <w:spacing w:after="120"/>
      </w:pPr>
      <w:r>
        <w:rPr>
          <w:rFonts w:ascii="Noto Sans CJK SC" w:hAnsi="Noto Sans CJK SC" w:eastAsia="Noto Sans CJK SC"/>
        </w:rPr>
        <w:t>强更强执行条件：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昨日它是题材内最强首板。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昨日对板块有带动性。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今日竞价高开 ≥ 6% 或一字。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开盘没有明显放量砸盘。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5 分钟内冲击涨停。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板块没有明显负反馈。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满足以上条件，允许买入；不满足，放弃。</w:t>
      </w:r>
    </w:p>
    <w:p>
      <w:pPr>
        <w:pStyle w:val="Heading1"/>
      </w:pPr>
      <w:r>
        <w:rPr>
          <w:rFonts w:ascii="Noto Sans CJK SC" w:hAnsi="Noto Sans CJK SC" w:eastAsia="Noto Sans CJK SC"/>
        </w:rPr>
        <w:t>八、买入优先级与仓位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316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买入方式</w:t>
            </w:r>
          </w:p>
        </w:tc>
        <w:tc>
          <w:tcPr>
            <w:tcW w:type="dxa" w:w="1872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建议仓位</w:t>
            </w:r>
          </w:p>
        </w:tc>
        <w:tc>
          <w:tcPr>
            <w:tcW w:type="dxa" w:w="3024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目的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恢复执行力阶段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只做回封确认，不做第一次冲板半路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单笔 10%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降低心理压力，训练按计划执行。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稳定执行阶段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强更强打板 / 弱转强回封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10% - 20%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开始追求模式内收益。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成熟阶段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确定性高时可提高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最高 25%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只在题材、个股、竞价、板块共振时加仓。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九、禁止交易清单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昨日很强，今日竞价只高开 1% 或平开：不及预期，不买。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高开后 1 分钟内快速杀跌，明显兑现：不买。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板块无助攻，只有单股硬拉：不买。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题材已经高潮两三天，再做后排 1 进 2：不买。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错过龙头第一买点后，转头买杂毛替代：禁止。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盘中临时看到涨得好但没有复盘计划：禁止。</w:t>
      </w:r>
    </w:p>
    <w:p>
      <w:pPr>
        <w:pStyle w:val="Heading1"/>
      </w:pPr>
      <w:r>
        <w:rPr>
          <w:rFonts w:ascii="Noto Sans CJK SC" w:hAnsi="Noto Sans CJK SC" w:eastAsia="Noto Sans CJK SC"/>
        </w:rPr>
        <w:t>十、盘中决策树</w:t>
      </w:r>
    </w:p>
    <w:p>
      <w:pPr>
        <w:spacing w:after="120"/>
      </w:pPr>
      <w:r>
        <w:rPr>
          <w:rFonts w:ascii="Noto Sans CJK SC" w:hAnsi="Noto Sans CJK SC" w:eastAsia="Noto Sans CJK SC"/>
        </w:rPr>
        <w:t>盘中只判断“符合 / 不符合”，不要重新思考“会不会涨”。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00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问题</w:t>
            </w:r>
          </w:p>
        </w:tc>
        <w:tc>
          <w:tcPr>
            <w:tcW w:type="dxa" w:w="1440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答案</w:t>
            </w:r>
          </w:p>
        </w:tc>
        <w:tc>
          <w:tcPr>
            <w:tcW w:type="dxa" w:w="2880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动作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它是不是昨日题材核心首板？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不买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题材今天有没有延续？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不买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竞价是否符合预期？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不买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开盘是否主动上攻？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否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不买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是否快速封板或回封？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买入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炸板后无法回封？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是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按计划离场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十一、每日复盘计划卡</w:t>
      </w:r>
    </w:p>
    <w:p>
      <w:pPr>
        <w:spacing w:after="120"/>
      </w:pPr>
      <w:r>
        <w:rPr>
          <w:rFonts w:ascii="Noto Sans CJK SC" w:hAnsi="Noto Sans CJK SC" w:eastAsia="Noto Sans CJK SC"/>
        </w:rPr>
        <w:t>每天复盘后，只列 1-3 个候选。填不出计划卡，就不允许交易。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448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项目</w:t>
            </w:r>
          </w:p>
        </w:tc>
        <w:tc>
          <w:tcPr>
            <w:tcW w:type="dxa" w:w="6624"/>
            <w:shd w:fill="D9EAF7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填写内容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题材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题材阶段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启动第 1 天 / 发酵第 2 天 / 其他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候选股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首板地位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最强 / 次强 / 图形好 / 补涨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模式类型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弱转强 / 强更强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明日预期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高开 _______% 以上才符合预期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竞价金额要求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≥ 昨日成交额 _______%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开盘确认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开盘 ______ 分钟内不跌破竞价低点，并主动上攻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板块要求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至少 ______ 只同题材红盘 / 冲板 / 助攻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买入方式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回封打板 / 首封打板 / 半路 / 排板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仓位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_______%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失败处理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炸板不能回封 / 跌破分时均线 / 次日不及预期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放弃条件</w:t>
            </w:r>
          </w:p>
        </w:tc>
        <w:tc>
          <w:tcPr>
            <w:tcW w:type="dxa" w:w="6624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低开 / 平开 / 高开低走 / 板块无助攻 / 错过第一买点</w:t>
            </w:r>
          </w:p>
        </w:tc>
      </w:tr>
    </w:tbl>
    <w:p/>
    <w:p>
      <w:pPr>
        <w:pStyle w:val="Heading1"/>
      </w:pPr>
      <w:r>
        <w:rPr>
          <w:rFonts w:ascii="Noto Sans CJK SC" w:hAnsi="Noto Sans CJK SC" w:eastAsia="Noto Sans CJK SC"/>
        </w:rPr>
        <w:t>十二、模式一句话版本</w:t>
      </w:r>
    </w:p>
    <w:p>
      <w:pPr>
        <w:spacing w:after="120"/>
      </w:pPr>
      <w:r>
        <w:rPr>
          <w:rFonts w:ascii="Noto Sans CJK SC" w:hAnsi="Noto Sans CJK SC" w:eastAsia="Noto Sans CJK SC"/>
        </w:rPr>
        <w:t>题材启动日有涨停群；次日只看昨日核心首板；竞价高开 5% 以上；开盘 10 分钟内主动上攻；板块有助攻；封板或回封买；炸板不能回封走；错过不做替代。</w:t>
      </w:r>
    </w:p>
    <w:p>
      <w:pPr>
        <w:pStyle w:val="Heading1"/>
      </w:pPr>
      <w:r>
        <w:rPr>
          <w:rFonts w:ascii="Noto Sans CJK SC" w:hAnsi="Noto Sans CJK SC" w:eastAsia="Noto Sans CJK SC"/>
        </w:rPr>
        <w:t>十三、执行训练要求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连续 20 笔只做这个模式，不做其他交易。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每笔交易必须提前写好计划卡。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盘中不临时加标的，不因为错过龙头去买后排。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复盘只统计三件事：是否符合模式、是否执行、执行后结果如何。</w:t>
      </w:r>
    </w:p>
    <w:p>
      <w:pPr>
        <w:pStyle w:val="ListBullet"/>
        <w:spacing w:after="60"/>
      </w:pPr>
      <w:r>
        <w:rPr>
          <w:rFonts w:ascii="Noto Sans CJK SC" w:hAnsi="Noto Sans CJK SC" w:eastAsia="Noto Sans CJK SC"/>
        </w:rPr>
        <w:t>先恢复执行力，再谈提高仓位。</w:t>
      </w:r>
    </w:p>
    <w:p>
      <w:pPr>
        <w:pStyle w:val="Heading1"/>
      </w:pPr>
      <w:r>
        <w:rPr>
          <w:rFonts w:ascii="Noto Sans CJK SC" w:hAnsi="Noto Sans CJK SC" w:eastAsia="Noto Sans CJK SC"/>
        </w:rPr>
        <w:t>附录：案例来源截图</w:t>
      </w:r>
    </w:p>
    <w:p>
      <w:pPr>
        <w:jc w:val="center"/>
      </w:pPr>
      <w:r>
        <w:rPr>
          <w:rFonts w:ascii="Noto Sans CJK SC" w:hAnsi="Noto Sans CJK SC" w:eastAsia="Noto Sans CJK SC"/>
        </w:rPr>
        <w:drawing>
          <wp:inline xmlns:a="http://schemas.openxmlformats.org/drawingml/2006/main" xmlns:pic="http://schemas.openxmlformats.org/drawingml/2006/picture">
            <wp:extent cx="5669280" cy="4546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46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Noto Sans CJK SC" w:hAnsi="Noto Sans CJK SC" w:eastAsia="Noto Sans CJK SC"/>
        </w:rPr>
        <w:t>案例 1：大有能源，煤炭板块轮动支线，首板不是最早上板，但图形好；二板竞价跳空大高开，属于弱转强。</w:t>
      </w:r>
    </w:p>
    <w:p>
      <w:pPr>
        <w:spacing w:after="120"/>
      </w:pPr>
      <w:r>
        <w:rPr>
          <w:rFonts w:ascii="Noto Sans CJK SC" w:hAnsi="Noto Sans CJK SC" w:eastAsia="Noto Sans CJK SC"/>
        </w:rPr>
        <w:t>案例 2：天娱数科，物理 AI 首板龙头；次日竞价高开 7% 后快速封板，属于强更强。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交易模式文档｜主线小周期 1 进 2 领涨确认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