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THE INSIGHT BOARD  |  BUSINESS INTELLIGENCE</w:t>
      </w:r>
    </w:p>
    <w:p>
      <w:pPr>
        <w:pStyle w:val="Title"/>
      </w:pPr>
      <w:r>
        <w:t>ApnoMart — Executive Insights &amp; Strategic Recommendation</w:t>
      </w:r>
    </w:p>
    <w:p>
      <w:r>
        <w:t>Analyst: Shyam | Tool: Python (Pandas, Matplotlib, Streamlit, Plotly) | October 2026</w:t>
      </w:r>
    </w:p>
    <w:p>
      <w:r>
        <w:rPr>
          <w:b/>
          <w:color w:val="8C5F0F"/>
        </w:rPr>
        <w:t>SCOPE NOTE: The task template requests Q2 2026, but the supplied data covers 01 May 2026–28 Oct 2026. This report uses all 1,200 supplied rows and is not Q2-only.</w:t>
      </w:r>
    </w:p>
    <w:p>
      <w:pPr>
        <w:pStyle w:val="Heading1"/>
      </w:pPr>
      <w:r>
        <w:t>Executive snapshot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Result</w:t>
            </w:r>
          </w:p>
        </w:tc>
      </w:tr>
      <w:tr>
        <w:tc>
          <w:tcPr>
            <w:tcW w:type="dxa" w:w="5112"/>
          </w:tcPr>
          <w:p>
            <w:r>
              <w:t>Total Sales</w:t>
            </w:r>
          </w:p>
        </w:tc>
        <w:tc>
          <w:tcPr>
            <w:tcW w:type="dxa" w:w="5112"/>
          </w:tcPr>
          <w:p>
            <w:r>
              <w:t>₹16,261,998.30</w:t>
            </w:r>
          </w:p>
        </w:tc>
      </w:tr>
      <w:tr>
        <w:tc>
          <w:tcPr>
            <w:tcW w:type="dxa" w:w="5112"/>
          </w:tcPr>
          <w:p>
            <w:r>
              <w:t>Total Profit</w:t>
            </w:r>
          </w:p>
        </w:tc>
        <w:tc>
          <w:tcPr>
            <w:tcW w:type="dxa" w:w="5112"/>
          </w:tcPr>
          <w:p>
            <w:r>
              <w:t>₹4,419,736.17</w:t>
            </w:r>
          </w:p>
        </w:tc>
      </w:tr>
      <w:tr>
        <w:tc>
          <w:tcPr>
            <w:tcW w:type="dxa" w:w="5112"/>
          </w:tcPr>
          <w:p>
            <w:r>
              <w:t>Unique Orders</w:t>
            </w:r>
          </w:p>
        </w:tc>
        <w:tc>
          <w:tcPr>
            <w:tcW w:type="dxa" w:w="5112"/>
          </w:tcPr>
          <w:p>
            <w:r>
              <w:t>1,200</w:t>
            </w:r>
          </w:p>
        </w:tc>
      </w:tr>
      <w:tr>
        <w:tc>
          <w:tcPr>
            <w:tcW w:type="dxa" w:w="5112"/>
          </w:tcPr>
          <w:p>
            <w:r>
              <w:t>Quantity Sold</w:t>
            </w:r>
          </w:p>
        </w:tc>
        <w:tc>
          <w:tcPr>
            <w:tcW w:type="dxa" w:w="5112"/>
          </w:tcPr>
          <w:p>
            <w:r>
              <w:t>6,736</w:t>
            </w:r>
          </w:p>
        </w:tc>
      </w:tr>
      <w:tr>
        <w:tc>
          <w:tcPr>
            <w:tcW w:type="dxa" w:w="5112"/>
          </w:tcPr>
          <w:p>
            <w:r>
              <w:t>Weighted Profit Margin</w:t>
            </w:r>
          </w:p>
        </w:tc>
        <w:tc>
          <w:tcPr>
            <w:tcW w:type="dxa" w:w="5112"/>
          </w:tcPr>
          <w:p>
            <w:r>
              <w:t>27.18%</w:t>
            </w:r>
          </w:p>
        </w:tc>
      </w:tr>
      <w:tr>
        <w:tc>
          <w:tcPr>
            <w:tcW w:type="dxa" w:w="5112"/>
          </w:tcPr>
          <w:p>
            <w:r>
              <w:t>Loss-making orders</w:t>
            </w:r>
          </w:p>
        </w:tc>
        <w:tc>
          <w:tcPr>
            <w:tcW w:type="dxa" w:w="5112"/>
          </w:tcPr>
          <w:p>
            <w:r>
              <w:t>61</w:t>
            </w:r>
          </w:p>
        </w:tc>
      </w:tr>
      <w:tr>
        <w:tc>
          <w:tcPr>
            <w:tcW w:type="dxa" w:w="5112"/>
          </w:tcPr>
          <w:p>
            <w:r>
              <w:t>Loss on negative-profit rows</w:t>
            </w:r>
          </w:p>
        </w:tc>
        <w:tc>
          <w:tcPr>
            <w:tcW w:type="dxa" w:w="5112"/>
          </w:tcPr>
          <w:p>
            <w:r>
              <w:t>₹82,743.74</w:t>
            </w:r>
          </w:p>
        </w:tc>
      </w:tr>
    </w:tbl>
    <w:p>
      <w:pPr>
        <w:pStyle w:val="Heading1"/>
      </w:pPr>
      <w:r>
        <w:t>Insight 1 — Revenue pattern</w:t>
      </w:r>
    </w:p>
    <w:p>
      <w:r>
        <w:t>Pattern: Furniture is the largest sales category, generating ₹3,518,270.00 (21.63% of sales). 2026-07 is the strongest month by sales at ₹2,957,618.40.</w:t>
      </w:r>
    </w:p>
    <w:p>
      <w:r>
        <w:t>So what: Protect the leading category’s availability and use monthly demand patterns to plan inventory and campaign timing instead of applying the same budget every month.</w:t>
      </w:r>
    </w:p>
    <w:p>
      <w:pPr>
        <w:pStyle w:val="Heading1"/>
      </w:pPr>
      <w:r>
        <w:t>Insight 2 — Profitability pattern</w:t>
      </w:r>
    </w:p>
    <w:p>
      <w:r>
        <w:t>Pattern: Office Supplies generates the highest category profit at ₹1,176,657.32 (weighted margin 34.80%). Electronics has the lowest weighted margin at 18.88%. 61 orders have negative recorded profit, with combined loss of ₹82,743.74.</w:t>
      </w:r>
    </w:p>
    <w:p>
      <w:r>
        <w:t>So what: Review product costs, pricing and discounts in the low-margin category and investigate loss-making order lines. The data does not establish that discounts caused every loss, so test that relationship at order/product level.</w:t>
      </w:r>
    </w:p>
    <w:p>
      <w:pPr>
        <w:pStyle w:val="Heading1"/>
      </w:pPr>
      <w:r>
        <w:t>Insight 3 — Customer behavior pattern</w:t>
      </w:r>
    </w:p>
    <w:p>
      <w:r>
        <w:t>Pattern: Corporate leads by sales at ₹4,311,027.50 (26.51%). Cash leads payment-method sales at ₹3,574,076.95 (21.98%).</w:t>
      </w:r>
    </w:p>
    <w:p>
      <w:r>
        <w:t>So what: Maintain a strong experience for the largest segment, test targeted repeat-purchase campaigns across other segments, and keep all major payment options reliable.</w:t>
      </w:r>
    </w:p>
    <w:p>
      <w:pPr>
        <w:pStyle w:val="Heading1"/>
      </w:pPr>
      <w:r>
        <w:t>Strategic recommendation</w:t>
      </w:r>
    </w:p>
    <w:p>
      <w:r>
        <w:t>Run a margin-protection pilot before increasing broad discount spend. Start with Electronics (lowest weighted margin: 18.88%), audit the loss-making orders by product, discount, region and payment method, then test selective discounts and monitor sales, profit and conversion together. Scale only after comparison with a control group. Use the leading category and strongest month to guide inventory and campaign planning.</w:t>
      </w:r>
    </w:p>
    <w:p>
      <w:pPr>
        <w:pStyle w:val="Heading1"/>
      </w:pPr>
      <w:r>
        <w:t>Dashboard screenshot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Calculated field: Weighted Profit Margin % = SUM(Profit) / SUM(Sales) × 100.</w:t>
      </w:r>
    </w:p>
    <w:p>
      <w:pPr>
        <w:pStyle w:val="Heading1"/>
      </w:pPr>
      <w:r>
        <w:t>AI-use disclosure</w:t>
      </w:r>
    </w:p>
    <w:p>
      <w:r>
        <w:t>ChatGPT helped organize the analysis, refine business wording and scaffold the report/dashboard code. Metrics were calculated from the supplied dataset; the reporting-period mismatch is explicitly disclosed.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