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Solution Architecture</w:t>
      </w:r>
    </w:p>
    <w:p>
      <w:pPr>
        <w:spacing w:after="200"/>
        <w:jc w:val="center"/>
      </w:pPr>
      <w:r>
        <w:rPr>
          <w:i/>
          <w:iCs/>
          <w:color w:val="444444"/>
          <w:sz w:val="24"/>
          <w:szCs w:val="24"/>
        </w:rPr>
        <w:t xml:space="preserve">Project Design Phase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15 February 2025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SWTID-2026-1074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SB Stocks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Venkatesh Illa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Durga Meghana Kondempudi, Chandrika Narla, Mogali Shyam, Sravani Jagu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4 Marks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SB Stocks — Solution Architecture Diagram</w:t>
      </w:r>
    </w:p>
    <w:p>
      <w:pPr>
        <w:spacing w:after="100"/>
        <w:jc w:val="center"/>
      </w:pPr>
      <w:r>
        <w:drawing>
          <wp:inline distT="0" distB="0" distL="0" distR="0">
            <wp:extent cx="5334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Figure: SB Stocks three-tier MERN architecture — React client on Vercel, Express/Node REST API on Railway, and MongoDB Atlas for persistence, secured end-to-end with JWT and bcrypt.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Architecture Summary</w:t>
      </w:r>
    </w:p>
    <w:p>
      <w:pPr>
        <w:spacing w:after="150"/>
      </w:pPr>
      <w:r>
        <w:rPr>
          <w:sz w:val="22"/>
          <w:szCs w:val="22"/>
        </w:rPr>
        <w:t xml:space="preserve">The client is a React single-page application that talks to the Express REST API purely over HTTPS/JSON using Axios. All protected routes are guarded by a JWT-verification middleware (protect) and an additional role check (adminProtect) for admin-only endpoints. Mongoose schemas (users, stocks, orders, transactions) model the data in MongoDB Atlas. An in-memory background job (startStockSimulation) mutates a shared market-data array every 4 seconds to simulate realistic price movement without needing a paid market-data subscription.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77a8efc7aff576b6a1cf9e6401b5b01a1da7c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2026-07-19T18:08:11.727Z</dcterms:created>
  <dcterms:modified xsi:type="dcterms:W3CDTF">2026-07-19T18:08:11.727Z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