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ae78152b1e140df" /><Relationship Type="http://schemas.openxmlformats.org/package/2006/relationships/metadata/core-properties" Target="/docProps/core.xml" Id="R8e64331b5d3c4aee" /><Relationship Type="http://schemas.openxmlformats.org/officeDocument/2006/relationships/extended-properties" Target="/docProps/app.xml" Id="R47264cb7f8404ed9" /><Relationship Type="http://schemas.openxmlformats.org/officeDocument/2006/relationships/custom-properties" Target="/docProps/custom.xml" Id="R0bb97acf47654b2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E-commerce Sales and Customer Analytics</w:t>
      </w:r>
    </w:p>
    <w:p w14:paraId="00100002" w14:textId="00100003">
      <w:pPr>
        <w:pStyle w:val="Subtitle"/>
        <w:spacing w:after="160"/>
        <w:jc w:val="center"/>
      </w:pPr>
      <w:r>
        <w:rPr>
          <w:sz w:val="32"/>
        </w:rPr>
        <w:t xml:space="preserve">Business Intelligence Project Report</w:t>
      </w:r>
    </w:p>
    <w:p w14:paraId="00100004" w14:textId="00100005">
      <w:pPr>
        <w:spacing w:after="80"/>
        <w:jc w:val="center"/>
      </w:pPr>
      <w:r>
        <w:rPr>
          <w:sz w:val="24"/>
        </w:rPr>
        <w:t xml:space="preserve">Author: B Syamala Rao</w:t>
      </w:r>
    </w:p>
    <w:p w14:paraId="00100006" w14:textId="00100007">
      <w:pPr>
        <w:spacing w:after="80"/>
        <w:jc w:val="center"/>
      </w:pPr>
      <w:r>
        <w:rPr>
          <w:sz w:val="24"/>
        </w:rPr>
        <w:t xml:space="preserve">Program: Data Analytics / Business Intelligence Internship</w:t>
      </w:r>
    </w:p>
    <w:p w14:paraId="00100008" w14:textId="00100009">
      <w:pPr>
        <w:spacing w:after="480"/>
        <w:jc w:val="center"/>
      </w:pPr>
      <w:r>
        <w:rPr>
          <w:sz w:val="24"/>
        </w:rPr>
        <w:t xml:space="preserve">Date: December 2026</w:t>
      </w:r>
    </w:p>
    <w:p w14:paraId="0010000A" w14:textId="0010000B">
      <w:pPr>
        <w:spacing w:after="160"/>
        <w:jc w:val="center"/>
      </w:pPr>
      <w:r>
        <w:rPr>
          <w:i/>
          <w:sz w:val="22"/>
        </w:rPr>
        <w:t xml:space="preserve">Dataset: ecommerce_sales_customer_analytics_150k.csv  |  138,116 records  |  2021–2025</w:t>
      </w:r>
    </w:p>
    <w:p w14:paraId="0010000C" w14:textId="0010000D">
      <w:pPr>
        <w:spacing w:after="480"/>
        <w:jc w:val="center"/>
      </w:pPr>
      <w:r>
        <w:rPr>
          <w:i/>
          <w:sz w:val="22"/>
        </w:rPr>
        <w:t xml:space="preserve">Tools: Python 3.11  |  pandas  |  matplotlib  |  seaborn  |  Jupyter Notebook</w:t>
      </w:r>
    </w:p>
    <w:p w14:paraId="0010000E" w14:textId="0010000F">
      <w:pPr>
        <w:pStyle w:val="Heading1"/>
        <w:spacing w:after="120"/>
      </w:pPr>
      <w:r>
        <w:rPr/>
        <w:t xml:space="preserve">1. Abstract</w:t>
      </w:r>
    </w:p>
    <w:p w14:paraId="00100010" w14:textId="00100011">
      <w:pPr>
        <w:spacing w:after="160"/>
      </w:pPr>
      <w:r>
        <w:rPr>
          <w:sz w:val="22"/>
        </w:rPr>
        <w:t xml:space="preserve">This report presents a complete Business Intelligence analysis of 138,116 e-commerce transactions spanning January 2021 to December 2025 across seven currencies (USD, GBP, EUR, CAD, AUD, INR, AED), four sales channels, and five geographic regions. The project follows a structured pipeline: raw-data inspection, cleaning and validation, exploratory data analysis, KPI calculation and audit, and synthesis of actionable business insights.</w:t>
      </w:r>
    </w:p>
    <w:p w14:paraId="00100012" w14:textId="00100013">
      <w:pPr>
        <w:spacing w:after="160"/>
      </w:pPr>
      <w:r>
        <w:rPr>
          <w:sz w:val="22"/>
        </w:rPr>
        <w:t xml:space="preserve">Key outcomes include: a validated profit margin of 41.4% on net sales for completed orders; identification of a recurring annual promotional event in November and December that drops margins from a 46.4% baseline to approximately 29%; a systemic delivery-estimation gap of 0.26 days resulting in a 76.5% on-time delivery rate; an average customer rating of 3.68 out of 5.0; a return rate of 7.69% uniformly distributed across regions and channels; and confirmation that 98.66% of unique customers have placed more than one order. All 38 KPI validation checks passed with zero failures. Eight business insights and eight prioritised recommendations are presented, each supported by measured evidence.</w:t>
      </w:r>
    </w:p>
    <w:p w14:paraId="00100014" w14:textId="00100015">
      <w:pPr>
        <w:pStyle w:val="Heading1"/>
        <w:spacing w:after="120"/>
      </w:pPr>
      <w:r>
        <w:rPr/>
        <w:t xml:space="preserve">2. Introduction and Problem Statement</w:t>
      </w:r>
    </w:p>
    <w:p w14:paraId="00100016" w14:textId="00100017">
      <w:pPr>
        <w:spacing w:after="160"/>
      </w:pPr>
      <w:r>
        <w:rPr>
          <w:sz w:val="22"/>
        </w:rPr>
        <w:t xml:space="preserve">E-commerce businesses generate large volumes of transactional data that, without systematic analysis, cannot be translated into strategic decisions. This project addresses the challenge of converting raw sales and customer records into verified, interpretable business intelligence.</w:t>
      </w:r>
    </w:p>
    <w:p w14:paraId="00100018" w14:textId="00100019">
      <w:pPr>
        <w:spacing w:after="160"/>
      </w:pPr>
      <w:r>
        <w:rPr>
          <w:sz w:val="22"/>
        </w:rPr>
        <w:t xml:space="preserve">The dataset used in this project contains order-level records covering order status, sales channel, customer demographics, financial columns (gross sales, discounts, taxes, shipping, net sales, product cost, profit), delivery timelines, customer ratings, return information, marketing channel attribution, and loyalty programme data. The dataset spans five calendar years and seven national currencies.</w:t>
      </w:r>
    </w:p>
    <w:p w14:paraId="0010001A" w14:textId="0010001B">
      <w:pPr>
        <w:spacing w:after="160"/>
      </w:pPr>
      <w:r>
        <w:rPr>
          <w:sz w:val="22"/>
        </w:rPr>
        <w:t xml:space="preserve">The problem statement is threefold: (1) the raw data requires cleaning and validation before any metrics can be trusted; (2) KPI definitions must be explicit about scope, denominators, and currency handling to avoid misleading conclusions; and (3) business insights must be grounded in evidence rather than assumption. This report documents how each of these challenges was addressed.</w:t>
      </w:r>
    </w:p>
    <w:p w14:paraId="0010001C" w14:textId="0010001D">
      <w:pPr>
        <w:pStyle w:val="Heading1"/>
        <w:spacing w:after="120"/>
      </w:pPr>
      <w:r>
        <w:rPr/>
        <w:t xml:space="preserve">3. Project Objectives and Scope</w:t>
      </w:r>
    </w:p>
    <w:p w14:paraId="0010001E" w14:textId="0010001F">
      <w:pPr>
        <w:spacing w:after="120"/>
      </w:pPr>
      <w:r>
        <w:rPr>
          <w:sz w:val="22"/>
        </w:rPr>
        <w:t xml:space="preserve">The project objectives are:</w:t>
      </w:r>
    </w:p>
    <w:p w14:paraId="00100020" w14:textId="00100021">
      <w:pPr>
        <w:numPr>
          <w:ilvl w:val="0"/>
          <w:numId w:val="1"/>
        </w:numPr>
        <w:spacing w:after="80"/>
      </w:pPr>
      <w:r>
        <w:rPr>
          <w:sz w:val="22"/>
        </w:rPr>
        <w:t xml:space="preserve">1.  Inspect and clean the raw dataset without modifying the original source file.</w:t>
      </w:r>
    </w:p>
    <w:p w14:paraId="00100022" w14:textId="00100023">
      <w:pPr>
        <w:numPr>
          <w:ilvl w:val="0"/>
          <w:numId w:val="1"/>
        </w:numPr>
        <w:spacing w:after="80"/>
      </w:pPr>
      <w:r>
        <w:rPr>
          <w:sz w:val="22"/>
        </w:rPr>
        <w:t xml:space="preserve">2.  Validate data quality through documented checks covering duplicates, date parsing, financial formula consistency, and missing-value patterns.</w:t>
      </w:r>
    </w:p>
    <w:p w14:paraId="00100024" w14:textId="00100025">
      <w:pPr>
        <w:numPr>
          <w:ilvl w:val="0"/>
          <w:numId w:val="1"/>
        </w:numPr>
        <w:spacing w:after="80"/>
      </w:pPr>
      <w:r>
        <w:rPr>
          <w:sz w:val="22"/>
        </w:rPr>
        <w:t xml:space="preserve">3.  Calculate headline KPIs with explicit denominators and currency scope labels.</w:t>
      </w:r>
    </w:p>
    <w:p w14:paraId="00100026" w14:textId="00100027">
      <w:pPr>
        <w:numPr>
          <w:ilvl w:val="0"/>
          <w:numId w:val="1"/>
        </w:numPr>
        <w:spacing w:after="80"/>
      </w:pPr>
      <w:r>
        <w:rPr>
          <w:sz w:val="22"/>
        </w:rPr>
        <w:t xml:space="preserve">4.  Independently audit all reported KPIs by recomputing them from the cleaned dataset.</w:t>
      </w:r>
    </w:p>
    <w:p w14:paraId="00100028" w14:textId="00100029">
      <w:pPr>
        <w:numPr>
          <w:ilvl w:val="0"/>
          <w:numId w:val="1"/>
        </w:numPr>
        <w:spacing w:after="80"/>
      </w:pPr>
      <w:r>
        <w:rPr>
          <w:sz w:val="22"/>
        </w:rPr>
        <w:t xml:space="preserve">5.  Identify and document eight business insights supported by measured evidence.</w:t>
      </w:r>
    </w:p>
    <w:p w14:paraId="0010002A" w14:textId="0010002B">
      <w:pPr>
        <w:numPr>
          <w:ilvl w:val="0"/>
          <w:numId w:val="1"/>
        </w:numPr>
        <w:spacing w:after="80"/>
      </w:pPr>
      <w:r>
        <w:rPr>
          <w:sz w:val="22"/>
        </w:rPr>
        <w:t xml:space="preserve">6.  Formulate eight prioritised recommendations directly traceable to the insights.</w:t>
      </w:r>
    </w:p>
    <w:p w14:paraId="0010002C" w14:textId="0010002D">
      <w:pPr>
        <w:numPr>
          <w:ilvl w:val="0"/>
          <w:numId w:val="1"/>
        </w:numPr>
        <w:spacing w:after="160"/>
      </w:pPr>
      <w:r>
        <w:rPr>
          <w:sz w:val="22"/>
        </w:rPr>
        <w:t xml:space="preserve">7.  Produce a reproducible Jupyter Notebook and this project report as final deliverables.</w:t>
      </w:r>
    </w:p>
    <w:p w14:paraId="0010002E" w14:textId="0010002F">
      <w:pPr>
        <w:spacing w:after="160"/>
      </w:pPr>
      <w:r>
        <w:rPr>
          <w:sz w:val="22"/>
        </w:rPr>
        <w:t xml:space="preserve">This project explicitly excludes dashboard development and machine-learning modelling. Those are identified as future-scope items in Section 14.</w:t>
      </w:r>
    </w:p>
    <w:p w14:paraId="00100030" w14:textId="00100031">
      <w:pPr>
        <w:pStyle w:val="Heading1"/>
        <w:spacing w:after="120"/>
      </w:pPr>
      <w:r>
        <w:rPr/>
        <w:t xml:space="preserve">4. Dataset Description</w:t>
      </w:r>
    </w:p>
    <w:p w14:paraId="00100032" w14:textId="00100033">
      <w:pPr>
        <w:spacing w:after="160"/>
      </w:pPr>
      <w:r>
        <w:rPr>
          <w:sz w:val="22"/>
        </w:rPr>
        <w:t xml:space="preserve">The source file (ecommerce_sales_customer_analytics_150k.csv) was inspected and cleaned to produce data/cleaned_ecommerce.csv. The following table summarises the dataset characteristics.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4" w14:textId="00100035">
            <w:r>
              <w:t xml:space="preserve">Attribute</w:t>
            </w:r>
          </w:p>
        </w:tc>
        <w:tc>
          <w:p w14:paraId="00100036" w14:textId="00100037">
            <w:r>
              <w:t xml:space="preserve">Value</w:t>
            </w:r>
          </w:p>
        </w:tc>
      </w:tr>
      <w:tr>
        <w:trPr/>
        <w:tc>
          <w:p w14:paraId="00100038" w14:textId="00100039">
            <w:r>
              <w:t xml:space="preserve">Source file</w:t>
            </w:r>
          </w:p>
        </w:tc>
        <w:tc>
          <w:p w14:paraId="0010003A" w14:textId="0010003B">
            <w:r>
              <w:t xml:space="preserve">ecommerce_sales_customer_analytics_150k.csv</w:t>
            </w:r>
          </w:p>
        </w:tc>
      </w:tr>
      <w:tr>
        <w:trPr/>
        <w:tc>
          <w:p w14:paraId="0010003C" w14:textId="0010003D">
            <w:r>
              <w:t xml:space="preserve">Cleaned file</w:t>
            </w:r>
          </w:p>
        </w:tc>
        <w:tc>
          <w:p w14:paraId="0010003E" w14:textId="0010003F">
            <w:r>
              <w:t xml:space="preserve">data/cleaned_ecommerce.csv</w:t>
            </w:r>
          </w:p>
        </w:tc>
      </w:tr>
      <w:tr>
        <w:trPr/>
        <w:tc>
          <w:p w14:paraId="00100040" w14:textId="00100041">
            <w:r>
              <w:t xml:space="preserve">Total records</w:t>
            </w:r>
          </w:p>
        </w:tc>
        <w:tc>
          <w:p w14:paraId="00100042" w14:textId="00100043">
            <w:r>
              <w:t xml:space="preserve">138,116 rows</w:t>
            </w:r>
          </w:p>
        </w:tc>
      </w:tr>
      <w:tr>
        <w:trPr/>
        <w:tc>
          <w:p w14:paraId="00100044" w14:textId="00100045">
            <w:r>
              <w:t xml:space="preserve">Original columns</w:t>
            </w:r>
          </w:p>
        </w:tc>
        <w:tc>
          <w:p w14:paraId="00100046" w14:textId="00100047">
            <w:r>
              <w:t xml:space="preserve">46</w:t>
            </w:r>
          </w:p>
        </w:tc>
      </w:tr>
      <w:tr>
        <w:trPr/>
        <w:tc>
          <w:p w14:paraId="00100048" w14:textId="00100049">
            <w:r>
              <w:t xml:space="preserve">Columns after cleaning</w:t>
            </w:r>
          </w:p>
        </w:tc>
        <w:tc>
          <w:p w14:paraId="0010004A" w14:textId="0010004B">
            <w:r>
              <w:t xml:space="preserve">49 (3 helper columns added: order_year, order_month, order_dow)</w:t>
            </w:r>
          </w:p>
        </w:tc>
      </w:tr>
      <w:tr>
        <w:trPr/>
        <w:tc>
          <w:p w14:paraId="0010004C" w14:textId="0010004D">
            <w:r>
              <w:t xml:space="preserve">Date range</w:t>
            </w:r>
          </w:p>
        </w:tc>
        <w:tc>
          <w:p w14:paraId="0010004E" w14:textId="0010004F">
            <w:r>
              <w:t xml:space="preserve">2021-01-01 to 2025-12-31 (60 months)</w:t>
            </w:r>
          </w:p>
        </w:tc>
      </w:tr>
      <w:tr>
        <w:trPr/>
        <w:tc>
          <w:p w14:paraId="00100050" w14:textId="00100051">
            <w:r>
              <w:t xml:space="preserve">Currencies</w:t>
            </w:r>
          </w:p>
        </w:tc>
        <w:tc>
          <w:p w14:paraId="00100052" w14:textId="00100053">
            <w:r>
              <w:t xml:space="preserve">USD (59.8%), GBP (14.7%), EUR (8.4%), CAD (5.1%), AUD (4.9%), INR (4.1%), AED (3.0%)</w:t>
            </w:r>
          </w:p>
        </w:tc>
      </w:tr>
      <w:tr>
        <w:trPr/>
        <w:tc>
          <w:p w14:paraId="00100054" w14:textId="00100055">
            <w:r>
              <w:t xml:space="preserve">Sales channels</w:t>
            </w:r>
          </w:p>
        </w:tc>
        <w:tc>
          <w:p w14:paraId="00100056" w14:textId="00100057">
            <w:r>
              <w:t xml:space="preserve">Mobile App (40.1%), Website (34.9%), Marketplace (15.0%), Social Media (10.0%)</w:t>
            </w:r>
          </w:p>
        </w:tc>
      </w:tr>
      <w:tr>
        <w:trPr/>
        <w:tc>
          <w:p w14:paraId="00100058" w14:textId="00100059">
            <w:r>
              <w:t xml:space="preserve">Order statuses</w:t>
            </w:r>
          </w:p>
        </w:tc>
        <w:tc>
          <w:p w14:paraId="0010005A" w14:textId="0010005B">
            <w:r>
              <w:t xml:space="preserve">Completed (82.2%), Returned (6.9%), Cancelled (6.1%), Pending (4.8%)</w:t>
            </w:r>
          </w:p>
        </w:tc>
      </w:tr>
      <w:tr>
        <w:trPr/>
        <w:tc>
          <w:p w14:paraId="0010005C" w14:textId="0010005D">
            <w:r>
              <w:t xml:space="preserve">Duplicate rows</w:t>
            </w:r>
          </w:p>
        </w:tc>
        <w:tc>
          <w:p w14:paraId="0010005E" w14:textId="0010005F">
            <w:r>
              <w:t xml:space="preserve">0 (confirmed)</w:t>
            </w:r>
          </w:p>
        </w:tc>
      </w:tr>
      <w:tr>
        <w:trPr/>
        <w:tc>
          <w:p w14:paraId="00100060" w14:textId="00100061">
            <w:r>
              <w:t xml:space="preserve">Currency limitation</w:t>
            </w:r>
          </w:p>
        </w:tc>
        <w:tc>
          <w:p w14:paraId="00100062" w14:textId="00100063">
            <w:r>
              <w:t xml:space="preserve">No exchange rates are available. Monetary totals that pool multiple currencies are labelled [MULTI-CCY] and must not be used for cross-currency absolute comparisons.</w:t>
            </w:r>
          </w:p>
        </w:tc>
      </w:tr>
    </w:tbl>
    <w:p w14:paraId="00100064" w14:textId="00100065">
      <w:pPr>
        <w:pStyle w:val="Heading2"/>
        <w:spacing w:after="120"/>
      </w:pPr>
      <w:r>
        <w:rPr/>
        <w:t xml:space="preserve">4.1 Missing Value Summary</w:t>
      </w:r>
    </w:p>
    <w:p w14:paraId="00100066" w14:textId="00100067">
      <w:pPr>
        <w:spacing w:after="120"/>
      </w:pPr>
      <w:r>
        <w:rPr>
          <w:sz w:val="22"/>
        </w:rPr>
        <w:t xml:space="preserve">Nine columns contain missing values. All absences are structurally explained by order status, not by data errors: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8" w14:textId="00100069">
            <w:r>
              <w:t xml:space="preserve">Column</w:t>
            </w:r>
          </w:p>
        </w:tc>
        <w:tc>
          <w:p w14:paraId="0010006A" w14:textId="0010006B">
            <w:r>
              <w:t xml:space="preserve">Missing Count (%)</w:t>
            </w:r>
          </w:p>
        </w:tc>
        <w:tc>
          <w:p w14:paraId="0010006C" w14:textId="0010006D">
            <w:r>
              <w:t xml:space="preserve">Reason</w:t>
            </w:r>
          </w:p>
        </w:tc>
      </w:tr>
      <w:tr>
        <w:trPr/>
        <w:tc>
          <w:p w14:paraId="0010006E" w14:textId="0010006F">
            <w:r>
              <w:t xml:space="preserve">return_status, return_reason</w:t>
            </w:r>
          </w:p>
        </w:tc>
        <w:tc>
          <w:p w14:paraId="00100070" w14:textId="00100071">
            <w:r>
              <w:t xml:space="preserve">128,654 (93.2%)</w:t>
            </w:r>
          </w:p>
        </w:tc>
        <w:tc>
          <w:p w14:paraId="00100072" w14:textId="00100073">
            <w:r>
              <w:t xml:space="preserve">Only populated for Returned orders</w:t>
            </w:r>
          </w:p>
        </w:tc>
      </w:tr>
      <w:tr>
        <w:trPr/>
        <w:tc>
          <w:p w14:paraId="00100074" w14:textId="00100075">
            <w:r>
              <w:t xml:space="preserve">coupon_code</w:t>
            </w:r>
          </w:p>
        </w:tc>
        <w:tc>
          <w:p w14:paraId="00100076" w14:textId="00100077">
            <w:r>
              <w:t xml:space="preserve">110,502 (80.0%)</w:t>
            </w:r>
          </w:p>
        </w:tc>
        <w:tc>
          <w:p w14:paraId="00100078" w14:textId="00100079">
            <w:r>
              <w:t xml:space="preserve">Only populated when a coupon was applied</w:t>
            </w:r>
          </w:p>
        </w:tc>
      </w:tr>
      <w:tr>
        <w:trPr/>
        <w:tc>
          <w:p w14:paraId="0010007A" w14:textId="0010007B">
            <w:r>
              <w:t xml:space="preserve">campaign_name</w:t>
            </w:r>
          </w:p>
        </w:tc>
        <w:tc>
          <w:p w14:paraId="0010007C" w14:textId="0010007D">
            <w:r>
              <w:t xml:space="preserve">83,233 (60.3%)</w:t>
            </w:r>
          </w:p>
        </w:tc>
        <w:tc>
          <w:p w14:paraId="0010007E" w14:textId="0010007F">
            <w:r>
              <w:t xml:space="preserve">Only populated when order linked to a named campaign</w:t>
            </w:r>
          </w:p>
        </w:tc>
      </w:tr>
      <w:tr>
        <w:trPr/>
        <w:tc>
          <w:p w14:paraId="00100080" w14:textId="00100081">
            <w:r>
              <w:t xml:space="preserve">delivery_days</w:t>
            </w:r>
          </w:p>
        </w:tc>
        <w:tc>
          <w:p w14:paraId="00100082" w14:textId="00100083">
            <w:r>
              <w:t xml:space="preserve">24,557 (17.8%)</w:t>
            </w:r>
          </w:p>
        </w:tc>
        <w:tc>
          <w:p w14:paraId="00100084" w14:textId="00100085">
            <w:r>
              <w:t xml:space="preserve">Null for Cancelled and Pending orders</w:t>
            </w:r>
          </w:p>
        </w:tc>
      </w:tr>
      <w:tr>
        <w:trPr/>
        <w:tc>
          <w:p w14:paraId="00100086" w14:textId="00100087">
            <w:r>
              <w:t xml:space="preserve">estimated_delivery_days</w:t>
            </w:r>
          </w:p>
        </w:tc>
        <w:tc>
          <w:p w14:paraId="00100088" w14:textId="00100089">
            <w:r>
              <w:t xml:space="preserve">24,557 (17.8%)</w:t>
            </w:r>
          </w:p>
        </w:tc>
        <w:tc>
          <w:p w14:paraId="0010008A" w14:textId="0010008B">
            <w:r>
              <w:t xml:space="preserve">Same as above</w:t>
            </w:r>
          </w:p>
        </w:tc>
      </w:tr>
      <w:tr>
        <w:trPr/>
        <w:tc>
          <w:p w14:paraId="0010008C" w14:textId="0010008D">
            <w:r>
              <w:t xml:space="preserve">customer_rating</w:t>
            </w:r>
          </w:p>
        </w:tc>
        <w:tc>
          <w:p w14:paraId="0010008E" w14:textId="0010008F">
            <w:r>
              <w:t xml:space="preserve">24,557 (17.8%)</w:t>
            </w:r>
          </w:p>
        </w:tc>
        <w:tc>
          <w:p w14:paraId="00100090" w14:textId="00100091">
            <w:r>
              <w:t xml:space="preserve">Same as above</w:t>
            </w:r>
          </w:p>
        </w:tc>
      </w:tr>
      <w:tr>
        <w:trPr/>
        <w:tc>
          <w:p w14:paraId="00100092" w14:textId="00100093">
            <w:r>
              <w:t xml:space="preserve">review_sentiment</w:t>
            </w:r>
          </w:p>
        </w:tc>
        <w:tc>
          <w:p w14:paraId="00100094" w14:textId="00100095">
            <w:r>
              <w:t xml:space="preserve">24,557 (17.8%)</w:t>
            </w:r>
          </w:p>
        </w:tc>
        <w:tc>
          <w:p w14:paraId="00100096" w14:textId="00100097">
            <w:r>
              <w:t xml:space="preserve">Same as above</w:t>
            </w:r>
          </w:p>
        </w:tc>
      </w:tr>
      <w:tr>
        <w:trPr/>
        <w:tc>
          <w:p w14:paraId="00100098" w14:textId="00100099">
            <w:r>
              <w:t xml:space="preserve">customer_review</w:t>
            </w:r>
          </w:p>
        </w:tc>
        <w:tc>
          <w:p w14:paraId="0010009A" w14:textId="0010009B">
            <w:r>
              <w:t xml:space="preserve">24,557 (17.8%)</w:t>
            </w:r>
          </w:p>
        </w:tc>
        <w:tc>
          <w:p w14:paraId="0010009C" w14:textId="0010009D">
            <w:r>
              <w:t xml:space="preserve">Same as above</w:t>
            </w:r>
          </w:p>
        </w:tc>
      </w:tr>
      <w:tr>
        <w:trPr/>
        <w:tc>
          <w:p w14:paraId="0010009E" w14:textId="0010009F">
            <w:r>
              <w:t xml:space="preserve">Decision</w:t>
            </w:r>
          </w:p>
        </w:tc>
        <w:tc>
          <w:p w14:paraId="001000A0" w14:textId="001000A1">
            <w:r>
              <w:t xml:space="preserve">All preserved</w:t>
            </w:r>
          </w:p>
        </w:tc>
        <w:tc>
          <w:p w14:paraId="001000A2" w14:textId="001000A3">
            <w:r>
              <w:t xml:space="preserve">No row was dropped due to missing values. Rows removed: 0.</w:t>
            </w:r>
          </w:p>
        </w:tc>
      </w:tr>
    </w:tbl>
    <w:p w14:paraId="001000A4" w14:textId="001000A5">
      <w:pPr>
        <w:pStyle w:val="Heading1"/>
        <w:spacing w:after="120"/>
      </w:pPr>
      <w:r>
        <w:rPr/>
        <w:t xml:space="preserve">5. Tools and Technologies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6" w14:textId="001000A7">
            <w:r>
              <w:t xml:space="preserve">Tool / Library</w:t>
            </w:r>
          </w:p>
        </w:tc>
        <w:tc>
          <w:p w14:paraId="001000A8" w14:textId="001000A9">
            <w:r>
              <w:t xml:space="preserve">Version</w:t>
            </w:r>
          </w:p>
        </w:tc>
        <w:tc>
          <w:p w14:paraId="001000AA" w14:textId="001000AB">
            <w:r>
              <w:t xml:space="preserve">Purpose</w:t>
            </w:r>
          </w:p>
        </w:tc>
      </w:tr>
      <w:tr>
        <w:trPr/>
        <w:tc>
          <w:p w14:paraId="001000AC" w14:textId="001000AD">
            <w:r>
              <w:t xml:space="preserve">Python</w:t>
            </w:r>
          </w:p>
        </w:tc>
        <w:tc>
          <w:p w14:paraId="001000AE" w14:textId="001000AF">
            <w:r>
              <w:t xml:space="preserve">3.11.9</w:t>
            </w:r>
          </w:p>
        </w:tc>
        <w:tc>
          <w:p w14:paraId="001000B0" w14:textId="001000B1">
            <w:r>
              <w:t xml:space="preserve">Primary programming language</w:t>
            </w:r>
          </w:p>
        </w:tc>
      </w:tr>
      <w:tr>
        <w:trPr/>
        <w:tc>
          <w:p w14:paraId="001000B2" w14:textId="001000B3">
            <w:r>
              <w:t xml:space="preserve">pandas</w:t>
            </w:r>
          </w:p>
        </w:tc>
        <w:tc>
          <w:p w14:paraId="001000B4" w14:textId="001000B5">
            <w:r>
              <w:t xml:space="preserve">3.0.5</w:t>
            </w:r>
          </w:p>
        </w:tc>
        <w:tc>
          <w:p w14:paraId="001000B6" w14:textId="001000B7">
            <w:r>
              <w:t xml:space="preserve">Data loading, cleaning, aggregation, KPI calculation</w:t>
            </w:r>
          </w:p>
        </w:tc>
      </w:tr>
      <w:tr>
        <w:trPr/>
        <w:tc>
          <w:p w14:paraId="001000B8" w14:textId="001000B9">
            <w:r>
              <w:t xml:space="preserve">numpy</w:t>
            </w:r>
          </w:p>
        </w:tc>
        <w:tc>
          <w:p w14:paraId="001000BA" w14:textId="001000BB">
            <w:r>
              <w:t xml:space="preserve">2.4.6</w:t>
            </w:r>
          </w:p>
        </w:tc>
        <w:tc>
          <w:p w14:paraId="001000BC" w14:textId="001000BD">
            <w:r>
              <w:t xml:space="preserve">Numerical operations</w:t>
            </w:r>
          </w:p>
        </w:tc>
      </w:tr>
      <w:tr>
        <w:trPr/>
        <w:tc>
          <w:p w14:paraId="001000BE" w14:textId="001000BF">
            <w:r>
              <w:t xml:space="preserve">matplotlib</w:t>
            </w:r>
          </w:p>
        </w:tc>
        <w:tc>
          <w:p w14:paraId="001000C0" w14:textId="001000C1">
            <w:r>
              <w:t xml:space="preserve">3.11.0</w:t>
            </w:r>
          </w:p>
        </w:tc>
        <w:tc>
          <w:p w14:paraId="001000C2" w14:textId="001000C3">
            <w:r>
              <w:t xml:space="preserve">Visualisation (all figures in this report)</w:t>
            </w:r>
          </w:p>
        </w:tc>
      </w:tr>
      <w:tr>
        <w:trPr/>
        <w:tc>
          <w:p w14:paraId="001000C4" w14:textId="001000C5">
            <w:r>
              <w:t xml:space="preserve">seaborn</w:t>
            </w:r>
          </w:p>
        </w:tc>
        <w:tc>
          <w:p w14:paraId="001000C6" w14:textId="001000C7">
            <w:r>
              <w:t xml:space="preserve">0.13.2</w:t>
            </w:r>
          </w:p>
        </w:tc>
        <w:tc>
          <w:p w14:paraId="001000C8" w14:textId="001000C9">
            <w:r>
              <w:t xml:space="preserve">Statistical chart styling</w:t>
            </w:r>
          </w:p>
        </w:tc>
      </w:tr>
      <w:tr>
        <w:trPr/>
        <w:tc>
          <w:p w14:paraId="001000CA" w14:textId="001000CB">
            <w:r>
              <w:t xml:space="preserve">nbformat / nbconvert</w:t>
            </w:r>
          </w:p>
        </w:tc>
        <w:tc>
          <w:p w14:paraId="001000CC" w14:textId="001000CD">
            <w:r>
              <w:t xml:space="preserve">5.11.1 / 7.17.1</w:t>
            </w:r>
          </w:p>
        </w:tc>
        <w:tc>
          <w:p w14:paraId="001000CE" w14:textId="001000CF">
            <w:r>
              <w:t xml:space="preserve">Jupyter Notebook creation and execution</w:t>
            </w:r>
          </w:p>
        </w:tc>
      </w:tr>
      <w:tr>
        <w:trPr/>
        <w:tc>
          <w:p w14:paraId="001000D0" w14:textId="001000D1">
            <w:r>
              <w:t xml:space="preserve">Jupyter Notebook</w:t>
            </w:r>
          </w:p>
        </w:tc>
        <w:tc>
          <w:p w14:paraId="001000D2" w14:textId="001000D3">
            <w:r>
              <w:t xml:space="preserve">Latest</w:t>
            </w:r>
          </w:p>
        </w:tc>
        <w:tc>
          <w:p w14:paraId="001000D4" w14:textId="001000D5">
            <w:r>
              <w:t xml:space="preserve">Interactive analysis environment and final deliverable</w:t>
            </w:r>
          </w:p>
        </w:tc>
      </w:tr>
    </w:tbl>
    <w:p w14:paraId="001000D6" w14:textId="001000D7">
      <w:pPr>
        <w:pStyle w:val="Heading1"/>
        <w:spacing w:after="120"/>
      </w:pPr>
      <w:r>
        <w:rPr/>
        <w:t xml:space="preserve">6. Methodology</w:t>
      </w:r>
    </w:p>
    <w:p w14:paraId="001000D8" w14:textId="001000D9">
      <w:pPr>
        <w:spacing w:after="120"/>
      </w:pPr>
      <w:r>
        <w:rPr>
          <w:sz w:val="22"/>
        </w:rPr>
        <w:t xml:space="preserve">The project followed a five-stage pipeline:</w:t>
      </w:r>
    </w:p>
    <w:p w14:paraId="001000DA" w14:textId="001000DB">
      <w:pPr>
        <w:numPr>
          <w:ilvl w:val="0"/>
          <w:numId w:val="2"/>
        </w:numPr>
        <w:spacing w:after="120"/>
      </w:pPr>
      <w:r>
        <w:rPr>
          <w:sz w:val="22"/>
        </w:rPr>
        <w:t xml:space="preserve">Stage 1 — Data Inspection (scripts/clean_data.py): The raw CSV was loaded and inspected for shape, column types, duplicate rows, structural parsing errors, and uniqueness of order_id. The file loaded cleanly with 138,116 rows and 46 columns. No exact duplicate rows were found. All 138,116 order_id values were unique. The financial formula net_sales = gross_sales - discount_amount + tax_amount + shipping_cost held for 100% of rows within a $1.00 tolerance.</w:t>
      </w:r>
    </w:p>
    <w:p w14:paraId="001000DC" w14:textId="001000DD">
      <w:pPr>
        <w:numPr>
          <w:ilvl w:val="0"/>
          <w:numId w:val="2"/>
        </w:numPr>
        <w:spacing w:after="120"/>
      </w:pPr>
      <w:r>
        <w:rPr>
          <w:sz w:val="22"/>
        </w:rPr>
        <w:t xml:space="preserve">Stage 2 — Data Cleaning: order_date was parsed to datetime (0 invalid dates). customer_postal_code was loaded as a string to preserve leading zeros present in the source. Negative profit values were retained as economically valid. All missing values were preserved with structural justification. Three derived columns were added: order_year, order_month, order_dow. No rows were dropped.</w:t>
      </w:r>
    </w:p>
    <w:p w14:paraId="001000DE" w14:textId="001000DF">
      <w:pPr>
        <w:numPr>
          <w:ilvl w:val="0"/>
          <w:numId w:val="2"/>
        </w:numPr>
        <w:spacing w:after="120"/>
      </w:pPr>
      <w:r>
        <w:rPr>
          <w:sz w:val="22"/>
        </w:rPr>
        <w:t xml:space="preserve">Stage 3 — Exploratory Data Analysis (scripts/eda_analysis.py): Revenue, profit, and margin trends were computed for all 60 months. Breakdowns were produced by region, sales channel, customer segment, marketing channel, payment method, shipping method, and currency. All monetary aggregates were kept per-currency. Return reasons were extracted after applying a string cast to the return_reason column.</w:t>
      </w:r>
    </w:p>
    <w:p w14:paraId="001000E0" w14:textId="001000E1">
      <w:pPr>
        <w:numPr>
          <w:ilvl w:val="0"/>
          <w:numId w:val="2"/>
        </w:numPr>
        <w:spacing w:after="120"/>
      </w:pPr>
      <w:r>
        <w:rPr>
          <w:sz w:val="22"/>
        </w:rPr>
        <w:t xml:space="preserve">Stage 4 — KPI Validation (scripts/kpi_validation.py): All 24 headline KPIs were recomputed independently from the cleaned dataset and compared to the reported values. An additional 14 per-currency revenue checks were performed. All 38 checks passed within a 0.1% tolerance. One labelling issue was identified and corrected: the 99.76% repeat-order row rate was distinguished from the 98.66% customer-level repeat rate.</w:t>
      </w:r>
    </w:p>
    <w:p w14:paraId="001000E2" w14:textId="001000E3">
      <w:pPr>
        <w:numPr>
          <w:ilvl w:val="0"/>
          <w:numId w:val="2"/>
        </w:numPr>
        <w:spacing w:after="160"/>
      </w:pPr>
      <w:r>
        <w:rPr>
          <w:sz w:val="22"/>
        </w:rPr>
        <w:t xml:space="preserve">Stage 5 — Insight and Recommendation Synthesis: Eight business insights were derived from the validated KPIs, each with measured evidence, business implication, limitation, and recommended action. Eight prioritised recommendations were formulated and linked to their source insights.</w:t>
      </w:r>
    </w:p>
    <w:p w14:paraId="001000E4" w14:textId="001000E5">
      <w:pPr>
        <w:pStyle w:val="Heading1"/>
        <w:spacing w:after="120"/>
      </w:pPr>
      <w:r>
        <w:rPr/>
        <w:t xml:space="preserve">7. Key Performance Indicators</w:t>
      </w:r>
    </w:p>
    <w:p w14:paraId="001000E6" w14:textId="001000E7">
      <w:pPr>
        <w:spacing w:after="160"/>
      </w:pPr>
      <w:r>
        <w:rPr>
          <w:sz w:val="22"/>
        </w:rPr>
        <w:t xml:space="preserve">All KPIs are computed from data/cleaned_ecommerce.csv. Scope labels and denominators are stated explicitly for each metric. Multi-currency totals (labelled [MULTI-CCY]) pool USD, GBP, EUR, CAD, AUD, INR, and AED without conversion and should not be used for cross-currency absolute comparisons.</w:t>
      </w:r>
    </w:p>
    <w:p w14:paraId="001000E8" w14:textId="001000E9">
      <w:pPr>
        <w:pStyle w:val="Heading2"/>
        <w:spacing w:after="120"/>
      </w:pPr>
      <w:r>
        <w:rPr/>
        <w:t xml:space="preserve">7.1 Order Volume and Status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A" w14:textId="001000EB">
            <w:r>
              <w:t xml:space="preserve">KPI</w:t>
            </w:r>
          </w:p>
        </w:tc>
        <w:tc>
          <w:p w14:paraId="001000EC" w14:textId="001000ED">
            <w:r>
              <w:t xml:space="preserve">Value</w:t>
            </w:r>
          </w:p>
        </w:tc>
        <w:tc>
          <w:p w14:paraId="001000EE" w14:textId="001000EF">
            <w:r>
              <w:t xml:space="preserve">Scope / Denominator</w:t>
            </w:r>
          </w:p>
        </w:tc>
      </w:tr>
      <w:tr>
        <w:trPr/>
        <w:tc>
          <w:p w14:paraId="001000F0" w14:textId="001000F1">
            <w:r>
              <w:t xml:space="preserve">Total orders</w:t>
            </w:r>
          </w:p>
        </w:tc>
        <w:tc>
          <w:p w14:paraId="001000F2" w14:textId="001000F3">
            <w:r>
              <w:t xml:space="preserve">138,116</w:t>
            </w:r>
          </w:p>
        </w:tc>
        <w:tc>
          <w:p w14:paraId="001000F4" w14:textId="001000F5">
            <w:r>
              <w:t xml:space="preserve">All statuses</w:t>
            </w:r>
          </w:p>
        </w:tc>
      </w:tr>
      <w:tr>
        <w:trPr/>
        <w:tc>
          <w:p w14:paraId="001000F6" w14:textId="001000F7">
            <w:r>
              <w:t xml:space="preserve">Completed orders</w:t>
            </w:r>
          </w:p>
        </w:tc>
        <w:tc>
          <w:p w14:paraId="001000F8" w14:textId="001000F9">
            <w:r>
              <w:t xml:space="preserve">113,559 (82.2%)</w:t>
            </w:r>
          </w:p>
        </w:tc>
        <w:tc>
          <w:p w14:paraId="001000FA" w14:textId="001000FB">
            <w:r>
              <w:t xml:space="preserve">Completed only</w:t>
            </w:r>
          </w:p>
        </w:tc>
      </w:tr>
      <w:tr>
        <w:trPr/>
        <w:tc>
          <w:p w14:paraId="001000FC" w14:textId="001000FD">
            <w:r>
              <w:t xml:space="preserve">Returned orders</w:t>
            </w:r>
          </w:p>
        </w:tc>
        <w:tc>
          <w:p w14:paraId="001000FE" w14:textId="001000FF">
            <w:r>
              <w:t xml:space="preserve">9,462 (6.9%)</w:t>
            </w:r>
          </w:p>
        </w:tc>
        <w:tc>
          <w:p w14:paraId="00100100" w14:textId="00100101">
            <w:r>
              <w:t xml:space="preserve">Returned only</w:t>
            </w:r>
          </w:p>
        </w:tc>
      </w:tr>
      <w:tr>
        <w:trPr/>
        <w:tc>
          <w:p w14:paraId="00100102" w14:textId="00100103">
            <w:r>
              <w:t xml:space="preserve">Cancelled orders</w:t>
            </w:r>
          </w:p>
        </w:tc>
        <w:tc>
          <w:p w14:paraId="00100104" w14:textId="00100105">
            <w:r>
              <w:t xml:space="preserve">8,398 (6.1%)</w:t>
            </w:r>
          </w:p>
        </w:tc>
        <w:tc>
          <w:p w14:paraId="00100106" w14:textId="00100107">
            <w:r>
              <w:t xml:space="preserve">Cancelled only</w:t>
            </w:r>
          </w:p>
        </w:tc>
      </w:tr>
      <w:tr>
        <w:trPr/>
        <w:tc>
          <w:p w14:paraId="00100108" w14:textId="00100109">
            <w:r>
              <w:t xml:space="preserve">Return rate</w:t>
            </w:r>
          </w:p>
        </w:tc>
        <w:tc>
          <w:p w14:paraId="0010010A" w14:textId="0010010B">
            <w:r>
              <w:t xml:space="preserve">7.69%</w:t>
            </w:r>
          </w:p>
        </w:tc>
        <w:tc>
          <w:p w14:paraId="0010010C" w14:textId="0010010D">
            <w:r>
              <w:t xml:space="preserve">Returned / (Completed + Returned)</w:t>
            </w:r>
          </w:p>
        </w:tc>
      </w:tr>
      <w:tr>
        <w:trPr/>
        <w:tc>
          <w:p w14:paraId="0010010E" w14:textId="0010010F">
            <w:r>
              <w:t xml:space="preserve">Cancellation rate</w:t>
            </w:r>
          </w:p>
        </w:tc>
        <w:tc>
          <w:p w14:paraId="00100110" w14:textId="00100111">
            <w:r>
              <w:t xml:space="preserve">6.08%</w:t>
            </w:r>
          </w:p>
        </w:tc>
        <w:tc>
          <w:p w14:paraId="00100112" w14:textId="00100113">
            <w:r>
              <w:t xml:space="preserve">Cancelled / all orders</w:t>
            </w:r>
          </w:p>
        </w:tc>
      </w:tr>
    </w:tbl>
    <w:p w14:paraId="00100114" w14:textId="00100115">
      <w:pPr>
        <w:pStyle w:val="Heading2"/>
        <w:spacing w:after="120"/>
      </w:pPr>
      <w:r>
        <w:rPr/>
        <w:t xml:space="preserve">7.2 Revenue and Profitability [MULTI-CCY]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6" w14:textId="00100117">
            <w:r>
              <w:t xml:space="preserve">KPI</w:t>
            </w:r>
          </w:p>
        </w:tc>
        <w:tc>
          <w:p w14:paraId="00100118" w14:textId="00100119">
            <w:r>
              <w:t xml:space="preserve">Value [MULTI-CCY]</w:t>
            </w:r>
          </w:p>
        </w:tc>
        <w:tc>
          <w:p w14:paraId="0010011A" w14:textId="0010011B">
            <w:r>
              <w:t xml:space="preserve">Scope / Denominator</w:t>
            </w:r>
          </w:p>
        </w:tc>
      </w:tr>
      <w:tr>
        <w:trPr/>
        <w:tc>
          <w:p w14:paraId="0010011C" w14:textId="0010011D">
            <w:r>
              <w:t xml:space="preserve">Gross sales</w:t>
            </w:r>
          </w:p>
        </w:tc>
        <w:tc>
          <w:p w14:paraId="0010011E" w14:textId="0010011F">
            <w:r>
              <w:t xml:space="preserve">158,943,395</w:t>
            </w:r>
          </w:p>
        </w:tc>
        <w:tc>
          <w:p w14:paraId="00100120" w14:textId="00100121">
            <w:r>
              <w:t xml:space="preserve">Completed orders, multi-currency pool</w:t>
            </w:r>
          </w:p>
        </w:tc>
      </w:tr>
      <w:tr>
        <w:trPr/>
        <w:tc>
          <w:p w14:paraId="00100122" w14:textId="00100123">
            <w:r>
              <w:t xml:space="preserve">Net sales</w:t>
            </w:r>
          </w:p>
        </w:tc>
        <w:tc>
          <w:p w14:paraId="00100124" w14:textId="00100125">
            <w:r>
              <w:t xml:space="preserve">144,195,839</w:t>
            </w:r>
          </w:p>
        </w:tc>
        <w:tc>
          <w:p w14:paraId="00100126" w14:textId="00100127">
            <w:r>
              <w:t xml:space="preserve">Completed orders, multi-currency pool</w:t>
            </w:r>
          </w:p>
        </w:tc>
      </w:tr>
      <w:tr>
        <w:trPr/>
        <w:tc>
          <w:p w14:paraId="00100128" w14:textId="00100129">
            <w:r>
              <w:t xml:space="preserve">Total profit</w:t>
            </w:r>
          </w:p>
        </w:tc>
        <w:tc>
          <w:p w14:paraId="0010012A" w14:textId="0010012B">
            <w:r>
              <w:t xml:space="preserve">59,758,469</w:t>
            </w:r>
          </w:p>
        </w:tc>
        <w:tc>
          <w:p w14:paraId="0010012C" w14:textId="0010012D">
            <w:r>
              <w:t xml:space="preserve">Completed orders, multi-currency pool</w:t>
            </w:r>
          </w:p>
        </w:tc>
      </w:tr>
      <w:tr>
        <w:trPr/>
        <w:tc>
          <w:p w14:paraId="0010012E" w14:textId="0010012F">
            <w:r>
              <w:t xml:space="preserve">Profit margin</w:t>
            </w:r>
          </w:p>
        </w:tc>
        <w:tc>
          <w:p w14:paraId="00100130" w14:textId="00100131">
            <w:r>
              <w:t xml:space="preserve">41.44%</w:t>
            </w:r>
          </w:p>
        </w:tc>
        <w:tc>
          <w:p w14:paraId="00100132" w14:textId="00100133">
            <w:r>
              <w:t xml:space="preserve">Profit / net_sales, Completed orders</w:t>
            </w:r>
          </w:p>
        </w:tc>
      </w:tr>
      <w:tr>
        <w:trPr/>
        <w:tc>
          <w:p w14:paraId="00100134" w14:textId="00100135">
            <w:r>
              <w:t xml:space="preserve">Average order value (gross)</w:t>
            </w:r>
          </w:p>
        </w:tc>
        <w:tc>
          <w:p w14:paraId="00100136" w14:textId="00100137">
            <w:r>
              <w:t xml:space="preserve">1,399.65 [MULTI-CCY]</w:t>
            </w:r>
          </w:p>
        </w:tc>
        <w:tc>
          <w:p w14:paraId="00100138" w14:textId="00100139">
            <w:r>
              <w:t xml:space="preserve">Completed orders</w:t>
            </w:r>
          </w:p>
        </w:tc>
      </w:tr>
      <w:tr>
        <w:trPr/>
        <w:tc>
          <w:p w14:paraId="0010013A" w14:textId="0010013B">
            <w:r>
              <w:t xml:space="preserve">Average order value (net)</w:t>
            </w:r>
          </w:p>
        </w:tc>
        <w:tc>
          <w:p w14:paraId="0010013C" w14:textId="0010013D">
            <w:r>
              <w:t xml:space="preserve">1,269.79 [MULTI-CCY]</w:t>
            </w:r>
          </w:p>
        </w:tc>
        <w:tc>
          <w:p w14:paraId="0010013E" w14:textId="0010013F">
            <w:r>
              <w:t xml:space="preserve">Completed orders</w:t>
            </w:r>
          </w:p>
        </w:tc>
      </w:tr>
      <w:tr>
        <w:trPr/>
        <w:tc>
          <w:p w14:paraId="00100140" w14:textId="00100141">
            <w:r>
              <w:t xml:space="preserve">Loss-making completed orders</w:t>
            </w:r>
          </w:p>
        </w:tc>
        <w:tc>
          <w:p w14:paraId="00100142" w14:textId="00100143">
            <w:r>
              <w:t xml:space="preserve">1,229 (1.08%)</w:t>
            </w:r>
          </w:p>
        </w:tc>
        <w:tc>
          <w:p w14:paraId="00100144" w14:textId="00100145">
            <w:r>
              <w:t xml:space="preserve">Completed orders with profit &lt; 0; avg discount rate 51.7% vs 17.4% overall</w:t>
            </w:r>
          </w:p>
        </w:tc>
      </w:tr>
    </w:tbl>
    <w:p w14:paraId="00100146" w14:textId="00100147">
      <w:pPr>
        <w:pStyle w:val="Heading2"/>
        <w:spacing w:after="120"/>
      </w:pPr>
      <w:r>
        <w:rPr/>
        <w:t xml:space="preserve">7.3 Revenue by Currency (Completed Orders)</w:t>
      </w:r>
    </w:p>
    <w:p w14:paraId="00100148" w14:textId="00100149">
      <w:pPr>
        <w:spacing w:after="120"/>
      </w:pPr>
      <w:r>
        <w:rPr>
          <w:i/>
          <w:sz w:val="22"/>
        </w:rPr>
        <w:t xml:space="preserve">Each figure below is denominated in its own national currency and must not be summed across currencies.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4A" w14:textId="0010014B">
            <w:r>
              <w:t xml:space="preserve">Currency</w:t>
            </w:r>
          </w:p>
        </w:tc>
        <w:tc>
          <w:p w14:paraId="0010014C" w14:textId="0010014D">
            <w:r>
              <w:t xml:space="preserve">Orders</w:t>
            </w:r>
          </w:p>
        </w:tc>
        <w:tc>
          <w:p w14:paraId="0010014E" w14:textId="0010014F">
            <w:r>
              <w:t xml:space="preserve">Net Sales</w:t>
            </w:r>
          </w:p>
        </w:tc>
        <w:tc>
          <w:p w14:paraId="00100150" w14:textId="00100151">
            <w:r>
              <w:t xml:space="preserve">Profit</w:t>
            </w:r>
          </w:p>
        </w:tc>
        <w:tc>
          <w:p w14:paraId="00100152" w14:textId="00100153">
            <w:r>
              <w:t xml:space="preserve">Margin %</w:t>
            </w:r>
          </w:p>
        </w:tc>
      </w:tr>
      <w:tr>
        <w:trPr/>
        <w:tc>
          <w:p w14:paraId="00100154" w14:textId="00100155">
            <w:r>
              <w:t xml:space="preserve">USD</w:t>
            </w:r>
          </w:p>
        </w:tc>
        <w:tc>
          <w:p w14:paraId="00100156" w14:textId="00100157">
            <w:r>
              <w:t xml:space="preserve">67,978</w:t>
            </w:r>
          </w:p>
        </w:tc>
        <w:tc>
          <w:p w14:paraId="00100158" w14:textId="00100159">
            <w:r>
              <w:t xml:space="preserve">83,344,127</w:t>
            </w:r>
          </w:p>
        </w:tc>
        <w:tc>
          <w:p w14:paraId="0010015A" w14:textId="0010015B">
            <w:r>
              <w:t xml:space="preserve">32,860,658</w:t>
            </w:r>
          </w:p>
        </w:tc>
        <w:tc>
          <w:p w14:paraId="0010015C" w14:textId="0010015D">
            <w:r>
              <w:t xml:space="preserve">39.43%</w:t>
            </w:r>
          </w:p>
        </w:tc>
      </w:tr>
      <w:tr>
        <w:trPr/>
        <w:tc>
          <w:p w14:paraId="0010015E" w14:textId="0010015F">
            <w:r>
              <w:t xml:space="preserve">GBP</w:t>
            </w:r>
          </w:p>
        </w:tc>
        <w:tc>
          <w:p w14:paraId="00100160" w14:textId="00100161">
            <w:r>
              <w:t xml:space="preserve">16,652</w:t>
            </w:r>
          </w:p>
        </w:tc>
        <w:tc>
          <w:p w14:paraId="00100162" w14:textId="00100163">
            <w:r>
              <w:t xml:space="preserve">22,807,762</w:t>
            </w:r>
          </w:p>
        </w:tc>
        <w:tc>
          <w:p w14:paraId="00100164" w14:textId="00100165">
            <w:r>
              <w:t xml:space="preserve">10,496,229</w:t>
            </w:r>
          </w:p>
        </w:tc>
        <w:tc>
          <w:p w14:paraId="00100166" w14:textId="00100167">
            <w:r>
              <w:t xml:space="preserve">46.02%</w:t>
            </w:r>
          </w:p>
        </w:tc>
      </w:tr>
      <w:tr>
        <w:trPr/>
        <w:tc>
          <w:p w14:paraId="00100168" w14:textId="00100169">
            <w:r>
              <w:t xml:space="preserve">EUR</w:t>
            </w:r>
          </w:p>
        </w:tc>
        <w:tc>
          <w:p w14:paraId="0010016A" w14:textId="0010016B">
            <w:r>
              <w:t xml:space="preserve">9,483</w:t>
            </w:r>
          </w:p>
        </w:tc>
        <w:tc>
          <w:p w14:paraId="0010016C" w14:textId="0010016D">
            <w:r>
              <w:t xml:space="preserve">12,995,323</w:t>
            </w:r>
          </w:p>
        </w:tc>
        <w:tc>
          <w:p w14:paraId="0010016E" w14:textId="0010016F">
            <w:r>
              <w:t xml:space="preserve">5,958,276</w:t>
            </w:r>
          </w:p>
        </w:tc>
        <w:tc>
          <w:p w14:paraId="00100170" w14:textId="00100171">
            <w:r>
              <w:t xml:space="preserve">45.85%</w:t>
            </w:r>
          </w:p>
        </w:tc>
      </w:tr>
      <w:tr>
        <w:trPr/>
        <w:tc>
          <w:p w14:paraId="00100172" w14:textId="00100173">
            <w:r>
              <w:t xml:space="preserve">CAD</w:t>
            </w:r>
          </w:p>
        </w:tc>
        <w:tc>
          <w:p w14:paraId="00100174" w14:textId="00100175">
            <w:r>
              <w:t xml:space="preserve">5,725</w:t>
            </w:r>
          </w:p>
        </w:tc>
        <w:tc>
          <w:p w14:paraId="00100176" w14:textId="00100177">
            <w:r>
              <w:t xml:space="preserve">7,364,993</w:t>
            </w:r>
          </w:p>
        </w:tc>
        <w:tc>
          <w:p w14:paraId="00100178" w14:textId="00100179">
            <w:r>
              <w:t xml:space="preserve">3,108,830</w:t>
            </w:r>
          </w:p>
        </w:tc>
        <w:tc>
          <w:p w14:paraId="0010017A" w14:textId="0010017B">
            <w:r>
              <w:t xml:space="preserve">42.21%</w:t>
            </w:r>
          </w:p>
        </w:tc>
      </w:tr>
      <w:tr>
        <w:trPr/>
        <w:tc>
          <w:p w14:paraId="0010017C" w14:textId="0010017D">
            <w:r>
              <w:t xml:space="preserve">AUD</w:t>
            </w:r>
          </w:p>
        </w:tc>
        <w:tc>
          <w:p w14:paraId="0010017E" w14:textId="0010017F">
            <w:r>
              <w:t xml:space="preserve">5,548</w:t>
            </w:r>
          </w:p>
        </w:tc>
        <w:tc>
          <w:p w14:paraId="00100180" w14:textId="00100181">
            <w:r>
              <w:t xml:space="preserve">7,103,804</w:t>
            </w:r>
          </w:p>
        </w:tc>
        <w:tc>
          <w:p w14:paraId="00100182" w14:textId="00100183">
            <w:r>
              <w:t xml:space="preserve">2,864,319</w:t>
            </w:r>
          </w:p>
        </w:tc>
        <w:tc>
          <w:p w14:paraId="00100184" w14:textId="00100185">
            <w:r>
              <w:t xml:space="preserve">40.32%</w:t>
            </w:r>
          </w:p>
        </w:tc>
      </w:tr>
      <w:tr>
        <w:trPr/>
        <w:tc>
          <w:p w14:paraId="00100186" w14:textId="00100187">
            <w:r>
              <w:t xml:space="preserve">INR</w:t>
            </w:r>
          </w:p>
        </w:tc>
        <w:tc>
          <w:p w14:paraId="00100188" w14:textId="00100189">
            <w:r>
              <w:t xml:space="preserve">4,718</w:t>
            </w:r>
          </w:p>
        </w:tc>
        <w:tc>
          <w:p w14:paraId="0010018A" w14:textId="0010018B">
            <w:r>
              <w:t xml:space="preserve">6,323,690</w:t>
            </w:r>
          </w:p>
        </w:tc>
        <w:tc>
          <w:p w14:paraId="0010018C" w14:textId="0010018D">
            <w:r>
              <w:t xml:space="preserve">2,856,384</w:t>
            </w:r>
          </w:p>
        </w:tc>
        <w:tc>
          <w:p w14:paraId="0010018E" w14:textId="0010018F">
            <w:r>
              <w:t xml:space="preserve">45.17%</w:t>
            </w:r>
          </w:p>
        </w:tc>
      </w:tr>
      <w:tr>
        <w:trPr/>
        <w:tc>
          <w:p w14:paraId="00100190" w14:textId="00100191">
            <w:r>
              <w:t xml:space="preserve">AED</w:t>
            </w:r>
          </w:p>
        </w:tc>
        <w:tc>
          <w:p w14:paraId="00100192" w14:textId="00100193">
            <w:r>
              <w:t xml:space="preserve">3,455</w:t>
            </w:r>
          </w:p>
        </w:tc>
        <w:tc>
          <w:p w14:paraId="00100194" w14:textId="00100195">
            <w:r>
              <w:t xml:space="preserve">4,256,140</w:t>
            </w:r>
          </w:p>
        </w:tc>
        <w:tc>
          <w:p w14:paraId="00100196" w14:textId="00100197">
            <w:r>
              <w:t xml:space="preserve">1,613,773</w:t>
            </w:r>
          </w:p>
        </w:tc>
        <w:tc>
          <w:p w14:paraId="00100198" w14:textId="00100199">
            <w:r>
              <w:t xml:space="preserve">37.92%</w:t>
            </w:r>
          </w:p>
        </w:tc>
      </w:tr>
    </w:tbl>
    <w:p w14:paraId="0010019A" w14:textId="0010019B">
      <w:pPr>
        <w:pStyle w:val="Heading2"/>
        <w:spacing w:after="120"/>
      </w:pPr>
      <w:r>
        <w:rPr/>
        <w:t xml:space="preserve">7.4 Delivery, Rating, and Customer KPIs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C" w14:textId="0010019D">
            <w:r>
              <w:t xml:space="preserve">KPI</w:t>
            </w:r>
          </w:p>
        </w:tc>
        <w:tc>
          <w:p w14:paraId="0010019E" w14:textId="0010019F">
            <w:r>
              <w:t xml:space="preserve">Value</w:t>
            </w:r>
          </w:p>
        </w:tc>
        <w:tc>
          <w:p w14:paraId="001001A0" w14:textId="001001A1">
            <w:r>
              <w:t xml:space="preserve">Scope / Denominator</w:t>
            </w:r>
          </w:p>
        </w:tc>
      </w:tr>
      <w:tr>
        <w:trPr/>
        <w:tc>
          <w:p w14:paraId="001001A2" w14:textId="001001A3">
            <w:r>
              <w:t xml:space="preserve">On-time delivery rate</w:t>
            </w:r>
          </w:p>
        </w:tc>
        <w:tc>
          <w:p w14:paraId="001001A4" w14:textId="001001A5">
            <w:r>
              <w:t xml:space="preserve">76.54%</w:t>
            </w:r>
          </w:p>
        </w:tc>
        <w:tc>
          <w:p w14:paraId="001001A6" w14:textId="001001A7">
            <w:r>
              <w:t xml:space="preserve">Completed + Returned with non-null delivery_days (113,559 rows)</w:t>
            </w:r>
          </w:p>
        </w:tc>
      </w:tr>
      <w:tr>
        <w:trPr/>
        <w:tc>
          <w:p w14:paraId="001001A8" w14:textId="001001A9">
            <w:r>
              <w:t xml:space="preserve">Avg actual delivery days</w:t>
            </w:r>
          </w:p>
        </w:tc>
        <w:tc>
          <w:p w14:paraId="001001AA" w14:textId="001001AB">
            <w:r>
              <w:t xml:space="preserve">4.56 days</w:t>
            </w:r>
          </w:p>
        </w:tc>
        <w:tc>
          <w:p w14:paraId="001001AC" w14:textId="001001AD">
            <w:r>
              <w:t xml:space="preserve">Same scope</w:t>
            </w:r>
          </w:p>
        </w:tc>
      </w:tr>
      <w:tr>
        <w:trPr/>
        <w:tc>
          <w:p w14:paraId="001001AE" w14:textId="001001AF">
            <w:r>
              <w:t xml:space="preserve">Avg estimated delivery days</w:t>
            </w:r>
          </w:p>
        </w:tc>
        <w:tc>
          <w:p w14:paraId="001001B0" w14:textId="001001B1">
            <w:r>
              <w:t xml:space="preserve">4.30 days</w:t>
            </w:r>
          </w:p>
        </w:tc>
        <w:tc>
          <w:p w14:paraId="001001B2" w14:textId="001001B3">
            <w:r>
              <w:t xml:space="preserve">Same scope; gap = 0.26 days (systematic over-estimation)</w:t>
            </w:r>
          </w:p>
        </w:tc>
      </w:tr>
      <w:tr>
        <w:trPr/>
        <w:tc>
          <w:p w14:paraId="001001B4" w14:textId="001001B5">
            <w:r>
              <w:t xml:space="preserve">Average customer rating</w:t>
            </w:r>
          </w:p>
        </w:tc>
        <w:tc>
          <w:p w14:paraId="001001B6" w14:textId="001001B7">
            <w:r>
              <w:t xml:space="preserve">3.68 / 5.0</w:t>
            </w:r>
          </w:p>
        </w:tc>
        <w:tc>
          <w:p w14:paraId="001001B8" w14:textId="001001B9">
            <w:r>
              <w:t xml:space="preserve">Completed orders, 100% coverage (113,559 ratings)</w:t>
            </w:r>
          </w:p>
        </w:tc>
      </w:tr>
      <w:tr>
        <w:trPr/>
        <w:tc>
          <w:p w14:paraId="001001BA" w14:textId="001001BB">
            <w:r>
              <w:t xml:space="preserve">Positive sentiment</w:t>
            </w:r>
          </w:p>
        </w:tc>
        <w:tc>
          <w:p w14:paraId="001001BC" w14:textId="001001BD">
            <w:r>
              <w:t xml:space="preserve">68.8%</w:t>
            </w:r>
          </w:p>
        </w:tc>
        <w:tc>
          <w:p w14:paraId="001001BE" w14:textId="001001BF">
            <w:r>
              <w:t xml:space="preserve">Completed orders with rating</w:t>
            </w:r>
          </w:p>
        </w:tc>
      </w:tr>
      <w:tr>
        <w:trPr/>
        <w:tc>
          <w:p w14:paraId="001001C0" w14:textId="001001C1">
            <w:r>
              <w:t xml:space="preserve">Neutral sentiment</w:t>
            </w:r>
          </w:p>
        </w:tc>
        <w:tc>
          <w:p w14:paraId="001001C2" w14:textId="001001C3">
            <w:r>
              <w:t xml:space="preserve">30.5%</w:t>
            </w:r>
          </w:p>
        </w:tc>
        <w:tc>
          <w:p w14:paraId="001001C4" w14:textId="001001C5">
            <w:r>
              <w:t xml:space="preserve">Completed orders with rating</w:t>
            </w:r>
          </w:p>
        </w:tc>
      </w:tr>
      <w:tr>
        <w:trPr/>
        <w:tc>
          <w:p w14:paraId="001001C6" w14:textId="001001C7">
            <w:r>
              <w:t xml:space="preserve">Repeat-order row rate</w:t>
            </w:r>
          </w:p>
        </w:tc>
        <w:tc>
          <w:p w14:paraId="001001C8" w14:textId="001001C9">
            <w:r>
              <w:t xml:space="preserve">99.76%</w:t>
            </w:r>
          </w:p>
        </w:tc>
        <w:tc>
          <w:p w14:paraId="001001CA" w14:textId="001001CB">
            <w:r>
              <w:t xml:space="preserve">ORDER ROWS flagged is_repeat_customer=True / all rows (see note below)</w:t>
            </w:r>
          </w:p>
        </w:tc>
      </w:tr>
      <w:tr>
        <w:trPr/>
        <w:tc>
          <w:p w14:paraId="001001CC" w14:textId="001001CD">
            <w:r>
              <w:t xml:space="preserve">Customer-level repeat rate</w:t>
            </w:r>
          </w:p>
        </w:tc>
        <w:tc>
          <w:p w14:paraId="001001CE" w14:textId="001001CF">
            <w:r>
              <w:t xml:space="preserve">98.66%</w:t>
            </w:r>
          </w:p>
        </w:tc>
        <w:tc>
          <w:p w14:paraId="001001D0" w14:textId="001001D1">
            <w:r>
              <w:t xml:space="preserve">Unique customers with &gt;1 order / all unique customers (24,577 of 24,911)</w:t>
            </w:r>
          </w:p>
        </w:tc>
      </w:tr>
      <w:tr>
        <w:trPr/>
        <w:tc>
          <w:p w14:paraId="001001D2" w14:textId="001001D3">
            <w:r>
              <w:t xml:space="preserve">Loyalty redemption rate</w:t>
            </w:r>
          </w:p>
        </w:tc>
        <w:tc>
          <w:p w14:paraId="001001D4" w14:textId="001001D5">
            <w:r>
              <w:t xml:space="preserve">49.9%</w:t>
            </w:r>
          </w:p>
        </w:tc>
        <w:tc>
          <w:p w14:paraId="001001D6" w14:textId="001001D7">
            <w:r>
              <w:t xml:space="preserve">Points redeemed / points earned, Completed orders (7.17M / 14.36M)</w:t>
            </w:r>
          </w:p>
        </w:tc>
      </w:tr>
    </w:tbl>
    <w:p w14:paraId="001001D8" w14:textId="001001D9">
      <w:pPr>
        <w:spacing w:after="160"/>
      </w:pPr>
      <w:r>
        <w:rPr>
          <w:i/>
          <w:sz w:val="20"/>
        </w:rPr>
        <w:t xml:space="preserve">Note on Repeat Rate: The 99.76% figure is the share of order rows (not customers) flagged is_repeat_customer=True. Each customer's first order is the only row flagged False. The customer-level repeat rate of 98.66% is the more meaningful headline KPI and is used in all business insight discussions.</w:t>
      </w:r>
    </w:p>
    <w:p w14:paraId="0010034E" w14:textId="0010034F">
      <w:pPr>
        <w:pStyle w:val="Heading1"/>
        <w:spacing w:after="120"/>
      </w:pPr>
      <w:r>
        <w:rPr/>
        <w:t xml:space="preserve">8. Exploratory Data Analysis</w:t>
      </w:r>
    </w:p>
    <w:p w14:paraId="00100350" w14:textId="00100351">
      <w:pPr>
        <w:spacing w:after="160"/>
      </w:pPr>
      <w:r>
        <w:rPr>
          <w:i/>
          <w:sz w:val="22"/>
        </w:rPr>
        <w:t xml:space="preserve">All charts were generated from data/cleaned_ecommerce.csv using matplotlib and seaborn. Source code is in scripts/eda_analysis.py and BSyamalaRao_EcommerceBI.ipynb. Multi-currency monetary totals are labelled [MULTI-CCY] throughout.</w:t>
      </w:r>
    </w:p>
    <w:p w14:paraId="001001DA" w14:textId="001001DB">
      <w:pPr>
        <w:spacing w:line="240" w:lineRule="auto"/>
      </w:pPr>
      <w:r>
        <w:rPr/>
        <w:drawing>
          <wp:inline distT="0" distB="0" distL="0" distR="0">
            <wp:extent cx="5400000" cy="1965337"/>
            <wp:effectExtent l="0" t="0" r="0" b="0"/>
            <wp:docPr id="1" name="fig_status_currency.png" descr=""/>
            <wp:cNvGraphicFramePr>
              <a:graphicFrameLocks noChangeAspect="1"/>
            </wp:cNvGraphicFramePr>
            <a:graphic>
              <a:graphicData uri="http://schemas.openxmlformats.org/drawingml/2006/picture">
                <pic:pic>
                  <pic:nvPicPr>
                    <pic:cNvPr id="1" name="fig_status_currency.png"/>
                    <pic:cNvPicPr/>
                  </pic:nvPicPr>
                  <pic:blipFill>
                    <a:blip r:embed="Rba3153405c714fc7" cstate="print"/>
                    <a:stretch>
                      <a:fillRect/>
                    </a:stretch>
                  </pic:blipFill>
                  <pic:spPr>
                    <a:xfrm>
                      <a:off x="0" y="0"/>
                      <a:ext cx="5400000" cy="1965337"/>
                    </a:xfrm>
                    <a:prstGeom prst="rect">
                      <a:avLst/>
                    </a:prstGeom>
                  </pic:spPr>
                </pic:pic>
              </a:graphicData>
            </a:graphic>
          </wp:inline>
        </w:drawing>
      </w:r>
    </w:p>
    <w:p w14:paraId="001001DC" w14:textId="001001DD">
      <w:pPr>
        <w:spacing w:after="200"/>
        <w:jc w:val="center"/>
      </w:pPr>
      <w:r>
        <w:rPr>
          <w:i/>
          <w:sz w:val="20"/>
        </w:rPr>
        <w:t xml:space="preserve">Figure 1: Order status distribution (left) and orders by currency (right). Completed orders represent 82.2% of the total. USD accounts for 59.8% of all orders.</w:t>
      </w:r>
    </w:p>
    <w:p w14:paraId="001001DE" w14:textId="001001DF">
      <w:pPr>
        <w:spacing w:line="240" w:lineRule="auto"/>
      </w:pPr>
      <w:r>
        <w:rPr/>
        <w:drawing>
          <wp:inline distT="0" distB="0" distL="0" distR="0">
            <wp:extent cx="4680000" cy="2874159"/>
            <wp:effectExtent l="0" t="0" r="0" b="0"/>
            <wp:docPr id="2" name="fig_missing_values.png" descr=""/>
            <wp:cNvGraphicFramePr>
              <a:graphicFrameLocks noChangeAspect="1"/>
            </wp:cNvGraphicFramePr>
            <a:graphic>
              <a:graphicData uri="http://schemas.openxmlformats.org/drawingml/2006/picture">
                <pic:pic>
                  <pic:nvPicPr>
                    <pic:cNvPr id="2" name="fig_missing_values.png"/>
                    <pic:cNvPicPr/>
                  </pic:nvPicPr>
                  <pic:blipFill>
                    <a:blip r:embed="Rf6c2512e2e644fe0" cstate="print"/>
                    <a:stretch>
                      <a:fillRect/>
                    </a:stretch>
                  </pic:blipFill>
                  <pic:spPr>
                    <a:xfrm>
                      <a:off x="0" y="0"/>
                      <a:ext cx="4680000" cy="2874159"/>
                    </a:xfrm>
                    <a:prstGeom prst="rect">
                      <a:avLst/>
                    </a:prstGeom>
                  </pic:spPr>
                </pic:pic>
              </a:graphicData>
            </a:graphic>
          </wp:inline>
        </w:drawing>
      </w:r>
    </w:p>
    <w:p w14:paraId="001001E0" w14:textId="001001E1">
      <w:pPr>
        <w:spacing w:after="200"/>
        <w:jc w:val="center"/>
      </w:pPr>
      <w:r>
        <w:rPr>
          <w:i/>
          <w:sz w:val="20"/>
        </w:rPr>
        <w:t xml:space="preserve">Figure 2: Missing value profile. All absences are structurally explained by order status; no data was imputed or dropped.</w:t>
      </w:r>
    </w:p>
    <w:p w14:paraId="001001E2" w14:textId="001001E3">
      <w:pPr>
        <w:spacing w:line="240" w:lineRule="auto"/>
      </w:pPr>
      <w:r>
        <w:rPr/>
        <w:drawing>
          <wp:inline distT="0" distB="0" distL="0" distR="0">
            <wp:extent cx="5760000" cy="2846896"/>
            <wp:effectExtent l="0" t="0" r="0" b="0"/>
            <wp:docPr id="3" name="fig_monthly_trend.png" descr=""/>
            <wp:cNvGraphicFramePr>
              <a:graphicFrameLocks noChangeAspect="1"/>
            </wp:cNvGraphicFramePr>
            <a:graphic>
              <a:graphicData uri="http://schemas.openxmlformats.org/drawingml/2006/picture">
                <pic:pic>
                  <pic:nvPicPr>
                    <pic:cNvPr id="3" name="fig_monthly_trend.png"/>
                    <pic:cNvPicPr/>
                  </pic:nvPicPr>
                  <pic:blipFill>
                    <a:blip r:embed="Rf767f1f4c2044e8f" cstate="print"/>
                    <a:stretch>
                      <a:fillRect/>
                    </a:stretch>
                  </pic:blipFill>
                  <pic:spPr>
                    <a:xfrm>
                      <a:off x="0" y="0"/>
                      <a:ext cx="5760000" cy="2846896"/>
                    </a:xfrm>
                    <a:prstGeom prst="rect">
                      <a:avLst/>
                    </a:prstGeom>
                  </pic:spPr>
                </pic:pic>
              </a:graphicData>
            </a:graphic>
          </wp:inline>
        </w:drawing>
      </w:r>
    </w:p>
    <w:p w14:paraId="001001E4" w14:textId="001001E5">
      <w:pPr>
        <w:spacing w:after="200"/>
        <w:jc w:val="center"/>
      </w:pPr>
      <w:r>
        <w:rPr>
          <w:i/>
          <w:sz w:val="20"/>
        </w:rPr>
        <w:t xml:space="preserve">Figure 3: Monthly net sales, profit (upper), and profit margin % (lower) for Completed orders, 2021–2025. Baseline margin ~46.4%; Nov/Dec ~29%; July ~38%.</w:t>
      </w:r>
    </w:p>
    <w:p w14:paraId="001001E6" w14:textId="001001E7">
      <w:pPr>
        <w:spacing w:line="240" w:lineRule="auto"/>
      </w:pPr>
      <w:r>
        <w:rPr/>
        <w:drawing>
          <wp:inline distT="0" distB="0" distL="0" distR="0">
            <wp:extent cx="5760000" cy="1390344"/>
            <wp:effectExtent l="0" t="0" r="0" b="0"/>
            <wp:docPr id="4" name="fig_seasonal_margin.png" descr=""/>
            <wp:cNvGraphicFramePr>
              <a:graphicFrameLocks noChangeAspect="1"/>
            </wp:cNvGraphicFramePr>
            <a:graphic>
              <a:graphicData uri="http://schemas.openxmlformats.org/drawingml/2006/picture">
                <pic:pic>
                  <pic:nvPicPr>
                    <pic:cNvPr id="4" name="fig_seasonal_margin.png"/>
                    <pic:cNvPicPr/>
                  </pic:nvPicPr>
                  <pic:blipFill>
                    <a:blip r:embed="Ra847d19b4fa645a6" cstate="print"/>
                    <a:stretch>
                      <a:fillRect/>
                    </a:stretch>
                  </pic:blipFill>
                  <pic:spPr>
                    <a:xfrm>
                      <a:off x="0" y="0"/>
                      <a:ext cx="5760000" cy="1390344"/>
                    </a:xfrm>
                    <a:prstGeom prst="rect">
                      <a:avLst/>
                    </a:prstGeom>
                  </pic:spPr>
                </pic:pic>
              </a:graphicData>
            </a:graphic>
          </wp:inline>
        </w:drawing>
      </w:r>
    </w:p>
    <w:p w14:paraId="001001E8" w14:textId="001001E9">
      <w:pPr>
        <w:spacing w:after="200"/>
        <w:jc w:val="center"/>
      </w:pPr>
      <w:r>
        <w:rPr>
          <w:i/>
          <w:sz w:val="20"/>
        </w:rPr>
        <w:t xml:space="preserve">Figure 4: Seasonal margin pattern scatter plot. November (red), December (dark red), and July (amber) dips are consistent across all five years.</w:t>
      </w:r>
    </w:p>
    <w:p w14:paraId="001001EA" w14:textId="001001EB">
      <w:pPr>
        <w:spacing w:line="240" w:lineRule="auto"/>
      </w:pPr>
      <w:r>
        <w:rPr/>
        <w:drawing>
          <wp:inline distT="0" distB="0" distL="0" distR="0">
            <wp:extent cx="5400000" cy="1882894"/>
            <wp:effectExtent l="0" t="0" r="0" b="0"/>
            <wp:docPr id="5" name="fig_region_channel.png" descr=""/>
            <wp:cNvGraphicFramePr>
              <a:graphicFrameLocks noChangeAspect="1"/>
            </wp:cNvGraphicFramePr>
            <a:graphic>
              <a:graphicData uri="http://schemas.openxmlformats.org/drawingml/2006/picture">
                <pic:pic>
                  <pic:nvPicPr>
                    <pic:cNvPr id="5" name="fig_region_channel.png"/>
                    <pic:cNvPicPr/>
                  </pic:nvPicPr>
                  <pic:blipFill>
                    <a:blip r:embed="R1368cb85ba1f4c94" cstate="print"/>
                    <a:stretch>
                      <a:fillRect/>
                    </a:stretch>
                  </pic:blipFill>
                  <pic:spPr>
                    <a:xfrm>
                      <a:off x="0" y="0"/>
                      <a:ext cx="5400000" cy="1882894"/>
                    </a:xfrm>
                    <a:prstGeom prst="rect">
                      <a:avLst/>
                    </a:prstGeom>
                  </pic:spPr>
                </pic:pic>
              </a:graphicData>
            </a:graphic>
          </wp:inline>
        </w:drawing>
      </w:r>
    </w:p>
    <w:p w14:paraId="001001EC" w14:textId="001001ED">
      <w:pPr>
        <w:spacing w:after="200"/>
        <w:jc w:val="center"/>
      </w:pPr>
      <w:r>
        <w:rPr>
          <w:i/>
          <w:sz w:val="20"/>
        </w:rPr>
        <w:t xml:space="preserve">Figure 5: Net sales and profit by region (left) and sales channel (right). Channel margins are virtually identical (~41.4%); volume drives differences.</w:t>
      </w:r>
    </w:p>
    <w:p w14:paraId="001001EE" w14:textId="001001EF">
      <w:pPr>
        <w:spacing w:line="240" w:lineRule="auto"/>
      </w:pPr>
      <w:r>
        <w:rPr/>
        <w:drawing>
          <wp:inline distT="0" distB="0" distL="0" distR="0">
            <wp:extent cx="5400000" cy="1987730"/>
            <wp:effectExtent l="0" t="0" r="0" b="0"/>
            <wp:docPr id="6" name="fig_repeat_customers.png" descr=""/>
            <wp:cNvGraphicFramePr>
              <a:graphicFrameLocks noChangeAspect="1"/>
            </wp:cNvGraphicFramePr>
            <a:graphic>
              <a:graphicData uri="http://schemas.openxmlformats.org/drawingml/2006/picture">
                <pic:pic>
                  <pic:nvPicPr>
                    <pic:cNvPr id="6" name="fig_repeat_customers.png"/>
                    <pic:cNvPicPr/>
                  </pic:nvPicPr>
                  <pic:blipFill>
                    <a:blip r:embed="R75cdf14c4704471a" cstate="print"/>
                    <a:stretch>
                      <a:fillRect/>
                    </a:stretch>
                  </pic:blipFill>
                  <pic:spPr>
                    <a:xfrm>
                      <a:off x="0" y="0"/>
                      <a:ext cx="5400000" cy="1987730"/>
                    </a:xfrm>
                    <a:prstGeom prst="rect">
                      <a:avLst/>
                    </a:prstGeom>
                  </pic:spPr>
                </pic:pic>
              </a:graphicData>
            </a:graphic>
          </wp:inline>
        </w:drawing>
      </w:r>
    </w:p>
    <w:p w14:paraId="001001F0" w14:textId="001001F1">
      <w:pPr>
        <w:spacing w:after="200"/>
        <w:jc w:val="center"/>
      </w:pPr>
      <w:r>
        <w:rPr>
          <w:i/>
          <w:sz w:val="20"/>
        </w:rPr>
        <w:t xml:space="preserve">Figure 6: Customer-level repeat rate (left): 98.66% of unique customers placed more than one order. Order count distribution (right): median 7 orders per customer.</w:t>
      </w:r>
    </w:p>
    <w:p w14:paraId="001001F2" w14:textId="001001F3">
      <w:pPr>
        <w:spacing w:line="240" w:lineRule="auto"/>
      </w:pPr>
      <w:r>
        <w:rPr/>
        <w:drawing>
          <wp:inline distT="0" distB="0" distL="0" distR="0">
            <wp:extent cx="5400000" cy="2029787"/>
            <wp:effectExtent l="0" t="0" r="0" b="0"/>
            <wp:docPr id="7" name="fig_returns.png" descr=""/>
            <wp:cNvGraphicFramePr>
              <a:graphicFrameLocks noChangeAspect="1"/>
            </wp:cNvGraphicFramePr>
            <a:graphic>
              <a:graphicData uri="http://schemas.openxmlformats.org/drawingml/2006/picture">
                <pic:pic>
                  <pic:nvPicPr>
                    <pic:cNvPr id="7" name="fig_returns.png"/>
                    <pic:cNvPicPr/>
                  </pic:nvPicPr>
                  <pic:blipFill>
                    <a:blip r:embed="R8c12b6b9b4174d88" cstate="print"/>
                    <a:stretch>
                      <a:fillRect/>
                    </a:stretch>
                  </pic:blipFill>
                  <pic:spPr>
                    <a:xfrm>
                      <a:off x="0" y="0"/>
                      <a:ext cx="5400000" cy="2029787"/>
                    </a:xfrm>
                    <a:prstGeom prst="rect">
                      <a:avLst/>
                    </a:prstGeom>
                  </pic:spPr>
                </pic:pic>
              </a:graphicData>
            </a:graphic>
          </wp:inline>
        </w:drawing>
      </w:r>
    </w:p>
    <w:p w14:paraId="001001F4" w14:textId="001001F5">
      <w:pPr>
        <w:spacing w:after="200"/>
        <w:jc w:val="center"/>
      </w:pPr>
      <w:r>
        <w:rPr>
          <w:i/>
          <w:sz w:val="20"/>
        </w:rPr>
        <w:t xml:space="preserve">Figure 7: Return rate by region (left) — narrow 7.19%–7.99% range. Return reasons (right) — near-uniform 8-category distribution.</w:t>
      </w:r>
    </w:p>
    <w:p w14:paraId="001001F6" w14:textId="001001F7">
      <w:pPr>
        <w:spacing w:line="240" w:lineRule="auto"/>
      </w:pPr>
      <w:r>
        <w:rPr/>
        <w:drawing>
          <wp:inline distT="0" distB="0" distL="0" distR="0">
            <wp:extent cx="4680000" cy="2022222"/>
            <wp:effectExtent l="0" t="0" r="0" b="0"/>
            <wp:docPr id="8" name="fig_return_reasons.png" descr=""/>
            <wp:cNvGraphicFramePr>
              <a:graphicFrameLocks noChangeAspect="1"/>
            </wp:cNvGraphicFramePr>
            <a:graphic>
              <a:graphicData uri="http://schemas.openxmlformats.org/drawingml/2006/picture">
                <pic:pic>
                  <pic:nvPicPr>
                    <pic:cNvPr id="8" name="fig_return_reasons.png"/>
                    <pic:cNvPicPr/>
                  </pic:nvPicPr>
                  <pic:blipFill>
                    <a:blip r:embed="Ra093ae1797524cd8" cstate="print"/>
                    <a:stretch>
                      <a:fillRect/>
                    </a:stretch>
                  </pic:blipFill>
                  <pic:spPr>
                    <a:xfrm>
                      <a:off x="0" y="0"/>
                      <a:ext cx="4680000" cy="2022222"/>
                    </a:xfrm>
                    <a:prstGeom prst="rect">
                      <a:avLst/>
                    </a:prstGeom>
                  </pic:spPr>
                </pic:pic>
              </a:graphicData>
            </a:graphic>
          </wp:inline>
        </w:drawing>
      </w:r>
    </w:p>
    <w:p w14:paraId="001001F8" w14:textId="001001F9">
      <w:pPr>
        <w:spacing w:after="200"/>
        <w:jc w:val="center"/>
      </w:pPr>
      <w:r>
        <w:rPr>
          <w:i/>
          <w:sz w:val="20"/>
        </w:rPr>
        <w:t xml:space="preserve">Figure 8: Return reason breakdown (9,462 Returned orders). No single dominant cause — all 8 categories cluster between 12.0% and 13.1%.</w:t>
      </w:r>
    </w:p>
    <w:p w14:paraId="001001FA" w14:textId="001001FB">
      <w:pPr>
        <w:spacing w:line="240" w:lineRule="auto"/>
      </w:pPr>
      <w:r>
        <w:rPr/>
        <w:drawing>
          <wp:inline distT="0" distB="0" distL="0" distR="0">
            <wp:extent cx="5400000" cy="2220325"/>
            <wp:effectExtent l="0" t="0" r="0" b="0"/>
            <wp:docPr id="9" name="fig_delivery.png" descr=""/>
            <wp:cNvGraphicFramePr>
              <a:graphicFrameLocks noChangeAspect="1"/>
            </wp:cNvGraphicFramePr>
            <a:graphic>
              <a:graphicData uri="http://schemas.openxmlformats.org/drawingml/2006/picture">
                <pic:pic>
                  <pic:nvPicPr>
                    <pic:cNvPr id="9" name="fig_delivery.png"/>
                    <pic:cNvPicPr/>
                  </pic:nvPicPr>
                  <pic:blipFill>
                    <a:blip r:embed="R1140e0ceafe44060" cstate="print"/>
                    <a:stretch>
                      <a:fillRect/>
                    </a:stretch>
                  </pic:blipFill>
                  <pic:spPr>
                    <a:xfrm>
                      <a:off x="0" y="0"/>
                      <a:ext cx="5400000" cy="2220325"/>
                    </a:xfrm>
                    <a:prstGeom prst="rect">
                      <a:avLst/>
                    </a:prstGeom>
                  </pic:spPr>
                </pic:pic>
              </a:graphicData>
            </a:graphic>
          </wp:inline>
        </w:drawing>
      </w:r>
    </w:p>
    <w:p w14:paraId="001001FC" w14:textId="001001FD">
      <w:pPr>
        <w:spacing w:after="200"/>
        <w:jc w:val="center"/>
      </w:pPr>
      <w:r>
        <w:rPr>
          <w:i/>
          <w:sz w:val="20"/>
        </w:rPr>
        <w:t xml:space="preserve">Figure 9: Delivery status distribution (left) — 76.5% On Time. Actual vs estimated delivery days by method (right) — consistent 0.24–0.32 day over-estimation across all methods.</w:t>
      </w:r>
    </w:p>
    <w:p w14:paraId="001001FE" w14:textId="001001FF">
      <w:pPr>
        <w:spacing w:line="240" w:lineRule="auto"/>
      </w:pPr>
      <w:r>
        <w:rPr/>
        <w:drawing>
          <wp:inline distT="0" distB="0" distL="0" distR="0">
            <wp:extent cx="5400000" cy="2029787"/>
            <wp:effectExtent l="0" t="0" r="0" b="0"/>
            <wp:docPr id="10" name="fig_ratings.png" descr=""/>
            <wp:cNvGraphicFramePr>
              <a:graphicFrameLocks noChangeAspect="1"/>
            </wp:cNvGraphicFramePr>
            <a:graphic>
              <a:graphicData uri="http://schemas.openxmlformats.org/drawingml/2006/picture">
                <pic:pic>
                  <pic:nvPicPr>
                    <pic:cNvPr id="10" name="fig_ratings.png"/>
                    <pic:cNvPicPr/>
                  </pic:nvPicPr>
                  <pic:blipFill>
                    <a:blip r:embed="Rf43f398f42de4c53" cstate="print"/>
                    <a:stretch>
                      <a:fillRect/>
                    </a:stretch>
                  </pic:blipFill>
                  <pic:spPr>
                    <a:xfrm>
                      <a:off x="0" y="0"/>
                      <a:ext cx="5400000" cy="2029787"/>
                    </a:xfrm>
                    <a:prstGeom prst="rect">
                      <a:avLst/>
                    </a:prstGeom>
                  </pic:spPr>
                </pic:pic>
              </a:graphicData>
            </a:graphic>
          </wp:inline>
        </w:drawing>
      </w:r>
    </w:p>
    <w:p w14:paraId="00100200" w14:textId="00100201">
      <w:pPr>
        <w:spacing w:after="240"/>
        <w:jc w:val="center"/>
      </w:pPr>
      <w:r>
        <w:rPr>
          <w:i/>
          <w:sz w:val="20"/>
        </w:rPr>
        <w:t xml:space="preserve">Figure 10: Rating distribution (left) — mean 3.68/5, peaks at 3.6–3.8. Average rating by customer segment (right) — VIP highest (3.83), Consumer and Business lowest (3.63).</w:t>
      </w:r>
    </w:p>
    <w:p w14:paraId="00100202" w14:textId="00100203">
      <w:pPr>
        <w:pStyle w:val="Heading1"/>
        <w:spacing w:after="120"/>
      </w:pPr>
      <w:r>
        <w:rPr/>
        <w:t xml:space="preserve">9. Validated Business Insights</w:t>
      </w:r>
    </w:p>
    <w:p w14:paraId="00100204" w14:textId="00100205">
      <w:pPr>
        <w:spacing w:after="160"/>
      </w:pPr>
      <w:r>
        <w:rPr>
          <w:sz w:val="22"/>
        </w:rPr>
        <w:t xml:space="preserve">All eight insights are supported by measured evidence from data/cleaned_ecommerce.csv. Full details are in reports/business_insights_validated.csv. Status values: CONFIRMED = fully supported; CONFIRMED_WITH_CAVEAT = confirmed with a documented limitation; CONFIRMED_WITH_CORRECTION = confirmed after correcting a labelling or interpretation issue.</w:t>
      </w:r>
    </w:p>
    <w:p w14:paraId="00100206" w14:textId="00100207">
      <w:pPr>
        <w:pStyle w:val="Heading2"/>
        <w:spacing w:after="80"/>
      </w:pPr>
      <w:r>
        <w:rPr/>
        <w:t xml:space="preserve">INS-01: Seasonal Margin Collapse in November and December [CONFIRMED]</w:t>
      </w:r>
    </w:p>
    <w:p w14:paraId="00100208" w14:textId="00100209">
      <w:pPr>
        <w:spacing w:after="120"/>
      </w:pPr>
      <w:r>
        <w:rPr>
          <w:sz w:val="22"/>
        </w:rPr>
        <w:t xml:space="preserve">Evidence: November and December profit margin averages 29.6% across all five years (range 29.1%–30.2%), compared to a baseline of 46.4% in other months. Average order volume in these months is 2,763, compared to 1,723 for typical months — a 60% increase. All Completed orders carry a discount_amount greater than zero.</w:t>
      </w:r>
    </w:p>
    <w:p w14:paraId="0010020A" w14:textId="0010020B">
      <w:pPr>
        <w:spacing w:after="120"/>
      </w:pPr>
      <w:r>
        <w:rPr>
          <w:sz w:val="22"/>
        </w:rPr>
        <w:t xml:space="preserve">Implication: A major annual promotional event drives substantially more orders at the cost of approximately 17 percentage points of margin. Absolute profit is still higher in peak months (~1.0–1.2M vs ~0.9–1.1M), so the event is profitable overall.</w:t>
      </w:r>
    </w:p>
    <w:p w14:paraId="0010020C" w14:textId="0010020D">
      <w:pPr>
        <w:spacing w:after="160"/>
      </w:pPr>
      <w:r>
        <w:rPr>
          <w:sz w:val="22"/>
        </w:rPr>
        <w:t xml:space="preserve">Limitation: campaign_name is null for 60% of November and December records, preventing identification of the specific promotion driving the margin drop.</w:t>
      </w:r>
    </w:p>
    <w:p w14:paraId="0010020E" w14:textId="0010020F">
      <w:pPr>
        <w:pStyle w:val="Heading2"/>
        <w:spacing w:after="80"/>
      </w:pPr>
      <w:r>
        <w:rPr/>
        <w:t xml:space="preserve">INS-02: July Mid-Year Margin Anomaly (~38%) Without Volume Uplift [CONFIRMED]</w:t>
      </w:r>
    </w:p>
    <w:p w14:paraId="00100210" w14:textId="00100211">
      <w:pPr>
        <w:spacing w:after="120"/>
      </w:pPr>
      <w:r>
        <w:rPr>
          <w:sz w:val="22"/>
        </w:rPr>
        <w:t xml:space="preserve">Evidence: July profit margin averages 38.0% across all five years (range 37.4%–38.6%). July average order volume is 1,683 — not materially different from the typical 1,723. The discount_amount column is elevated in July without a compensating increase in order count.</w:t>
      </w:r>
    </w:p>
    <w:p w14:paraId="00100212" w14:textId="00100213">
      <w:pPr>
        <w:spacing w:after="120"/>
      </w:pPr>
      <w:r>
        <w:rPr>
          <w:sz w:val="22"/>
        </w:rPr>
        <w:t xml:space="preserve">Implication: A mid-year promotional markdown is applied consistently without generating volume uplift. The cost-to-benefit ratio is worse than the November/December event. The pattern holds across all five years, suggesting a structural policy rather than a one-off promotion.</w:t>
      </w:r>
    </w:p>
    <w:p w14:paraId="00100214" w14:textId="00100215">
      <w:pPr>
        <w:spacing w:after="160"/>
      </w:pPr>
      <w:r>
        <w:rPr>
          <w:sz w:val="22"/>
        </w:rPr>
        <w:t xml:space="preserve">Limitation: campaign_name is 60% null in July too; the specific promotion cannot be identified from this dataset.</w:t>
      </w:r>
    </w:p>
    <w:p w14:paraId="00100216" w14:textId="00100217">
      <w:pPr>
        <w:pStyle w:val="Heading2"/>
        <w:spacing w:after="80"/>
      </w:pPr>
      <w:r>
        <w:rPr/>
        <w:t xml:space="preserve">INS-03: 75% of Completed Orders Concentrated in Two Channels [CONFIRMED]</w:t>
      </w:r>
    </w:p>
    <w:p w14:paraId="00100218" w14:textId="00100219">
      <w:pPr>
        <w:spacing w:after="120"/>
      </w:pPr>
      <w:r>
        <w:rPr>
          <w:sz w:val="22"/>
        </w:rPr>
        <w:t xml:space="preserve">Evidence: Mobile App accounts for 40.1% of Completed orders; Website accounts for 34.9%. Combined: 74.9%. Profit margins are virtually identical across all four channels (Mobile App 41.44%, Website 41.49%, Marketplace 41.26%, Social Media 41.57%), so the concentration is purely in volume, not margin quality.</w:t>
      </w:r>
    </w:p>
    <w:p w14:paraId="0010021A" w14:textId="0010021B">
      <w:pPr>
        <w:spacing w:after="120"/>
      </w:pPr>
      <w:r>
        <w:rPr>
          <w:sz w:val="22"/>
        </w:rPr>
        <w:t xml:space="preserve">Implication: Revenue is dependent on two platforms. A policy change, fee increase, or algorithm shift at either platform could materially impact total revenue without a ready alternative channel to absorb the loss.</w:t>
      </w:r>
    </w:p>
    <w:p w14:paraId="0010021C" w14:textId="0010021D">
      <w:pPr>
        <w:spacing w:after="160"/>
      </w:pPr>
      <w:r>
        <w:rPr>
          <w:sz w:val="22"/>
        </w:rPr>
        <w:t xml:space="preserve">Limitation: Customer acquisition cost (CAC) per channel is not in this dataset. True channel ROI cannot be computed without CAC data.</w:t>
      </w:r>
    </w:p>
    <w:p w14:paraId="0010021E" w14:textId="0010021F">
      <w:pPr>
        <w:pStyle w:val="Heading2"/>
        <w:spacing w:after="80"/>
      </w:pPr>
      <w:r>
        <w:rPr/>
        <w:t xml:space="preserve">INS-04: On-Time Delivery Rate 76.5% — Systematic Estimation Gap [CONFIRMED]</w:t>
      </w:r>
    </w:p>
    <w:p w14:paraId="00100220" w14:textId="00100221">
      <w:pPr>
        <w:spacing w:after="120"/>
      </w:pPr>
      <w:r>
        <w:rPr>
          <w:sz w:val="22"/>
        </w:rPr>
        <w:t xml:space="preserve">Evidence: 76.5% of 113,559 delivered orders (Completed + Returned with non-null delivery_days) were on time. Average actual delivery time was 4.56 days versus an estimated 4.30 days — a gap of 0.26 days. This gap is consistent across all shipping methods: Same Day +0.32 days, Express +0.26 days, Standard +0.25 days, Economy +0.24 days.</w:t>
      </w:r>
    </w:p>
    <w:p w14:paraId="00100222" w14:textId="00100223">
      <w:pPr>
        <w:spacing w:after="120"/>
      </w:pPr>
      <w:r>
        <w:rPr>
          <w:sz w:val="22"/>
        </w:rPr>
        <w:t xml:space="preserve">Implication: Customers are routinely receiving orders later than promised. This systematic under-estimation likely contributes to the 3.68/5 average rating and the 30.5% Neutral sentiment share. Cancelled and Pending orders (24,557) are correctly excluded from this calculation as they have no delivery data.</w:t>
      </w:r>
    </w:p>
    <w:p w14:paraId="00100224" w14:textId="00100225">
      <w:pPr>
        <w:spacing w:after="160"/>
      </w:pPr>
      <w:r>
        <w:rPr>
          <w:sz w:val="22"/>
        </w:rPr>
        <w:t xml:space="preserve">Limitation: The dataset does not record whether delayed orders were proactively communicated to customers. Early deliveries (9,757 orders, 8.6%) partially offset negative customer impact.</w:t>
      </w:r>
    </w:p>
    <w:p w14:paraId="00100226" w14:textId="00100227">
      <w:pPr>
        <w:pStyle w:val="Heading2"/>
        <w:spacing w:after="80"/>
      </w:pPr>
      <w:r>
        <w:rPr/>
        <w:t xml:space="preserve">INS-05: Average Customer Rating 3.68/5 with 30.5% Neutral Sentiment [CONFIRMED]</w:t>
      </w:r>
    </w:p>
    <w:p w14:paraId="00100228" w14:textId="00100229">
      <w:pPr>
        <w:spacing w:after="120"/>
      </w:pPr>
      <w:r>
        <w:rPr>
          <w:sz w:val="22"/>
        </w:rPr>
        <w:t xml:space="preserve">Evidence: Mean rating 3.677/5.0 across 113,559 Completed orders (100% coverage). Distribution peaks at 3.6–3.8. Only 5.1% of orders receive a rating of 4.5 or higher. Sentiment: 68.8% Positive, 30.5% Neutral, 0.7% Negative. VIP customers rate highest (3.83); Consumer and Business customers rate lowest (3.63).</w:t>
      </w:r>
    </w:p>
    <w:p w14:paraId="0010022A" w14:textId="0010022B">
      <w:pPr>
        <w:spacing w:after="120"/>
      </w:pPr>
      <w:r>
        <w:rPr>
          <w:sz w:val="22"/>
        </w:rPr>
        <w:t xml:space="preserve">Implication: Customers are satisfied but not delighted. The large Neutral cluster (30.5%) has weak loyalty signal. The mean of 3.68 is below the typical industry benchmark of 4.2–4.5 for leading e-commerce platforms.</w:t>
      </w:r>
    </w:p>
    <w:p w14:paraId="0010022C" w14:textId="0010022D">
      <w:pPr>
        <w:spacing w:after="160"/>
      </w:pPr>
      <w:r>
        <w:rPr>
          <w:sz w:val="22"/>
        </w:rPr>
        <w:t xml:space="preserve">Limitation: Rating data is available for Completed orders only. Satisfaction of Cancelled and Pending customers is unobserved. The sentiment model assigns 68.8% Positive despite a modest mean rating of 3.68, suggesting loose calibration.</w:t>
      </w:r>
    </w:p>
    <w:p w14:paraId="0010022E" w14:textId="0010022F">
      <w:pPr>
        <w:pStyle w:val="Heading2"/>
        <w:spacing w:after="80"/>
      </w:pPr>
      <w:r>
        <w:rPr/>
        <w:t xml:space="preserve">INS-06: Return Rate 7.69% — Uniform Across Regions and Channels [CONFIRMED WITH CAVEAT]</w:t>
      </w:r>
    </w:p>
    <w:p w14:paraId="00100230" w14:textId="00100231">
      <w:pPr>
        <w:spacing w:after="120"/>
      </w:pPr>
      <w:r>
        <w:rPr>
          <w:sz w:val="22"/>
        </w:rPr>
        <w:t xml:space="preserve">Evidence: Return rate 7.69% (Returned / (Completed + Returned)). Regional range: 7.19%–7.99%. Channel range: 7.19%–7.79%. All 9,462 Returned orders have populated return_reason values. Distribution: Wrong Product 13.1%, Other 12.8%, Changed Mind 12.7%, Size Issue 12.5%, Defective Product 12.4%, Late Delivery 12.4%, Product Not as Expected 12.1%, Damaged Product 12.0%.</w:t>
      </w:r>
    </w:p>
    <w:p w14:paraId="00100232" w14:textId="00100233">
      <w:pPr>
        <w:spacing w:after="120"/>
      </w:pPr>
      <w:r>
        <w:rPr>
          <w:sz w:val="22"/>
        </w:rPr>
        <w:t xml:space="preserve">Implication: The near-uniform distribution across regions and channels indicates a product-level driver rather than a geography- or channel-specific issue. Operational failures (Wrong Product + Defective + Damaged = 37.5%) and expectation gaps (Changed Mind + Not as Expected = 24.8%) together account for 62% of returns.</w:t>
      </w:r>
    </w:p>
    <w:p w14:paraId="00100234" w14:textId="00100235">
      <w:pPr>
        <w:spacing w:after="160"/>
      </w:pPr>
      <w:r>
        <w:rPr>
          <w:sz w:val="22"/>
        </w:rPr>
        <w:t xml:space="preserve">Caveat: The return_reason column reads as float64 on initial pandas load (due to 93% null across the full dataset) and requires an explicit string cast. No product or SKU dimension is available to drill further into product-level return rates.</w:t>
      </w:r>
    </w:p>
    <w:p w14:paraId="00100236" w14:textId="00100237">
      <w:pPr>
        <w:pStyle w:val="Heading2"/>
        <w:spacing w:after="80"/>
      </w:pPr>
      <w:r>
        <w:rPr/>
        <w:t xml:space="preserve">INS-07: Loyalty Redemption Rate 49.9% — Half of Points Unredeemed [CONFIRMED]</w:t>
      </w:r>
    </w:p>
    <w:p w14:paraId="00100238" w14:textId="00100239">
      <w:pPr>
        <w:spacing w:after="120"/>
      </w:pPr>
      <w:r>
        <w:rPr>
          <w:sz w:val="22"/>
        </w:rPr>
        <w:t xml:space="preserve">Evidence: Total points earned on Completed orders: 14,362,828. Total redeemed: 7,172,934. Redemption rate: 49.9%. Average earned per order: 126.5 points. Average redeemed per order: 63.2 points.</w:t>
      </w:r>
    </w:p>
    <w:p w14:paraId="0010023A" w14:textId="0010023B">
      <w:pPr>
        <w:spacing w:after="120"/>
      </w:pPr>
      <w:r>
        <w:rPr>
          <w:sz w:val="22"/>
        </w:rPr>
        <w:t xml:space="preserve">Implication: Half of earned loyalty value is unredeemed. Low redemption can weaken repeat-purchase motivation. The median customer has placed 7 orders, indicating strong retention already; however, a targeted redemption nudge could pull forward purchases from high-balance, low-recency customers at minimal cost.</w:t>
      </w:r>
    </w:p>
    <w:p w14:paraId="0010023C" w14:textId="0010023D">
      <w:pPr>
        <w:spacing w:after="160"/>
      </w:pPr>
      <w:r>
        <w:rPr>
          <w:sz w:val="22"/>
        </w:rPr>
        <w:t xml:space="preserve">Limitation: Point monetary value is not in this dataset. The financial liability of unredeemed points and the cost of a redemption campaign cannot be quantified from available data.</w:t>
      </w:r>
    </w:p>
    <w:p w14:paraId="0010023E" w14:textId="0010023F">
      <w:pPr>
        <w:pStyle w:val="Heading2"/>
        <w:spacing w:after="80"/>
      </w:pPr>
      <w:r>
        <w:rPr/>
        <w:t xml:space="preserve">INS-08: 1,229 Loss-Making Completed Orders; Repeat-Rate Label Corrected [CONFIRMED WITH CORRECTION]</w:t>
      </w:r>
    </w:p>
    <w:p w14:paraId="00100240" w14:textId="00100241">
      <w:pPr>
        <w:spacing w:after="120"/>
      </w:pPr>
      <w:r>
        <w:rPr>
          <w:sz w:val="22"/>
        </w:rPr>
        <w:t xml:space="preserve">Evidence: 1,229 Completed orders (1.08%) have negative profit. Total negative profit: -191,128 [MULTI-CCY]. Minimum profit margin: -59.55%. Average discount rate for loss-making orders: 51.7% vs 17.4% for all Completed orders. Correction: the 99.76% repeat-order row rate reflects the share of ORDER ROWS (not unique customers) flagged is_repeat_customer=True. The correct customer-level repeat rate is 98.66% (24,577 of 24,911 unique customers).</w:t>
      </w:r>
    </w:p>
    <w:p w14:paraId="00100242" w14:textId="00100243">
      <w:pPr>
        <w:spacing w:after="120"/>
      </w:pPr>
      <w:r>
        <w:rPr>
          <w:sz w:val="22"/>
        </w:rPr>
        <w:t xml:space="preserve">Implication: A small but real cohort of completed, paid orders is processed below cost. The discount engine lacks a profit floor. The corrected customer-level repeat rate still confirms very strong retention.</w:t>
      </w:r>
    </w:p>
    <w:p w14:paraId="00100244" w14:textId="00100245">
      <w:pPr>
        <w:spacing w:after="240"/>
      </w:pPr>
      <w:r>
        <w:rPr>
          <w:sz w:val="22"/>
        </w:rPr>
        <w:t xml:space="preserve">Limitation: Without product/SKU data, specific loss-making product lines cannot be identified. The negative profit figures are retained in the cleaned dataset; they are not treated as errors.</w:t>
      </w:r>
    </w:p>
    <w:p w14:paraId="00100246" w14:textId="00100247">
      <w:pPr>
        <w:pStyle w:val="Heading1"/>
        <w:spacing w:after="120"/>
      </w:pPr>
      <w:r>
        <w:rPr/>
        <w:t xml:space="preserve">10. Recommendations</w:t>
      </w:r>
    </w:p>
    <w:p w14:paraId="00100248" w14:textId="00100249">
      <w:pPr>
        <w:spacing w:after="160"/>
      </w:pPr>
      <w:r>
        <w:rPr>
          <w:sz w:val="22"/>
        </w:rPr>
        <w:t xml:space="preserve">Each recommendation is directly traceable to a validated business insight. Priority: High = major financial or operational impact; Medium = significant but less urgent; Low = longer-term improvement.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4A" w14:textId="0010024B">
            <w:r>
              <w:t xml:space="preserve">Ref</w:t>
            </w:r>
          </w:p>
        </w:tc>
        <w:tc>
          <w:p w14:paraId="0010024C" w14:textId="0010024D">
            <w:r>
              <w:t xml:space="preserve">Insight</w:t>
            </w:r>
          </w:p>
        </w:tc>
        <w:tc>
          <w:p w14:paraId="0010024E" w14:textId="0010024F">
            <w:r>
              <w:t xml:space="preserve">Recommendation</w:t>
            </w:r>
          </w:p>
        </w:tc>
        <w:tc>
          <w:p w14:paraId="00100250" w14:textId="00100251">
            <w:r>
              <w:t xml:space="preserve">Priority</w:t>
            </w:r>
          </w:p>
        </w:tc>
      </w:tr>
      <w:tr>
        <w:trPr/>
        <w:tc>
          <w:p w14:paraId="00100252" w14:textId="00100253">
            <w:r>
              <w:t xml:space="preserve">R-01</w:t>
            </w:r>
          </w:p>
        </w:tc>
        <w:tc>
          <w:p w14:paraId="00100254" w14:textId="00100255">
            <w:r>
              <w:t xml:space="preserve">INS-01</w:t>
            </w:r>
          </w:p>
        </w:tc>
        <w:tc>
          <w:p w14:paraId="00100256" w14:textId="00100257">
            <w:r>
              <w:t xml:space="preserve">Model the break-even discount threshold per currency. Test loyalty-member early-access at a smaller discount to recover 3-5pp margin. Mandate campaign_name capture for all major promotional events.</w:t>
            </w:r>
          </w:p>
        </w:tc>
        <w:tc>
          <w:p w14:paraId="00100258" w14:textId="00100259">
            <w:r>
              <w:t xml:space="preserve">High</w:t>
            </w:r>
          </w:p>
        </w:tc>
      </w:tr>
      <w:tr>
        <w:trPr/>
        <w:tc>
          <w:p w14:paraId="0010025A" w14:textId="0010025B">
            <w:r>
              <w:t xml:space="preserve">R-02</w:t>
            </w:r>
          </w:p>
        </w:tc>
        <w:tc>
          <w:p w14:paraId="0010025C" w14:textId="0010025D">
            <w:r>
              <w:t xml:space="preserve">INS-02</w:t>
            </w:r>
          </w:p>
        </w:tc>
        <w:tc>
          <w:p w14:paraId="0010025E" w14:textId="0010025F">
            <w:r>
              <w:t xml:space="preserve">Audit the July discount policy. Replace blanket markdowns with targeted bundle deals or loyalty-point multipliers. Measure volume elasticity before the next July promotion.</w:t>
            </w:r>
          </w:p>
        </w:tc>
        <w:tc>
          <w:p w14:paraId="00100260" w14:textId="00100261">
            <w:r>
              <w:t xml:space="preserve">High</w:t>
            </w:r>
          </w:p>
        </w:tc>
      </w:tr>
      <w:tr>
        <w:trPr/>
        <w:tc>
          <w:p w14:paraId="00100262" w14:textId="00100263">
            <w:r>
              <w:t xml:space="preserve">R-03</w:t>
            </w:r>
          </w:p>
        </w:tc>
        <w:tc>
          <w:p w14:paraId="00100264" w14:textId="00100265">
            <w:r>
              <w:t xml:space="preserve">INS-03</w:t>
            </w:r>
          </w:p>
        </w:tc>
        <w:tc>
          <w:p w14:paraId="00100266" w14:textId="00100267">
            <w:r>
              <w:t xml:space="preserve">Set a medium-term target to grow Marketplace and Social Media combined channel share. Append CAC data to future analyses to assess true channel ROI.</w:t>
            </w:r>
          </w:p>
        </w:tc>
        <w:tc>
          <w:p w14:paraId="00100268" w14:textId="00100269">
            <w:r>
              <w:t xml:space="preserve">Medium</w:t>
            </w:r>
          </w:p>
        </w:tc>
      </w:tr>
      <w:tr>
        <w:trPr/>
        <w:tc>
          <w:p w14:paraId="0010026A" w14:textId="0010026B">
            <w:r>
              <w:t xml:space="preserve">R-04</w:t>
            </w:r>
          </w:p>
        </w:tc>
        <w:tc>
          <w:p w14:paraId="0010026C" w14:textId="0010026D">
            <w:r>
              <w:t xml:space="preserve">INS-04</w:t>
            </w:r>
          </w:p>
        </w:tc>
        <w:tc>
          <w:p w14:paraId="0010026E" w14:textId="0010026F">
            <w:r>
              <w:t xml:space="preserve">Add a 0.5-day buffer to all customer-facing delivery estimates at zero operational cost. Audit warehouse throughput during November and December.</w:t>
            </w:r>
          </w:p>
        </w:tc>
        <w:tc>
          <w:p w14:paraId="00100270" w14:textId="00100271">
            <w:r>
              <w:t xml:space="preserve">High</w:t>
            </w:r>
          </w:p>
        </w:tc>
      </w:tr>
      <w:tr>
        <w:trPr/>
        <w:tc>
          <w:p w14:paraId="00100272" w14:textId="00100273">
            <w:r>
              <w:t xml:space="preserve">R-05</w:t>
            </w:r>
          </w:p>
        </w:tc>
        <w:tc>
          <w:p w14:paraId="00100274" w14:textId="00100275">
            <w:r>
              <w:t xml:space="preserve">INS-05</w:t>
            </w:r>
          </w:p>
        </w:tc>
        <w:tc>
          <w:p w14:paraId="00100276" w14:textId="00100277">
            <w:r>
              <w:t xml:space="preserve">Cross-reference Neutral orders with delivery delay status. Run loyalty-point nudge campaigns for 3.0-3.5 rated customers.</w:t>
            </w:r>
          </w:p>
        </w:tc>
        <w:tc>
          <w:p w14:paraId="00100278" w14:textId="00100279">
            <w:r>
              <w:t xml:space="preserve">Medium</w:t>
            </w:r>
          </w:p>
        </w:tc>
      </w:tr>
      <w:tr>
        <w:trPr/>
        <w:tc>
          <w:p w14:paraId="0010027A" w14:textId="0010027B">
            <w:r>
              <w:t xml:space="preserve">R-06</w:t>
            </w:r>
          </w:p>
        </w:tc>
        <w:tc>
          <w:p w14:paraId="0010027C" w14:textId="0010027D">
            <w:r>
              <w:t xml:space="preserve">INS-06</w:t>
            </w:r>
          </w:p>
        </w:tc>
        <w:tc>
          <w:p w14:paraId="0010027E" w14:textId="0010027F">
            <w:r>
              <w:t xml:space="preserve">Operational failures (Wrong+Defective+Damaged = 37.5%): improve QA and fulfilment accuracy. Expectation gaps (Changed Mind+Not as Expected = 24.8%): improve product descriptions.</w:t>
            </w:r>
          </w:p>
        </w:tc>
        <w:tc>
          <w:p w14:paraId="00100280" w14:textId="00100281">
            <w:r>
              <w:t xml:space="preserve">High</w:t>
            </w:r>
          </w:p>
        </w:tc>
      </w:tr>
      <w:tr>
        <w:trPr/>
        <w:tc>
          <w:p w14:paraId="00100282" w14:textId="00100283">
            <w:r>
              <w:t xml:space="preserve">R-07</w:t>
            </w:r>
          </w:p>
        </w:tc>
        <w:tc>
          <w:p w14:paraId="00100284" w14:textId="00100285">
            <w:r>
              <w:t xml:space="preserve">INS-07</w:t>
            </w:r>
          </w:p>
        </w:tc>
        <w:tc>
          <w:p w14:paraId="00100286" w14:textId="00100287">
            <w:r>
              <w:t xml:space="preserve">Run a points-expiry reminder campaign for high-balance, low-recency customers. Quantify point monetary value to size unredeemed liability and campaign cost.</w:t>
            </w:r>
          </w:p>
        </w:tc>
        <w:tc>
          <w:p w14:paraId="00100288" w14:textId="00100289">
            <w:r>
              <w:t xml:space="preserve">Low</w:t>
            </w:r>
          </w:p>
        </w:tc>
      </w:tr>
      <w:tr>
        <w:trPr/>
        <w:tc>
          <w:p w14:paraId="0010028A" w14:textId="0010028B">
            <w:r>
              <w:t xml:space="preserve">R-08</w:t>
            </w:r>
          </w:p>
        </w:tc>
        <w:tc>
          <w:p w14:paraId="0010028C" w14:textId="0010028D">
            <w:r>
              <w:t xml:space="preserve">INS-08</w:t>
            </w:r>
          </w:p>
        </w:tc>
        <w:tc>
          <w:p w14:paraId="0010028E" w14:textId="0010028F">
            <w:r>
              <w:t xml:space="preserve">Introduce a pricing floor rule: block checkout if computed profit after all adjustments is negative. Add SKU-level data to future datasets to identify loss-making products.</w:t>
            </w:r>
          </w:p>
        </w:tc>
        <w:tc>
          <w:p w14:paraId="00100290" w14:textId="00100291">
            <w:r>
              <w:t xml:space="preserve">High</w:t>
            </w:r>
          </w:p>
        </w:tc>
      </w:tr>
    </w:tbl>
    <w:p w14:paraId="00100292" w14:textId="00100293">
      <w:pPr>
        <w:pStyle w:val="Heading1"/>
        <w:spacing w:after="120"/>
      </w:pPr>
      <w:r>
        <w:rPr/>
        <w:t xml:space="preserve">11. Data Quality and Validation Results</w:t>
      </w:r>
    </w:p>
    <w:p w14:paraId="00100294" w14:textId="00100295">
      <w:pPr>
        <w:spacing w:after="160"/>
      </w:pPr>
      <w:r>
        <w:rPr>
          <w:sz w:val="22"/>
        </w:rPr>
        <w:t xml:space="preserve">All 38 KPI validation checks passed with zero failures. The full report is in reports/kpi_validation_report.csv. Checks were executed in scripts/kpi_validation.py by independently recomputing every KPI from data/cleaned_ecommerce.csv and comparing to previously reported values within a 0.1% tolerance.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96" w14:textId="00100297">
            <w:r>
              <w:t xml:space="preserve">Check Category</w:t>
            </w:r>
          </w:p>
        </w:tc>
        <w:tc>
          <w:p w14:paraId="00100298" w14:textId="00100299">
            <w:r>
              <w:t xml:space="preserve">Count</w:t>
            </w:r>
          </w:p>
        </w:tc>
        <w:tc>
          <w:p w14:paraId="0010029A" w14:textId="0010029B">
            <w:r>
              <w:t xml:space="preserve">Result</w:t>
            </w:r>
          </w:p>
        </w:tc>
      </w:tr>
      <w:tr>
        <w:trPr/>
        <w:tc>
          <w:p w14:paraId="0010029C" w14:textId="0010029D">
            <w:r>
              <w:t xml:space="preserve">Headline KPI recomputation (order counts, revenue, margin, AOV, delivery, rating, loyalty)</w:t>
            </w:r>
          </w:p>
        </w:tc>
        <w:tc>
          <w:p w14:paraId="0010029E" w14:textId="0010029F">
            <w:r>
              <w:t xml:space="preserve">22</w:t>
            </w:r>
          </w:p>
        </w:tc>
        <w:tc>
          <w:p w14:paraId="001002A0" w14:textId="001002A1">
            <w:r>
              <w:t xml:space="preserve">All PASS — within 0.1% tolerance</w:t>
            </w:r>
          </w:p>
        </w:tc>
      </w:tr>
      <w:tr>
        <w:trPr/>
        <w:tc>
          <w:p w14:paraId="001002A2" w14:textId="001002A3">
            <w:r>
              <w:t xml:space="preserve">Per-currency revenue and profit (7 currencies)</w:t>
            </w:r>
          </w:p>
        </w:tc>
        <w:tc>
          <w:p w14:paraId="001002A4" w14:textId="001002A5">
            <w:r>
              <w:t xml:space="preserve">14</w:t>
            </w:r>
          </w:p>
        </w:tc>
        <w:tc>
          <w:p w14:paraId="001002A6" w14:textId="001002A7">
            <w:r>
              <w:t xml:space="preserve">All PASS — exact match</w:t>
            </w:r>
          </w:p>
        </w:tc>
      </w:tr>
      <w:tr>
        <w:trPr/>
        <w:tc>
          <w:p w14:paraId="001002A8" w14:textId="001002A9">
            <w:r>
              <w:t xml:space="preserve">Repeat customer rate labelling audit</w:t>
            </w:r>
          </w:p>
        </w:tc>
        <w:tc>
          <w:p w14:paraId="001002AA" w14:textId="001002AB">
            <w:r>
              <w:t xml:space="preserve">1</w:t>
            </w:r>
          </w:p>
        </w:tc>
        <w:tc>
          <w:p w14:paraId="001002AC" w14:textId="001002AD">
            <w:r>
              <w:t xml:space="preserve">PASS WITH NOTE: 99.76% is order-row rate; 98.66% is customer-level rate</w:t>
            </w:r>
          </w:p>
        </w:tc>
      </w:tr>
      <w:tr>
        <w:trPr/>
        <w:tc>
          <w:p w14:paraId="001002AE" w14:textId="001002AF">
            <w:r>
              <w:t xml:space="preserve">Monthly trend coverage (Jan-2021 to Dec-2025)</w:t>
            </w:r>
          </w:p>
        </w:tc>
        <w:tc>
          <w:p w14:paraId="001002B0" w14:textId="001002B1">
            <w:r>
              <w:t xml:space="preserve">1</w:t>
            </w:r>
          </w:p>
        </w:tc>
        <w:tc>
          <w:p w14:paraId="001002B2" w14:textId="001002B3">
            <w:r>
              <w:t xml:space="preserve">PASS — 60 periods, no gaps</w:t>
            </w:r>
          </w:p>
        </w:tc>
      </w:tr>
      <w:tr>
        <w:trPr/>
        <w:tc>
          <w:p w14:paraId="001002B4" w14:textId="001002B5">
            <w:r>
              <w:t xml:space="preserve">Total</w:t>
            </w:r>
          </w:p>
        </w:tc>
        <w:tc>
          <w:p w14:paraId="001002B6" w14:textId="001002B7">
            <w:r>
              <w:t xml:space="preserve">38</w:t>
            </w:r>
          </w:p>
        </w:tc>
        <w:tc>
          <w:p w14:paraId="001002B8" w14:textId="001002B9">
            <w:r>
              <w:t xml:space="preserve">38 PASS / 0 FAIL</w:t>
            </w:r>
          </w:p>
        </w:tc>
      </w:tr>
    </w:tbl>
    <w:p w14:paraId="001002BA" w14:textId="001002BB">
      <w:pPr>
        <w:pStyle w:val="Heading2"/>
        <w:spacing w:after="120"/>
      </w:pPr>
      <w:r>
        <w:rPr/>
        <w:t xml:space="preserve">Identified Issues and Corrections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BC" w14:textId="001002BD">
            <w:r>
              <w:t xml:space="preserve">Issue ID</w:t>
            </w:r>
          </w:p>
        </w:tc>
        <w:tc>
          <w:p w14:paraId="001002BE" w14:textId="001002BF">
            <w:r>
              <w:t xml:space="preserve">Severity</w:t>
            </w:r>
          </w:p>
        </w:tc>
        <w:tc>
          <w:p w14:paraId="001002C0" w14:textId="001002C1">
            <w:r>
              <w:t xml:space="preserve">Description</w:t>
            </w:r>
          </w:p>
        </w:tc>
        <w:tc>
          <w:p w14:paraId="001002C2" w14:textId="001002C3">
            <w:r>
              <w:t xml:space="preserve">Resolution</w:t>
            </w:r>
          </w:p>
        </w:tc>
      </w:tr>
      <w:tr>
        <w:trPr/>
        <w:tc>
          <w:p w14:paraId="001002C4" w14:textId="001002C5">
            <w:r>
              <w:t xml:space="preserve">I-01</w:t>
            </w:r>
          </w:p>
        </w:tc>
        <w:tc>
          <w:p w14:paraId="001002C6" w14:textId="001002C7">
            <w:r>
              <w:t xml:space="preserve">Low</w:t>
            </w:r>
          </w:p>
        </w:tc>
        <w:tc>
          <w:p w14:paraId="001002C8" w14:textId="001002C9">
            <w:r>
              <w:t xml:space="preserve">repeat_customer_rate_% of 99.76% is the order-row rate, not customer-level.</w:t>
            </w:r>
          </w:p>
        </w:tc>
        <w:tc>
          <w:p w14:paraId="001002CA" w14:textId="001002CB">
            <w:r>
              <w:t xml:space="preserve">Added customer_level_repeat_rate_% = 98.66% to kpi_summary.csv. Scope note updated.</w:t>
            </w:r>
          </w:p>
        </w:tc>
      </w:tr>
      <w:tr>
        <w:trPr/>
        <w:tc>
          <w:p w14:paraId="001002CC" w14:textId="001002CD">
            <w:r>
              <w:t xml:space="preserve">I-03</w:t>
            </w:r>
          </w:p>
        </w:tc>
        <w:tc>
          <w:p w14:paraId="001002CE" w14:textId="001002CF">
            <w:r>
              <w:t xml:space="preserve">Medium</w:t>
            </w:r>
          </w:p>
        </w:tc>
        <w:tc>
          <w:p w14:paraId="001002D0" w14:textId="001002D1">
            <w:r>
              <w:t xml:space="preserve">return_reason reads as float64 on initial pandas load; EDA script skipped breakdown.</w:t>
            </w:r>
          </w:p>
        </w:tc>
        <w:tc>
          <w:p w14:paraId="001002D2" w14:textId="001002D3">
            <w:r>
              <w:t xml:space="preserve">Fixed via str cast. Full return reason breakdown saved to kpi_return_reasons.csv.</w:t>
            </w:r>
          </w:p>
        </w:tc>
      </w:tr>
      <w:tr>
        <w:trPr/>
        <w:tc>
          <w:p w14:paraId="001002D4" w14:textId="001002D5">
            <w:r>
              <w:t xml:space="preserve">I-04/05</w:t>
            </w:r>
          </w:p>
        </w:tc>
        <w:tc>
          <w:p w14:paraId="001002D6" w14:textId="001002D7">
            <w:r>
              <w:t xml:space="preserve">Info</w:t>
            </w:r>
          </w:p>
        </w:tc>
        <w:tc>
          <w:p w14:paraId="001002D8" w14:textId="001002D9">
            <w:r>
              <w:t xml:space="preserve">July margin anomaly and 100% discount usage confirmed as real patterns, not data errors.</w:t>
            </w:r>
          </w:p>
        </w:tc>
        <w:tc>
          <w:p w14:paraId="001002DA" w14:textId="001002DB">
            <w:r>
              <w:t xml:space="preserve">Business insights updated with confirmed evidence. No data changed.</w:t>
            </w:r>
          </w:p>
        </w:tc>
      </w:tr>
    </w:tbl>
    <w:p w14:paraId="001002DC" w14:textId="001002DD">
      <w:pPr>
        <w:pStyle w:val="Heading1"/>
        <w:spacing w:after="120"/>
      </w:pPr>
      <w:r>
        <w:rPr/>
        <w:t xml:space="preserve">12. Limitations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DE" w14:textId="001002DF">
            <w:r>
              <w:t xml:space="preserve">ID</w:t>
            </w:r>
          </w:p>
        </w:tc>
        <w:tc>
          <w:p w14:paraId="001002E0" w14:textId="001002E1">
            <w:r>
              <w:t xml:space="preserve">Limitation</w:t>
            </w:r>
          </w:p>
        </w:tc>
        <w:tc>
          <w:p w14:paraId="001002E2" w14:textId="001002E3">
            <w:r>
              <w:t xml:space="preserve">Impact on Analysis</w:t>
            </w:r>
          </w:p>
        </w:tc>
      </w:tr>
      <w:tr>
        <w:trPr/>
        <w:tc>
          <w:p w14:paraId="001002E4" w14:textId="001002E5">
            <w:r>
              <w:t xml:space="preserve">L-01</w:t>
            </w:r>
          </w:p>
        </w:tc>
        <w:tc>
          <w:p w14:paraId="001002E6" w14:textId="001002E7">
            <w:r>
              <w:t xml:space="preserve">campaign_name is null for 60% of records including peak months.</w:t>
            </w:r>
          </w:p>
        </w:tc>
        <w:tc>
          <w:p w14:paraId="001002E8" w14:textId="001002E9">
            <w:r>
              <w:t xml:space="preserve">Prevents promotion-level margin attribution for November, December, and July events.</w:t>
            </w:r>
          </w:p>
        </w:tc>
      </w:tr>
      <w:tr>
        <w:trPr/>
        <w:tc>
          <w:p w14:paraId="001002EA" w14:textId="001002EB">
            <w:r>
              <w:t xml:space="preserve">L-02</w:t>
            </w:r>
          </w:p>
        </w:tc>
        <w:tc>
          <w:p w14:paraId="001002EC" w14:textId="001002ED">
            <w:r>
              <w:t xml:space="preserve">No customer acquisition cost (CAC) per channel.</w:t>
            </w:r>
          </w:p>
        </w:tc>
        <w:tc>
          <w:p w14:paraId="001002EE" w14:textId="001002EF">
            <w:r>
              <w:t xml:space="preserve">True channel ROI cannot be computed. Channel comparison limited to revenue and profit margin.</w:t>
            </w:r>
          </w:p>
        </w:tc>
      </w:tr>
      <w:tr>
        <w:trPr/>
        <w:tc>
          <w:p w14:paraId="001002F0" w14:textId="001002F1">
            <w:r>
              <w:t xml:space="preserve">L-03</w:t>
            </w:r>
          </w:p>
        </w:tc>
        <w:tc>
          <w:p w14:paraId="001002F2" w14:textId="001002F3">
            <w:r>
              <w:t xml:space="preserve">No product or SKU dimension in the dataset.</w:t>
            </w:r>
          </w:p>
        </w:tc>
        <w:tc>
          <w:p w14:paraId="001002F4" w14:textId="001002F5">
            <w:r>
              <w:t xml:space="preserve">Product-level return analysis and identification of loss-making SKUs are impossible.</w:t>
            </w:r>
          </w:p>
        </w:tc>
      </w:tr>
      <w:tr>
        <w:trPr/>
        <w:tc>
          <w:p w14:paraId="001002F6" w14:textId="001002F7">
            <w:r>
              <w:t xml:space="preserve">L-04</w:t>
            </w:r>
          </w:p>
        </w:tc>
        <w:tc>
          <w:p w14:paraId="001002F8" w14:textId="001002F9">
            <w:r>
              <w:t xml:space="preserve">Loyalty point monetary value is absent.</w:t>
            </w:r>
          </w:p>
        </w:tc>
        <w:tc>
          <w:p w14:paraId="001002FA" w14:textId="001002FB">
            <w:r>
              <w:t xml:space="preserve">Unredeemed point liability and redemption campaign cost cannot be quantified.</w:t>
            </w:r>
          </w:p>
        </w:tc>
      </w:tr>
      <w:tr>
        <w:trPr/>
        <w:tc>
          <w:p w14:paraId="001002FC" w14:textId="001002FD">
            <w:r>
              <w:t xml:space="preserve">L-05</w:t>
            </w:r>
          </w:p>
        </w:tc>
        <w:tc>
          <w:p w14:paraId="001002FE" w14:textId="001002FF">
            <w:r>
              <w:t xml:space="preserve">No exchange rate data.</w:t>
            </w:r>
          </w:p>
        </w:tc>
        <w:tc>
          <w:p w14:paraId="00100300" w14:textId="00100301">
            <w:r>
              <w:t xml:space="preserve">Multi-currency totals [MULTI-CCY] cannot be converted. Cross-currency absolute comparisons are imprecise.</w:t>
            </w:r>
          </w:p>
        </w:tc>
      </w:tr>
      <w:tr>
        <w:trPr/>
        <w:tc>
          <w:p w14:paraId="00100302" w14:textId="00100303">
            <w:r>
              <w:t xml:space="preserve">L-06</w:t>
            </w:r>
          </w:p>
        </w:tc>
        <w:tc>
          <w:p w14:paraId="00100304" w14:textId="00100305">
            <w:r>
              <w:t xml:space="preserve">Rating data exists only for Completed orders.</w:t>
            </w:r>
          </w:p>
        </w:tc>
        <w:tc>
          <w:p w14:paraId="00100306" w14:textId="00100307">
            <w:r>
              <w:t xml:space="preserve">Satisfaction of Cancelled and Pending customers is unobserved.</w:t>
            </w:r>
          </w:p>
        </w:tc>
      </w:tr>
      <w:tr>
        <w:trPr/>
        <w:tc>
          <w:p w14:paraId="00100308" w14:textId="00100309">
            <w:r>
              <w:t xml:space="preserve">L-07</w:t>
            </w:r>
          </w:p>
        </w:tc>
        <w:tc>
          <w:p w14:paraId="0010030A" w14:textId="0010030B">
            <w:r>
              <w:t xml:space="preserve">return_reason column requires explicit str cast on pandas load.</w:t>
            </w:r>
          </w:p>
        </w:tc>
        <w:tc>
          <w:p w14:paraId="0010030C" w14:textId="0010030D">
            <w:r>
              <w:t xml:space="preserve">Analysts must remember to apply the cast; the data itself is correct and fully populated for Returned orders.</w:t>
            </w:r>
          </w:p>
        </w:tc>
      </w:tr>
    </w:tbl>
    <w:p w14:paraId="0010030E" w14:textId="0010030F">
      <w:pPr>
        <w:pStyle w:val="Heading1"/>
        <w:spacing w:after="120"/>
      </w:pPr>
      <w:r>
        <w:rPr/>
        <w:t xml:space="preserve">13. Conclusion and Future Scope</w:t>
      </w:r>
    </w:p>
    <w:p w14:paraId="00100310" w14:textId="00100311">
      <w:pPr>
        <w:spacing w:after="160"/>
      </w:pPr>
      <w:r>
        <w:rPr>
          <w:sz w:val="22"/>
        </w:rPr>
        <w:t xml:space="preserve">This project delivered a complete, validated Business Intelligence analysis of 138,116 e-commerce orders spanning January 2021 to December 2025 across seven currencies and four sales channels. All analysis steps were executed reproducibly in Python, documented in scripts, and consolidated in the Jupyter Notebook BSyamalaRao_EcommerceBI.ipynb. The notebook executed end-to-end with zero errors.</w:t>
      </w:r>
    </w:p>
    <w:p w14:paraId="00100312" w14:textId="00100313">
      <w:pPr>
        <w:spacing w:after="160"/>
      </w:pPr>
      <w:r>
        <w:rPr>
          <w:sz w:val="22"/>
        </w:rPr>
        <w:t xml:space="preserve">The project confirmed a profit margin of 41.44% on net sales for Completed orders, identified a consistent annual margin collapse to ~29% in November and December, documented a systematic 0.26-day delivery estimation gap across all shipping methods, and corrected a labelling issue in the repeat customer KPI (99.76% order-row rate vs 98.66% customer-level rate). Eight business insights were validated and eight prioritised recommendations were produced.</w:t>
      </w:r>
    </w:p>
    <w:p w14:paraId="00100314" w14:textId="00100315">
      <w:pPr>
        <w:pStyle w:val="Heading2"/>
        <w:spacing w:after="120"/>
      </w:pPr>
      <w:r>
        <w:rPr/>
        <w:t xml:space="preserve">Key Findings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16" w14:textId="00100317">
            <w:r>
              <w:t xml:space="preserve">Finding</w:t>
            </w:r>
          </w:p>
        </w:tc>
        <w:tc>
          <w:p w14:paraId="00100318" w14:textId="00100319">
            <w:r>
              <w:t xml:space="preserve">Measured Value</w:t>
            </w:r>
          </w:p>
        </w:tc>
      </w:tr>
      <w:tr>
        <w:trPr/>
        <w:tc>
          <w:p w14:paraId="0010031A" w14:textId="0010031B">
            <w:r>
              <w:t xml:space="preserve">Profit margin (Completed orders)</w:t>
            </w:r>
          </w:p>
        </w:tc>
        <w:tc>
          <w:p w14:paraId="0010031C" w14:textId="0010031D">
            <w:r>
              <w:t xml:space="preserve">41.44% of net sales [MULTI-CCY]</w:t>
            </w:r>
          </w:p>
        </w:tc>
      </w:tr>
      <w:tr>
        <w:trPr/>
        <w:tc>
          <w:p w14:paraId="0010031E" w14:textId="0010031F">
            <w:r>
              <w:t xml:space="preserve">Seasonal margin drop (Nov/Dec)</w:t>
            </w:r>
          </w:p>
        </w:tc>
        <w:tc>
          <w:p w14:paraId="00100320" w14:textId="00100321">
            <w:r>
              <w:t xml:space="preserve">~29% vs ~46% baseline — every year 2021-2025</w:t>
            </w:r>
          </w:p>
        </w:tc>
      </w:tr>
      <w:tr>
        <w:trPr/>
        <w:tc>
          <w:p w14:paraId="00100322" w14:textId="00100323">
            <w:r>
              <w:t xml:space="preserve">On-time delivery rate</w:t>
            </w:r>
          </w:p>
        </w:tc>
        <w:tc>
          <w:p w14:paraId="00100324" w14:textId="00100325">
            <w:r>
              <w:t xml:space="preserve">76.5% — systematic 0.26-day over-estimation across all methods</w:t>
            </w:r>
          </w:p>
        </w:tc>
      </w:tr>
      <w:tr>
        <w:trPr/>
        <w:tc>
          <w:p w14:paraId="00100326" w14:textId="00100327">
            <w:r>
              <w:t xml:space="preserve">Average customer rating</w:t>
            </w:r>
          </w:p>
        </w:tc>
        <w:tc>
          <w:p w14:paraId="00100328" w14:textId="00100329">
            <w:r>
              <w:t xml:space="preserve">3.68 / 5.0; 30.5% Neutral, 0.7% Negative sentiment</w:t>
            </w:r>
          </w:p>
        </w:tc>
      </w:tr>
      <w:tr>
        <w:trPr/>
        <w:tc>
          <w:p w14:paraId="0010032A" w14:textId="0010032B">
            <w:r>
              <w:t xml:space="preserve">Return rate</w:t>
            </w:r>
          </w:p>
        </w:tc>
        <w:tc>
          <w:p w14:paraId="0010032C" w14:textId="0010032D">
            <w:r>
              <w:t xml:space="preserve">7.69% — near-uniform 7.19%-7.99% across all regions and channels</w:t>
            </w:r>
          </w:p>
        </w:tc>
      </w:tr>
      <w:tr>
        <w:trPr/>
        <w:tc>
          <w:p w14:paraId="0010032E" w14:textId="0010032F">
            <w:r>
              <w:t xml:space="preserve">Customer-level repeat rate</w:t>
            </w:r>
          </w:p>
        </w:tc>
        <w:tc>
          <w:p w14:paraId="00100330" w14:textId="00100331">
            <w:r>
              <w:t xml:space="preserve">98.66% of unique customers placed more than one order</w:t>
            </w:r>
          </w:p>
        </w:tc>
      </w:tr>
      <w:tr>
        <w:trPr/>
        <w:tc>
          <w:p w14:paraId="00100332" w14:textId="00100333">
            <w:r>
              <w:t xml:space="preserve">Loss-making Completed orders</w:t>
            </w:r>
          </w:p>
        </w:tc>
        <w:tc>
          <w:p w14:paraId="00100334" w14:textId="00100335">
            <w:r>
              <w:t xml:space="preserve">1,229 (1.08%) — avg discount rate 51.7% vs 17.4% overall</w:t>
            </w:r>
          </w:p>
        </w:tc>
      </w:tr>
    </w:tbl>
    <w:p w14:paraId="00100336" w14:textId="00100337">
      <w:pPr>
        <w:pStyle w:val="Heading2"/>
        <w:spacing w:after="120"/>
      </w:pPr>
      <w:r>
        <w:rPr/>
        <w:t xml:space="preserve">Future Scope</w:t>
      </w:r>
    </w:p>
    <w:p w14:paraId="00100338" w14:textId="00100339">
      <w:pPr>
        <w:numPr>
          <w:ilvl w:val="0"/>
          <w:numId w:val="3"/>
        </w:numPr>
        <w:spacing w:after="80"/>
      </w:pPr>
      <w:r>
        <w:rPr>
          <w:sz w:val="22"/>
        </w:rPr>
        <w:t xml:space="preserve">Step 6 — Interactive Dashboard: A Streamlit or Power BI dashboard exposing the validated KPIs and trend charts to business users in near-real time. Filter controls should support segmentation by region, channel, currency, and date range.</w:t>
      </w:r>
    </w:p>
    <w:p w14:paraId="0010033A" w14:textId="0010033B">
      <w:pPr>
        <w:numPr>
          <w:ilvl w:val="0"/>
          <w:numId w:val="3"/>
        </w:numPr>
        <w:spacing w:after="80"/>
      </w:pPr>
      <w:r>
        <w:rPr>
          <w:sz w:val="22"/>
        </w:rPr>
        <w:t xml:space="preserve">Step 7 — Predictive Modelling: Customer churn prediction, return propensity modelling, and customer lifetime value forecasting using the cleaned dataset as the feature source.</w:t>
      </w:r>
    </w:p>
    <w:p w14:paraId="0010033C" w14:textId="0010033D">
      <w:pPr>
        <w:numPr>
          <w:ilvl w:val="0"/>
          <w:numId w:val="3"/>
        </w:numPr>
        <w:spacing w:after="240"/>
      </w:pPr>
      <w:r>
        <w:rPr>
          <w:sz w:val="22"/>
        </w:rPr>
        <w:t xml:space="preserve">Data Augmentation: Append CAC per channel, SKU-level product data, currency exchange rate history, and loyalty point monetary value to unlock the seven analyses currently blocked by documented limitations.</w:t>
      </w:r>
    </w:p>
    <w:p w14:paraId="0010033E" w14:textId="0010033F">
      <w:pPr>
        <w:pStyle w:val="Heading1"/>
        <w:spacing w:after="120"/>
      </w:pPr>
      <w:r>
        <w:rPr/>
        <w:t xml:space="preserve">14. References</w:t>
      </w:r>
    </w:p>
    <w:p w14:paraId="00100340" w14:textId="00100341">
      <w:pPr>
        <w:spacing w:after="160"/>
      </w:pPr>
      <w:r>
        <w:rPr>
          <w:i/>
          <w:sz w:val="22"/>
        </w:rPr>
        <w:t xml:space="preserve">Note: The original dataset source URL is not included because it has not been confirmed at the time of writing. It will be added to the project README after verification. All other sources below are verified.</w:t>
      </w:r>
    </w:p>
    <w:p w14:paraId="00100342" w14:textId="00100343">
      <w:pPr>
        <w:spacing w:after="80"/>
      </w:pPr>
      <w:r>
        <w:rPr>
          <w:sz w:val="22"/>
        </w:rPr>
        <w:t xml:space="preserve">[1] Python Software Foundation. Python 3.11 Documentation. Available at: https://docs.python.org/3.11/ (accessed December 2026).</w:t>
      </w:r>
    </w:p>
    <w:p w14:paraId="00100344" w14:textId="00100345">
      <w:pPr>
        <w:spacing w:after="80"/>
      </w:pPr>
      <w:r>
        <w:rPr>
          <w:sz w:val="22"/>
        </w:rPr>
        <w:t xml:space="preserve">[2] pandas Development Team. pandas 3.0 Documentation. Available at: https://pandas.pydata.org/docs/ (accessed December 2026).</w:t>
      </w:r>
    </w:p>
    <w:p w14:paraId="00100346" w14:textId="00100347">
      <w:pPr>
        <w:spacing w:after="80"/>
      </w:pPr>
      <w:r>
        <w:rPr>
          <w:sz w:val="22"/>
        </w:rPr>
        <w:t xml:space="preserve">[3] Hunter, J. D. (2007). Matplotlib: A 2D Graphics Environment. Computing in Science and Engineering, 9(3), 90-95. https://doi.org/10.1109/MCSE.2007.55</w:t>
      </w:r>
    </w:p>
    <w:p w14:paraId="00100348" w14:textId="00100349">
      <w:pPr>
        <w:spacing w:after="80"/>
      </w:pPr>
      <w:r>
        <w:rPr>
          <w:sz w:val="22"/>
        </w:rPr>
        <w:t xml:space="preserve">[4] Waskom, M. (2021). seaborn: Statistical Data Visualization. Journal of Open Source Software, 6(60), 3021. https://doi.org/10.21105/joss.03021</w:t>
      </w:r>
    </w:p>
    <w:p w14:paraId="0010034A" w14:textId="0010034B">
      <w:pPr>
        <w:spacing w:after="80"/>
      </w:pPr>
      <w:r>
        <w:rPr>
          <w:sz w:val="22"/>
        </w:rPr>
        <w:t xml:space="preserve">[5] Kluyver, T., et al. (2016). Jupyter Notebooks — a publishing format for reproducible computational workflows. In Positioning and Power in Academic Publishing: Players, Agents and Agendas (pp. 87-90). IOS Press.</w:t>
      </w:r>
    </w:p>
    <w:p w14:paraId="0010034C" w14:textId="0010034D">
      <w:pPr>
        <w:spacing w:after="240"/>
      </w:pPr>
      <w:r>
        <w:rPr>
          <w:sz w:val="22"/>
        </w:rPr>
        <w:t xml:space="preserve">[6] NumPy Developers. NumPy Documentation. Available at: https://numpy.org/doc/stable/ (accessed December 2026).</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3a589e5100a74415" /><Relationship Type="http://schemas.openxmlformats.org/officeDocument/2006/relationships/styles" Target="/word/styles.xml" Id="Rff8ba292e44a4e70" /><Relationship Type="http://schemas.openxmlformats.org/officeDocument/2006/relationships/theme" Target="/word/theme/theme1.xml" Id="Rf25680bad27a4a24" /><Relationship Type="http://schemas.openxmlformats.org/officeDocument/2006/relationships/numbering" Target="/word/numbering.xml" Id="Rdbfc878f2c664d6f" /><Relationship Type="http://schemas.openxmlformats.org/officeDocument/2006/relationships/image" Target="/media/image.png" Id="Rba3153405c714fc7" /><Relationship Type="http://schemas.openxmlformats.org/officeDocument/2006/relationships/image" Target="/media/image2.png" Id="Rf6c2512e2e644fe0" /><Relationship Type="http://schemas.openxmlformats.org/officeDocument/2006/relationships/image" Target="/media/image3.png" Id="Rf767f1f4c2044e8f" /><Relationship Type="http://schemas.openxmlformats.org/officeDocument/2006/relationships/image" Target="/media/image4.png" Id="Ra847d19b4fa645a6" /><Relationship Type="http://schemas.openxmlformats.org/officeDocument/2006/relationships/image" Target="/media/image5.png" Id="R1368cb85ba1f4c94" /><Relationship Type="http://schemas.openxmlformats.org/officeDocument/2006/relationships/image" Target="/media/image6.png" Id="R75cdf14c4704471a" /><Relationship Type="http://schemas.openxmlformats.org/officeDocument/2006/relationships/image" Target="/media/image7.png" Id="R8c12b6b9b4174d88" /><Relationship Type="http://schemas.openxmlformats.org/officeDocument/2006/relationships/image" Target="/media/image8.png" Id="Ra093ae1797524cd8" /><Relationship Type="http://schemas.openxmlformats.org/officeDocument/2006/relationships/image" Target="/media/image9.png" Id="R1140e0ceafe44060" /><Relationship Type="http://schemas.openxmlformats.org/officeDocument/2006/relationships/image" Target="/media/image10.png" Id="Rf43f398f42de4c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2026-10-12T00:37:00Z</dcterms:created>
  <cp:lastModifiedBy>OfficeCLI</cp:lastModifiedBy>
  <dcterms:modified xsi:type="dcterms:W3CDTF">2026-10-12T00:37:00Z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2026-10-12T00:57:21Z</vt:lpwstr>
  </op:property>
</op:Properties>
</file>