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pPr>
    </w:p>
    <w:p>
      <w:pPr>
        <w:spacing w:after="200" w:before="0"/>
        <w:jc w:val="center"/>
      </w:pPr>
      <w:r>
        <w:rPr>
          <w:rFonts w:ascii="Segoe UI" w:hAnsi="Segoe UI"/>
          <w:b/>
          <w:i w:val="0"/>
          <w:color w:val="007A7A"/>
          <w:sz w:val="24"/>
        </w:rPr>
        <w:t>ENTERPRISE PROPOSAL · 2026</w:t>
      </w:r>
    </w:p>
    <w:p>
      <w:pPr>
        <w:spacing w:after="80" w:before="0"/>
        <w:jc w:val="center"/>
      </w:pPr>
      <w:r>
        <w:rPr>
          <w:rFonts w:ascii="Segoe UI" w:hAnsi="Segoe UI"/>
          <w:b/>
          <w:i w:val="0"/>
          <w:color w:val="121F3D"/>
          <w:sz w:val="60"/>
        </w:rPr>
        <w:t>Enterprise LLMOps for AFNI</w:t>
      </w:r>
    </w:p>
    <w:p>
      <w:pPr>
        <w:spacing w:after="520" w:before="0"/>
        <w:jc w:val="center"/>
      </w:pPr>
      <w:r>
        <w:rPr>
          <w:rFonts w:ascii="Segoe UI" w:hAnsi="Segoe UI"/>
          <w:b w:val="0"/>
          <w:i/>
          <w:color w:val="505A6A"/>
          <w:sz w:val="32"/>
        </w:rPr>
        <w:t>Multi-agent GenAI, industrialized</w:t>
      </w:r>
    </w:p>
    <w:p>
      <w:pPr>
        <w:spacing w:after="680" w:before="0"/>
        <w:jc w:val="center"/>
      </w:pPr>
      <w:r>
        <w:rPr>
          <w:rFonts w:ascii="Segoe UI" w:hAnsi="Segoe UI"/>
          <w:b w:val="0"/>
          <w:i w:val="0"/>
          <w:color w:val="333B49"/>
          <w:sz w:val="26"/>
        </w:rPr>
        <w:t>One governed platform powering three flagship initiatives — Voice Agent, the Performance Intelligence Index, and Hiring Intelligence.</w:t>
      </w:r>
    </w:p>
    <w:tbl>
      <w:tblPr>
        <w:tblStyle w:val="TableGrid"/>
        <w:tblW w:type="auto" w:w="0"/>
        <w:jc w:val="center"/>
        <w:tblLook w:firstColumn="1" w:firstRow="1" w:lastColumn="0" w:lastRow="0" w:noHBand="0" w:noVBand="1" w:val="04A0"/>
      </w:tblPr>
      <w:tblGrid>
        <w:gridCol w:w="4680"/>
        <w:gridCol w:w="4680"/>
      </w:tblGrid>
      <w:tr>
        <w:tc>
          <w:tcPr>
            <w:tcW w:type="dxa" w:w="2592"/>
            <w:shd w:val="clear" w:fill="1B3A6B"/>
          </w:tcPr>
          <w:p>
            <w:pPr>
              <w:spacing w:after="40" w:before="40"/>
            </w:pPr>
            <w:r>
              <w:rPr>
                <w:rFonts w:ascii="Segoe UI" w:hAnsi="Segoe UI"/>
                <w:b/>
                <w:color w:val="FFFFFF"/>
                <w:sz w:val="20"/>
              </w:rPr>
              <w:t>Field</w:t>
            </w:r>
          </w:p>
        </w:tc>
        <w:tc>
          <w:tcPr>
            <w:tcW w:type="dxa" w:w="6624"/>
            <w:shd w:val="clear" w:fill="1B3A6B"/>
          </w:tcPr>
          <w:p>
            <w:pPr>
              <w:spacing w:after="40" w:before="40"/>
            </w:pPr>
            <w:r>
              <w:rPr>
                <w:rFonts w:ascii="Segoe UI" w:hAnsi="Segoe UI"/>
                <w:b/>
                <w:color w:val="FFFFFF"/>
                <w:sz w:val="20"/>
              </w:rPr>
              <w:t>Detail</w:t>
            </w:r>
          </w:p>
        </w:tc>
      </w:tr>
      <w:tr>
        <w:tc>
          <w:tcPr>
            <w:tcW w:type="dxa" w:w="2592"/>
          </w:tcPr>
          <w:p>
            <w:pPr>
              <w:spacing w:after="40" w:before="40"/>
            </w:pPr>
            <w:r>
              <w:rPr>
                <w:rFonts w:ascii="Segoe UI" w:hAnsi="Segoe UI"/>
                <w:b/>
                <w:color w:val="121F3D"/>
                <w:sz w:val="19"/>
              </w:rPr>
              <w:t>Owner</w:t>
            </w:r>
          </w:p>
        </w:tc>
        <w:tc>
          <w:tcPr>
            <w:tcW w:type="dxa" w:w="6624"/>
          </w:tcPr>
          <w:p>
            <w:pPr>
              <w:spacing w:after="40" w:before="40"/>
            </w:pPr>
            <w:r>
              <w:rPr>
                <w:rFonts w:ascii="Segoe UI" w:hAnsi="Segoe UI"/>
                <w:sz w:val="19"/>
              </w:rPr>
              <w:t>AFNI, Inc. — internal &amp; confidential</w:t>
            </w:r>
          </w:p>
        </w:tc>
      </w:tr>
      <w:tr>
        <w:tc>
          <w:tcPr>
            <w:tcW w:type="dxa" w:w="2592"/>
            <w:shd w:val="clear" w:fill="EEF1F7"/>
          </w:tcPr>
          <w:p>
            <w:pPr>
              <w:spacing w:after="40" w:before="40"/>
            </w:pPr>
            <w:r>
              <w:rPr>
                <w:rFonts w:ascii="Segoe UI" w:hAnsi="Segoe UI"/>
                <w:b/>
                <w:color w:val="121F3D"/>
                <w:sz w:val="19"/>
              </w:rPr>
              <w:t>Prepared by</w:t>
            </w:r>
          </w:p>
        </w:tc>
        <w:tc>
          <w:tcPr>
            <w:tcW w:type="dxa" w:w="6624"/>
            <w:shd w:val="clear" w:fill="EEF1F7"/>
          </w:tcPr>
          <w:p>
            <w:pPr>
              <w:spacing w:after="40" w:before="40"/>
            </w:pPr>
            <w:r>
              <w:rPr>
                <w:rFonts w:ascii="Segoe UI" w:hAnsi="Segoe UI"/>
                <w:sz w:val="19"/>
              </w:rPr>
              <w:t>AFNI · Office of GenAI Architecture</w:t>
            </w:r>
          </w:p>
        </w:tc>
      </w:tr>
      <w:tr>
        <w:tc>
          <w:tcPr>
            <w:tcW w:type="dxa" w:w="2592"/>
          </w:tcPr>
          <w:p>
            <w:pPr>
              <w:spacing w:after="40" w:before="40"/>
            </w:pPr>
            <w:r>
              <w:rPr>
                <w:rFonts w:ascii="Segoe UI" w:hAnsi="Segoe UI"/>
                <w:b/>
                <w:color w:val="121F3D"/>
                <w:sz w:val="19"/>
              </w:rPr>
              <w:t>Document</w:t>
            </w:r>
          </w:p>
        </w:tc>
        <w:tc>
          <w:tcPr>
            <w:tcW w:type="dxa" w:w="6624"/>
          </w:tcPr>
          <w:p>
            <w:pPr>
              <w:spacing w:after="40" w:before="40"/>
            </w:pPr>
            <w:r>
              <w:rPr>
                <w:rFonts w:ascii="Segoe UI" w:hAnsi="Segoe UI"/>
                <w:sz w:val="19"/>
              </w:rPr>
              <w:t>Enterprise LLMOps Proposal</w:t>
            </w:r>
          </w:p>
        </w:tc>
      </w:tr>
      <w:tr>
        <w:tc>
          <w:tcPr>
            <w:tcW w:type="dxa" w:w="2592"/>
            <w:shd w:val="clear" w:fill="EEF1F7"/>
          </w:tcPr>
          <w:p>
            <w:pPr>
              <w:spacing w:after="40" w:before="40"/>
            </w:pPr>
            <w:r>
              <w:rPr>
                <w:rFonts w:ascii="Segoe UI" w:hAnsi="Segoe UI"/>
                <w:b/>
                <w:color w:val="121F3D"/>
                <w:sz w:val="19"/>
              </w:rPr>
              <w:t>Version / Status</w:t>
            </w:r>
          </w:p>
        </w:tc>
        <w:tc>
          <w:tcPr>
            <w:tcW w:type="dxa" w:w="6624"/>
            <w:shd w:val="clear" w:fill="EEF1F7"/>
          </w:tcPr>
          <w:p>
            <w:pPr>
              <w:spacing w:after="40" w:before="40"/>
            </w:pPr>
            <w:r>
              <w:rPr>
                <w:rFonts w:ascii="Segoe UI" w:hAnsi="Segoe UI"/>
                <w:sz w:val="19"/>
              </w:rPr>
              <w:t>v2.0 / Draft for review</w:t>
            </w:r>
          </w:p>
        </w:tc>
      </w:tr>
      <w:tr>
        <w:tc>
          <w:tcPr>
            <w:tcW w:type="dxa" w:w="2592"/>
          </w:tcPr>
          <w:p>
            <w:pPr>
              <w:spacing w:after="40" w:before="40"/>
            </w:pPr>
            <w:r>
              <w:rPr>
                <w:rFonts w:ascii="Segoe UI" w:hAnsi="Segoe UI"/>
                <w:b/>
                <w:color w:val="121F3D"/>
                <w:sz w:val="19"/>
              </w:rPr>
              <w:t>Classification</w:t>
            </w:r>
          </w:p>
        </w:tc>
        <w:tc>
          <w:tcPr>
            <w:tcW w:type="dxa" w:w="6624"/>
          </w:tcPr>
          <w:p>
            <w:pPr>
              <w:spacing w:after="40" w:before="40"/>
            </w:pPr>
            <w:r>
              <w:rPr>
                <w:rFonts w:ascii="Segoe UI" w:hAnsi="Segoe UI"/>
                <w:sz w:val="19"/>
              </w:rPr>
              <w:t>Confidential — AFNI internal</w:t>
            </w:r>
          </w:p>
        </w:tc>
      </w:tr>
      <w:tr>
        <w:tc>
          <w:tcPr>
            <w:tcW w:type="dxa" w:w="2592"/>
            <w:shd w:val="clear" w:fill="EEF1F7"/>
          </w:tcPr>
          <w:p>
            <w:pPr>
              <w:spacing w:after="40" w:before="40"/>
            </w:pPr>
            <w:r>
              <w:rPr>
                <w:rFonts w:ascii="Segoe UI" w:hAnsi="Segoe UI"/>
                <w:b/>
                <w:color w:val="121F3D"/>
                <w:sz w:val="19"/>
              </w:rPr>
              <w:t>Date</w:t>
            </w:r>
          </w:p>
        </w:tc>
        <w:tc>
          <w:tcPr>
            <w:tcW w:type="dxa" w:w="6624"/>
            <w:shd w:val="clear" w:fill="EEF1F7"/>
          </w:tcPr>
          <w:p>
            <w:pPr>
              <w:spacing w:after="40" w:before="40"/>
            </w:pPr>
            <w:r>
              <w:rPr>
                <w:rFonts w:ascii="Segoe UI" w:hAnsi="Segoe UI"/>
                <w:sz w:val="19"/>
              </w:rPr>
              <w:t>2026</w:t>
            </w:r>
          </w:p>
        </w:tc>
      </w:tr>
    </w:tbl>
    <w:p>
      <w:pPr>
        <w:spacing w:after="80" w:before="0"/>
      </w:pPr>
    </w:p>
    <w:p>
      <w:r>
        <w:br w:type="page"/>
      </w:r>
    </w:p>
    <w:p>
      <w:pPr>
        <w:pStyle w:val="Heading1"/>
      </w:pPr>
      <w:r>
        <w:t>Contents</w:t>
      </w:r>
    </w:p>
    <w:p>
      <w:pPr>
        <w:spacing w:after="80"/>
      </w:pPr>
      <w:r>
        <w:rPr>
          <w:rFonts w:ascii="Segoe UI" w:hAnsi="Segoe UI"/>
          <w:b/>
          <w:color w:val="1B3A6B"/>
          <w:sz w:val="22"/>
        </w:rPr>
        <w:t>1. Executive Summary</w:t>
      </w:r>
    </w:p>
    <w:p>
      <w:pPr>
        <w:spacing w:after="80"/>
      </w:pPr>
      <w:r>
        <w:rPr>
          <w:rFonts w:ascii="Segoe UI" w:hAnsi="Segoe UI"/>
          <w:b/>
          <w:color w:val="1B3A6B"/>
          <w:sz w:val="22"/>
        </w:rPr>
        <w:t>2. Business Context &amp; Opportunity</w:t>
      </w:r>
    </w:p>
    <w:p>
      <w:pPr>
        <w:spacing w:after="80"/>
      </w:pPr>
      <w:r>
        <w:rPr>
          <w:rFonts w:ascii="Segoe UI" w:hAnsi="Segoe UI"/>
          <w:b/>
          <w:color w:val="1B3A6B"/>
          <w:sz w:val="22"/>
        </w:rPr>
        <w:t>3. The Three Flagship Initiatives</w:t>
      </w:r>
    </w:p>
    <w:p>
      <w:pPr>
        <w:spacing w:after="80"/>
      </w:pPr>
      <w:r>
        <w:rPr>
          <w:rFonts w:ascii="Segoe UI" w:hAnsi="Segoe UI"/>
          <w:b/>
          <w:color w:val="1B3A6B"/>
          <w:sz w:val="22"/>
        </w:rPr>
        <w:t>4. Platform Architecture</w:t>
      </w:r>
    </w:p>
    <w:p>
      <w:pPr>
        <w:spacing w:after="80"/>
      </w:pPr>
      <w:r>
        <w:rPr>
          <w:rFonts w:ascii="Segoe UI" w:hAnsi="Segoe UI"/>
          <w:b/>
          <w:color w:val="1B3A6B"/>
          <w:sz w:val="22"/>
        </w:rPr>
        <w:t>5. Multi-Agent Systems</w:t>
      </w:r>
    </w:p>
    <w:p>
      <w:pPr>
        <w:spacing w:after="80"/>
      </w:pPr>
      <w:r>
        <w:rPr>
          <w:rFonts w:ascii="Segoe UI" w:hAnsi="Segoe UI"/>
          <w:b/>
          <w:color w:val="1B3A6B"/>
          <w:sz w:val="22"/>
        </w:rPr>
        <w:t>6. Voice Agent</w:t>
      </w:r>
    </w:p>
    <w:p>
      <w:pPr>
        <w:spacing w:after="80"/>
      </w:pPr>
      <w:r>
        <w:rPr>
          <w:rFonts w:ascii="Segoe UI" w:hAnsi="Segoe UI"/>
          <w:b/>
          <w:color w:val="1B3A6B"/>
          <w:sz w:val="22"/>
        </w:rPr>
        <w:t>7. Performance Intelligence Index</w:t>
      </w:r>
    </w:p>
    <w:p>
      <w:pPr>
        <w:spacing w:after="80"/>
      </w:pPr>
      <w:r>
        <w:rPr>
          <w:rFonts w:ascii="Segoe UI" w:hAnsi="Segoe UI"/>
          <w:b/>
          <w:color w:val="1B3A6B"/>
          <w:sz w:val="22"/>
        </w:rPr>
        <w:t>8. Hiring Intelligence</w:t>
      </w:r>
    </w:p>
    <w:p>
      <w:pPr>
        <w:spacing w:after="80"/>
      </w:pPr>
      <w:r>
        <w:rPr>
          <w:rFonts w:ascii="Segoe UI" w:hAnsi="Segoe UI"/>
          <w:b/>
          <w:color w:val="1B3A6B"/>
          <w:sz w:val="22"/>
        </w:rPr>
        <w:t>9. LLMOps Lifecycle &amp; Toolchain</w:t>
      </w:r>
    </w:p>
    <w:p>
      <w:pPr>
        <w:spacing w:after="80"/>
      </w:pPr>
      <w:r>
        <w:rPr>
          <w:rFonts w:ascii="Segoe UI" w:hAnsi="Segoe UI"/>
          <w:b/>
          <w:color w:val="1B3A6B"/>
          <w:sz w:val="22"/>
        </w:rPr>
        <w:t>10. Responsible AI &amp; Governance</w:t>
      </w:r>
    </w:p>
    <w:p>
      <w:pPr>
        <w:spacing w:after="80"/>
      </w:pPr>
      <w:r>
        <w:rPr>
          <w:rFonts w:ascii="Segoe UI" w:hAnsi="Segoe UI"/>
          <w:b/>
          <w:color w:val="1B3A6B"/>
          <w:sz w:val="22"/>
        </w:rPr>
        <w:t>11. Security, Privacy &amp; Compliance</w:t>
      </w:r>
    </w:p>
    <w:p>
      <w:pPr>
        <w:spacing w:after="80"/>
      </w:pPr>
      <w:r>
        <w:rPr>
          <w:rFonts w:ascii="Segoe UI" w:hAnsi="Segoe UI"/>
          <w:b/>
          <w:color w:val="1B3A6B"/>
          <w:sz w:val="22"/>
        </w:rPr>
        <w:t>12. Observability &amp; FinOps</w:t>
      </w:r>
    </w:p>
    <w:p>
      <w:pPr>
        <w:spacing w:after="80"/>
      </w:pPr>
      <w:r>
        <w:rPr>
          <w:rFonts w:ascii="Segoe UI" w:hAnsi="Segoe UI"/>
          <w:b/>
          <w:color w:val="1B3A6B"/>
          <w:sz w:val="22"/>
        </w:rPr>
        <w:t>13. Operating Model &amp; Team</w:t>
      </w:r>
    </w:p>
    <w:p>
      <w:pPr>
        <w:spacing w:after="80"/>
      </w:pPr>
      <w:r>
        <w:rPr>
          <w:rFonts w:ascii="Segoe UI" w:hAnsi="Segoe UI"/>
          <w:b/>
          <w:color w:val="1B3A6B"/>
          <w:sz w:val="22"/>
        </w:rPr>
        <w:t>14. Implementation Roadmap</w:t>
      </w:r>
    </w:p>
    <w:p>
      <w:pPr>
        <w:spacing w:after="80"/>
      </w:pPr>
      <w:r>
        <w:rPr>
          <w:rFonts w:ascii="Segoe UI" w:hAnsi="Segoe UI"/>
          <w:b/>
          <w:color w:val="1B3A6B"/>
          <w:sz w:val="22"/>
        </w:rPr>
        <w:t>15. Business Case &amp; ROI</w:t>
      </w:r>
    </w:p>
    <w:p>
      <w:pPr>
        <w:spacing w:after="80"/>
      </w:pPr>
      <w:r>
        <w:rPr>
          <w:rFonts w:ascii="Segoe UI" w:hAnsi="Segoe UI"/>
          <w:b/>
          <w:color w:val="1B3A6B"/>
          <w:sz w:val="22"/>
        </w:rPr>
        <w:t>16. Risks &amp; Mitigations</w:t>
      </w:r>
    </w:p>
    <w:p>
      <w:pPr>
        <w:spacing w:after="80"/>
      </w:pPr>
      <w:r>
        <w:rPr>
          <w:rFonts w:ascii="Segoe UI" w:hAnsi="Segoe UI"/>
          <w:b/>
          <w:color w:val="1B3A6B"/>
          <w:sz w:val="22"/>
        </w:rPr>
        <w:t>17. Recommendation &amp; Next Steps</w:t>
      </w:r>
    </w:p>
    <w:p>
      <w:r>
        <w:br w:type="page"/>
      </w:r>
    </w:p>
    <w:p>
      <w:pPr>
        <w:pStyle w:val="Heading1"/>
      </w:pPr>
      <w:r>
        <w:t>1. Executive Summary</w:t>
      </w:r>
    </w:p>
    <w:p>
      <w:pPr>
        <w:spacing w:after="120" w:before="0"/>
      </w:pPr>
      <w:r>
        <w:rPr>
          <w:rFonts w:ascii="Segoe UI" w:hAnsi="Segoe UI"/>
          <w:b w:val="0"/>
          <w:i w:val="0"/>
          <w:sz w:val="21"/>
        </w:rPr>
        <w:t>AFNI operates in a business where Generative AI is no longer optional. As a global business process outsourcing and customer-engagement provider, AFNI's economics are driven by the cost and quality of high-volume voice interactions and the cost and speed of hiring the people who handle them. AI-native competitors are resetting client expectations on price, availability and consistency. The opportunity is to move first — as an AI-enabled partner.</w:t>
      </w:r>
    </w:p>
    <w:p>
      <w:pPr>
        <w:spacing w:after="120" w:before="0"/>
      </w:pPr>
      <w:r>
        <w:rPr>
          <w:rFonts w:ascii="Segoe UI" w:hAnsi="Segoe UI"/>
          <w:b w:val="0"/>
          <w:i w:val="0"/>
          <w:sz w:val="21"/>
        </w:rPr>
        <w:t>This proposal recommends that AFNI stand up an enterprise-grade LLMOps platform on Microsoft Azure AI Foundry and use it to deliver three flagship, multi-agent initiatives:</w:t>
      </w:r>
    </w:p>
    <w:p>
      <w:pPr>
        <w:pStyle w:val="ListBullet"/>
        <w:spacing w:after="60"/>
      </w:pPr>
      <w:r>
        <w:rPr>
          <w:rFonts w:ascii="Segoe UI" w:hAnsi="Segoe UI"/>
          <w:b/>
          <w:sz w:val="21"/>
        </w:rPr>
        <w:t xml:space="preserve">Voice Agent — </w:t>
      </w:r>
      <w:r>
        <w:rPr>
          <w:rFonts w:ascii="Segoe UI" w:hAnsi="Segoe UI"/>
          <w:sz w:val="21"/>
        </w:rPr>
        <w:t>real-time voice automation and agent-assist across the contact center.</w:t>
      </w:r>
    </w:p>
    <w:p>
      <w:pPr>
        <w:pStyle w:val="ListBullet"/>
        <w:spacing w:after="60"/>
      </w:pPr>
      <w:r>
        <w:rPr>
          <w:rFonts w:ascii="Segoe UI" w:hAnsi="Segoe UI"/>
          <w:b/>
          <w:sz w:val="21"/>
        </w:rPr>
        <w:t xml:space="preserve">Performance Intelligence Index — </w:t>
      </w:r>
      <w:r>
        <w:rPr>
          <w:rFonts w:ascii="Segoe UI" w:hAnsi="Segoe UI"/>
          <w:sz w:val="21"/>
        </w:rPr>
        <w:t>an AI-generated, explainable composite score computed from 100% of interactions.</w:t>
      </w:r>
    </w:p>
    <w:p>
      <w:pPr>
        <w:pStyle w:val="ListBullet"/>
        <w:spacing w:after="60"/>
      </w:pPr>
      <w:r>
        <w:rPr>
          <w:rFonts w:ascii="Segoe UI" w:hAnsi="Segoe UI"/>
          <w:b/>
          <w:sz w:val="21"/>
        </w:rPr>
        <w:t xml:space="preserve">Hiring Intelligence — </w:t>
      </w:r>
      <w:r>
        <w:rPr>
          <w:rFonts w:ascii="Segoe UI" w:hAnsi="Segoe UI"/>
          <w:sz w:val="21"/>
        </w:rPr>
        <w:t>fair, high-volume recruitment for AFNI's own hiring, where AI assists and humans decide.</w:t>
      </w:r>
    </w:p>
    <w:p>
      <w:pPr>
        <w:spacing w:after="120" w:before="0"/>
      </w:pPr>
      <w:r>
        <w:rPr>
          <w:rFonts w:ascii="Segoe UI" w:hAnsi="Segoe UI"/>
          <w:b w:val="0"/>
          <w:i w:val="0"/>
          <w:sz w:val="21"/>
        </w:rPr>
        <w:t>The strategy is platform-first: build the foundations — orchestration, retrieval, evaluation, guardrails, observability, security and governance — once, so every initiative reuses them and future use cases (subrogation automation, a knowledge assistant) ship in weeks. All three run on the same multi-agent pattern: an orchestrator routing to specialist agents.</w:t>
      </w:r>
    </w:p>
    <w:tbl>
      <w:tblPr>
        <w:tblStyle w:val="TableGrid"/>
        <w:tblW w:type="auto" w:w="0"/>
        <w:tblLook w:firstColumn="1" w:firstRow="1" w:lastColumn="0" w:lastRow="0" w:noHBand="0" w:noVBand="1" w:val="04A0"/>
      </w:tblPr>
      <w:tblGrid>
        <w:gridCol w:w="9360"/>
      </w:tblGrid>
      <w:tr>
        <w:tc>
          <w:tcPr>
            <w:tcW w:type="dxa" w:w="9360"/>
            <w:shd w:val="clear" w:fill="EAF3F3"/>
          </w:tcPr>
          <w:p>
            <w:r>
              <w:rPr>
                <w:rFonts w:ascii="Segoe UI" w:hAnsi="Segoe UI"/>
                <w:b/>
                <w:color w:val="007A7A"/>
                <w:sz w:val="21"/>
              </w:rPr>
              <w:t xml:space="preserve">The core idea:  </w:t>
            </w:r>
            <w:r>
              <w:rPr>
                <w:rFonts w:ascii="Segoe UI" w:hAnsi="Segoe UI"/>
                <w:sz w:val="21"/>
              </w:rPr>
              <w:t>Give AFNI one secure, governed platform to build, evaluate, deploy, govern and continuously improve fleets of cooperating AI agents — with the same operational rigor AFNI already applies to running contact centers.</w:t>
            </w:r>
          </w:p>
        </w:tc>
      </w:tr>
    </w:tbl>
    <w:p>
      <w:pPr>
        <w:spacing w:after="80" w:before="0"/>
      </w:pPr>
    </w:p>
    <w:p>
      <w:pPr>
        <w:spacing w:after="120" w:before="0"/>
      </w:pPr>
      <w:r>
        <w:rPr>
          <w:rFonts w:ascii="Segoe UI" w:hAnsi="Segoe UI"/>
          <w:b w:val="0"/>
          <w:i w:val="0"/>
          <w:sz w:val="21"/>
        </w:rPr>
        <w:t>Delivery follows a Crawl → Walk → Run roadmap over roughly nine to twelve months, beginning with a four-week Phase 0. Responsible AI, human-in-the-loop control, and compliance (PCI-DSS, HIPAA, TCPA, SOC 2, GDPR, and hiring-fairness law such as EEOC and NYC Local Law 144) are designed in from day one. All financial figures in this document are illustrative placeholders, to be replaced with AFNI's actuals during discovery.</w:t>
      </w:r>
    </w:p>
    <w:p>
      <w:pPr>
        <w:spacing w:after="120" w:before="0"/>
      </w:pPr>
      <w:r>
        <w:rPr>
          <w:rFonts w:ascii="Segoe UI" w:hAnsi="Segoe UI"/>
          <w:b/>
          <w:i w:val="0"/>
          <w:color w:val="121F3D"/>
          <w:sz w:val="21"/>
        </w:rPr>
        <w:t>Recommendation: approve Phase 0 to lock the foundations and launch the Voice Agent copilot, the PI Index MVP, and the Hiring Intelligence screening pilot.</w:t>
      </w:r>
    </w:p>
    <w:p>
      <w:pPr>
        <w:pStyle w:val="Heading1"/>
      </w:pPr>
      <w:r>
        <w:t>2. Business Context &amp; Opportunity</w:t>
      </w:r>
    </w:p>
    <w:p>
      <w:pPr>
        <w:spacing w:after="120" w:before="0"/>
      </w:pPr>
      <w:r>
        <w:rPr>
          <w:rFonts w:ascii="Segoe UI" w:hAnsi="Segoe UI"/>
          <w:b w:val="0"/>
          <w:i w:val="0"/>
          <w:sz w:val="21"/>
        </w:rPr>
        <w:t>AFNI, Inc. is a global BPO and customer-engagement provider founded in 1936, headquartered in Bloomington, Illinois, with roughly 3,400+ professionals across the United States, Mexico and the Philippines, plus the AFNI@Home remote program. (Public-source figures; to be confirmed.)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1B3A6B"/>
          </w:tcPr>
          <w:p>
            <w:pPr>
              <w:spacing w:after="40" w:before="40"/>
            </w:pPr>
            <w:r>
              <w:rPr>
                <w:rFonts w:ascii="Segoe UI" w:hAnsi="Segoe UI"/>
                <w:b/>
                <w:color w:val="FFFFFF"/>
                <w:sz w:val="20"/>
              </w:rPr>
              <w:t>Service line</w:t>
            </w:r>
          </w:p>
        </w:tc>
        <w:tc>
          <w:tcPr>
            <w:tcW w:type="dxa" w:w="3600"/>
            <w:shd w:val="clear" w:fill="1B3A6B"/>
          </w:tcPr>
          <w:p>
            <w:pPr>
              <w:spacing w:after="40" w:before="40"/>
            </w:pPr>
            <w:r>
              <w:rPr>
                <w:rFonts w:ascii="Segoe UI" w:hAnsi="Segoe UI"/>
                <w:b/>
                <w:color w:val="FFFFFF"/>
                <w:sz w:val="20"/>
              </w:rPr>
              <w:t>What it involves</w:t>
            </w:r>
          </w:p>
        </w:tc>
        <w:tc>
          <w:tcPr>
            <w:tcW w:type="dxa" w:w="3456"/>
            <w:shd w:val="clear" w:fill="1B3A6B"/>
          </w:tcPr>
          <w:p>
            <w:pPr>
              <w:spacing w:after="40" w:before="40"/>
            </w:pPr>
            <w:r>
              <w:rPr>
                <w:rFonts w:ascii="Segoe UI" w:hAnsi="Segoe UI"/>
                <w:b/>
                <w:color w:val="FFFFFF"/>
                <w:sz w:val="20"/>
              </w:rPr>
              <w:t>GenAI relevance</w:t>
            </w:r>
          </w:p>
        </w:tc>
      </w:tr>
      <w:tr>
        <w:tc>
          <w:tcPr>
            <w:tcW w:type="dxa" w:w="2448"/>
          </w:tcPr>
          <w:p>
            <w:pPr>
              <w:spacing w:after="40" w:before="40"/>
            </w:pPr>
            <w:r>
              <w:rPr>
                <w:rFonts w:ascii="Segoe UI" w:hAnsi="Segoe UI"/>
                <w:b/>
                <w:color w:val="121F3D"/>
                <w:sz w:val="19"/>
              </w:rPr>
              <w:t>Acquisition &amp; Growth</w:t>
            </w:r>
          </w:p>
        </w:tc>
        <w:tc>
          <w:tcPr>
            <w:tcW w:type="dxa" w:w="3600"/>
          </w:tcPr>
          <w:p>
            <w:pPr>
              <w:spacing w:after="40" w:before="40"/>
            </w:pPr>
            <w:r>
              <w:rPr>
                <w:rFonts w:ascii="Segoe UI" w:hAnsi="Segoe UI"/>
                <w:sz w:val="19"/>
              </w:rPr>
              <w:t>Sales and acquisition</w:t>
            </w:r>
          </w:p>
        </w:tc>
        <w:tc>
          <w:tcPr>
            <w:tcW w:type="dxa" w:w="3456"/>
          </w:tcPr>
          <w:p>
            <w:pPr>
              <w:spacing w:after="40" w:before="40"/>
            </w:pPr>
            <w:r>
              <w:rPr>
                <w:rFonts w:ascii="Segoe UI" w:hAnsi="Segoe UI"/>
                <w:sz w:val="19"/>
              </w:rPr>
              <w:t>Outbound assist, lead qualification</w:t>
            </w:r>
          </w:p>
        </w:tc>
      </w:tr>
      <w:tr>
        <w:tc>
          <w:tcPr>
            <w:tcW w:type="dxa" w:w="2448"/>
            <w:shd w:val="clear" w:fill="EEF1F7"/>
          </w:tcPr>
          <w:p>
            <w:pPr>
              <w:spacing w:after="40" w:before="40"/>
            </w:pPr>
            <w:r>
              <w:rPr>
                <w:rFonts w:ascii="Segoe UI" w:hAnsi="Segoe UI"/>
                <w:b/>
                <w:color w:val="121F3D"/>
                <w:sz w:val="19"/>
              </w:rPr>
              <w:t>Care &amp; Retention</w:t>
            </w:r>
          </w:p>
        </w:tc>
        <w:tc>
          <w:tcPr>
            <w:tcW w:type="dxa" w:w="3600"/>
            <w:shd w:val="clear" w:fill="EEF1F7"/>
          </w:tcPr>
          <w:p>
            <w:pPr>
              <w:spacing w:after="40" w:before="40"/>
            </w:pPr>
            <w:r>
              <w:rPr>
                <w:rFonts w:ascii="Segoe UI" w:hAnsi="Segoe UI"/>
                <w:sz w:val="19"/>
              </w:rPr>
              <w:t>Service and loyalty</w:t>
            </w:r>
          </w:p>
        </w:tc>
        <w:tc>
          <w:tcPr>
            <w:tcW w:type="dxa" w:w="3456"/>
            <w:shd w:val="clear" w:fill="EEF1F7"/>
          </w:tcPr>
          <w:p>
            <w:pPr>
              <w:spacing w:after="40" w:before="40"/>
            </w:pPr>
            <w:r>
              <w:rPr>
                <w:rFonts w:ascii="Segoe UI" w:hAnsi="Segoe UI"/>
                <w:sz w:val="19"/>
              </w:rPr>
              <w:t>Voice Agent, agent-assist, self-service</w:t>
            </w:r>
          </w:p>
        </w:tc>
      </w:tr>
      <w:tr>
        <w:tc>
          <w:tcPr>
            <w:tcW w:type="dxa" w:w="2448"/>
          </w:tcPr>
          <w:p>
            <w:pPr>
              <w:spacing w:after="40" w:before="40"/>
            </w:pPr>
            <w:r>
              <w:rPr>
                <w:rFonts w:ascii="Segoe UI" w:hAnsi="Segoe UI"/>
                <w:b/>
                <w:color w:val="121F3D"/>
                <w:sz w:val="19"/>
              </w:rPr>
              <w:t>Collections</w:t>
            </w:r>
          </w:p>
        </w:tc>
        <w:tc>
          <w:tcPr>
            <w:tcW w:type="dxa" w:w="3600"/>
          </w:tcPr>
          <w:p>
            <w:pPr>
              <w:spacing w:after="40" w:before="40"/>
            </w:pPr>
            <w:r>
              <w:rPr>
                <w:rFonts w:ascii="Segoe UI" w:hAnsi="Segoe UI"/>
                <w:sz w:val="19"/>
              </w:rPr>
              <w:t>Receivables and recovery</w:t>
            </w:r>
          </w:p>
        </w:tc>
        <w:tc>
          <w:tcPr>
            <w:tcW w:type="dxa" w:w="3456"/>
          </w:tcPr>
          <w:p>
            <w:pPr>
              <w:spacing w:after="40" w:before="40"/>
            </w:pPr>
            <w:r>
              <w:rPr>
                <w:rFonts w:ascii="Segoe UI" w:hAnsi="Segoe UI"/>
                <w:sz w:val="19"/>
              </w:rPr>
              <w:t>Compliant reminders, negotiation assist</w:t>
            </w:r>
          </w:p>
        </w:tc>
      </w:tr>
      <w:tr>
        <w:tc>
          <w:tcPr>
            <w:tcW w:type="dxa" w:w="2448"/>
            <w:shd w:val="clear" w:fill="EEF1F7"/>
          </w:tcPr>
          <w:p>
            <w:pPr>
              <w:spacing w:after="40" w:before="40"/>
            </w:pPr>
            <w:r>
              <w:rPr>
                <w:rFonts w:ascii="Segoe UI" w:hAnsi="Segoe UI"/>
                <w:b/>
                <w:color w:val="121F3D"/>
                <w:sz w:val="19"/>
              </w:rPr>
              <w:t>P&amp;C Insurance</w:t>
            </w:r>
          </w:p>
        </w:tc>
        <w:tc>
          <w:tcPr>
            <w:tcW w:type="dxa" w:w="3600"/>
            <w:shd w:val="clear" w:fill="EEF1F7"/>
          </w:tcPr>
          <w:p>
            <w:pPr>
              <w:spacing w:after="40" w:before="40"/>
            </w:pPr>
            <w:r>
              <w:rPr>
                <w:rFonts w:ascii="Segoe UI" w:hAnsi="Segoe UI"/>
                <w:sz w:val="19"/>
              </w:rPr>
              <w:t>Support incl. subrogation</w:t>
            </w:r>
          </w:p>
        </w:tc>
        <w:tc>
          <w:tcPr>
            <w:tcW w:type="dxa" w:w="3456"/>
            <w:shd w:val="clear" w:fill="EEF1F7"/>
          </w:tcPr>
          <w:p>
            <w:pPr>
              <w:spacing w:after="40" w:before="40"/>
            </w:pPr>
            <w:r>
              <w:rPr>
                <w:rFonts w:ascii="Segoe UI" w:hAnsi="Segoe UI"/>
                <w:sz w:val="19"/>
              </w:rPr>
              <w:t>Document AI, claims &amp; subrogation automation</w:t>
            </w:r>
          </w:p>
        </w:tc>
      </w:tr>
      <w:tr>
        <w:tc>
          <w:tcPr>
            <w:tcW w:type="dxa" w:w="2448"/>
          </w:tcPr>
          <w:p>
            <w:pPr>
              <w:spacing w:after="40" w:before="40"/>
            </w:pPr>
            <w:r>
              <w:rPr>
                <w:rFonts w:ascii="Segoe UI" w:hAnsi="Segoe UI"/>
                <w:b/>
                <w:color w:val="121F3D"/>
                <w:sz w:val="19"/>
              </w:rPr>
              <w:t>Gainshare model</w:t>
            </w:r>
          </w:p>
        </w:tc>
        <w:tc>
          <w:tcPr>
            <w:tcW w:type="dxa" w:w="3600"/>
          </w:tcPr>
          <w:p>
            <w:pPr>
              <w:spacing w:after="40" w:before="40"/>
            </w:pPr>
            <w:r>
              <w:rPr>
                <w:rFonts w:ascii="Segoe UI" w:hAnsi="Segoe UI"/>
                <w:sz w:val="19"/>
              </w:rPr>
              <w:t>Outcome-based partnerships</w:t>
            </w:r>
          </w:p>
        </w:tc>
        <w:tc>
          <w:tcPr>
            <w:tcW w:type="dxa" w:w="3456"/>
          </w:tcPr>
          <w:p>
            <w:pPr>
              <w:spacing w:after="40" w:before="40"/>
            </w:pPr>
            <w:r>
              <w:rPr>
                <w:rFonts w:ascii="Segoe UI" w:hAnsi="Segoe UI"/>
                <w:sz w:val="19"/>
              </w:rPr>
              <w:t>Efficiency directly improves shared margin</w:t>
            </w:r>
          </w:p>
        </w:tc>
      </w:tr>
    </w:tbl>
    <w:p>
      <w:pPr>
        <w:spacing w:after="80" w:before="0"/>
      </w:pPr>
    </w:p>
    <w:p>
      <w:pPr>
        <w:spacing w:after="120" w:before="0"/>
      </w:pPr>
      <w:r>
        <w:rPr>
          <w:rFonts w:ascii="Segoe UI" w:hAnsi="Segoe UI"/>
          <w:b w:val="0"/>
          <w:i w:val="0"/>
          <w:sz w:val="21"/>
        </w:rPr>
        <w:t>Strategic pressures on BPOs: margin and labor-cost pressure as AI-native providers reset price expectations; persistent agent attrition and ramp cost; rising client expectations for 24/7, consistent, compliant interactions; and a first-mover advantage for AI-enabled partners.</w:t>
      </w:r>
    </w:p>
    <w:p>
      <w:pPr>
        <w:pStyle w:val="Heading1"/>
      </w:pPr>
      <w:r>
        <w:t>3. The Three Flagship Initiatives</w:t>
      </w:r>
    </w:p>
    <w:p>
      <w:pPr>
        <w:spacing w:after="120" w:before="0"/>
      </w:pPr>
      <w:r>
        <w:rPr>
          <w:rFonts w:ascii="Segoe UI" w:hAnsi="Segoe UI"/>
          <w:b w:val="0"/>
          <w:i w:val="0"/>
          <w:sz w:val="21"/>
        </w:rPr>
        <w:t>AFNI builds one shared multi-agent LLMOps platform and delivers three flagship initiatives on top of it. Voice Agent generates real-time automation and interaction data; the Performance Intelligence Index turns 100% of that data into performance intelligence; Hiring Intelligence reuses the same agents and voice stack to hire the workforce. Build once, reuse everywhere.</w:t>
      </w:r>
    </w:p>
    <w:p>
      <w:pPr>
        <w:spacing w:after="40"/>
      </w:pPr>
    </w:p>
    <w:p>
      <w:pPr>
        <w:jc w:val="center"/>
      </w:pPr>
      <w:r>
        <w:drawing>
          <wp:inline xmlns:a="http://schemas.openxmlformats.org/drawingml/2006/main" xmlns:pic="http://schemas.openxmlformats.org/drawingml/2006/picture">
            <wp:extent cx="6035040" cy="3458624"/>
            <wp:docPr id="1" name="Picture 1"/>
            <wp:cNvGraphicFramePr>
              <a:graphicFrameLocks noChangeAspect="1"/>
            </wp:cNvGraphicFramePr>
            <a:graphic>
              <a:graphicData uri="http://schemas.openxmlformats.org/drawingml/2006/picture">
                <pic:pic>
                  <pic:nvPicPr>
                    <pic:cNvPr id="0" name="03-three-initiatives.png"/>
                    <pic:cNvPicPr/>
                  </pic:nvPicPr>
                  <pic:blipFill>
                    <a:blip r:embed="rId10"/>
                    <a:stretch>
                      <a:fillRect/>
                    </a:stretch>
                  </pic:blipFill>
                  <pic:spPr>
                    <a:xfrm>
                      <a:off x="0" y="0"/>
                      <a:ext cx="6035040" cy="3458624"/>
                    </a:xfrm>
                    <a:prstGeom prst="rect"/>
                  </pic:spPr>
                </pic:pic>
              </a:graphicData>
            </a:graphic>
          </wp:inline>
        </w:drawing>
      </w:r>
    </w:p>
    <w:p>
      <w:pPr>
        <w:spacing w:before="60"/>
        <w:jc w:val="center"/>
      </w:pPr>
      <w:r>
        <w:rPr>
          <w:rFonts w:ascii="Segoe UI" w:hAnsi="Segoe UI"/>
          <w:i/>
          <w:color w:val="505A6A"/>
          <w:sz w:val="18"/>
        </w:rPr>
        <w:t>Figure. Three flagship initiatives on one shared platform.</w:t>
      </w:r>
    </w:p>
    <w:p>
      <w:pPr>
        <w:pStyle w:val="Heading1"/>
      </w:pPr>
      <w:r>
        <w:t>4. Platform Architecture</w:t>
      </w:r>
    </w:p>
    <w:p>
      <w:pPr>
        <w:spacing w:after="120" w:before="0"/>
      </w:pPr>
      <w:r>
        <w:rPr>
          <w:rFonts w:ascii="Segoe UI" w:hAnsi="Segoe UI"/>
          <w:b w:val="0"/>
          <w:i w:val="0"/>
          <w:sz w:val="21"/>
        </w:rPr>
        <w:t>The platform is a layered reference architecture on Azure AI Foundry. Each layer has a clear responsibility and named Azure services, so initiatives compose from shared building blocks. Environments are separated (dev/test/prod) on a Cloud Adoption Framework landing zone, with private networking, Entra ID identity, Key Vault secrets, and an Azure API Management AI gateway for token metering, quotas and caching.</w:t>
      </w:r>
    </w:p>
    <w:p>
      <w:pPr>
        <w:spacing w:after="40"/>
      </w:pPr>
    </w:p>
    <w:p>
      <w:pPr>
        <w:jc w:val="center"/>
      </w:pPr>
      <w:r>
        <w:drawing>
          <wp:inline xmlns:a="http://schemas.openxmlformats.org/drawingml/2006/main" xmlns:pic="http://schemas.openxmlformats.org/drawingml/2006/picture">
            <wp:extent cx="6035040" cy="3752693"/>
            <wp:docPr id="2" name="Picture 2"/>
            <wp:cNvGraphicFramePr>
              <a:graphicFrameLocks noChangeAspect="1"/>
            </wp:cNvGraphicFramePr>
            <a:graphic>
              <a:graphicData uri="http://schemas.openxmlformats.org/drawingml/2006/picture">
                <pic:pic>
                  <pic:nvPicPr>
                    <pic:cNvPr id="0" name="01-platform-architecture.png"/>
                    <pic:cNvPicPr/>
                  </pic:nvPicPr>
                  <pic:blipFill>
                    <a:blip r:embed="rId11"/>
                    <a:stretch>
                      <a:fillRect/>
                    </a:stretch>
                  </pic:blipFill>
                  <pic:spPr>
                    <a:xfrm>
                      <a:off x="0" y="0"/>
                      <a:ext cx="6035040" cy="3752693"/>
                    </a:xfrm>
                    <a:prstGeom prst="rect"/>
                  </pic:spPr>
                </pic:pic>
              </a:graphicData>
            </a:graphic>
          </wp:inline>
        </w:drawing>
      </w:r>
    </w:p>
    <w:p>
      <w:pPr>
        <w:spacing w:before="60"/>
        <w:jc w:val="center"/>
      </w:pPr>
      <w:r>
        <w:rPr>
          <w:rFonts w:ascii="Segoe UI" w:hAnsi="Segoe UI"/>
          <w:i/>
          <w:color w:val="505A6A"/>
          <w:sz w:val="18"/>
        </w:rPr>
        <w:t>Figure. Layered reference architecture on Azure AI Foundry.</w:t>
      </w:r>
    </w:p>
    <w:p>
      <w:pPr>
        <w:pStyle w:val="Heading1"/>
      </w:pPr>
      <w:r>
        <w:t>5. Multi-Agent Systems</w:t>
      </w:r>
    </w:p>
    <w:p>
      <w:pPr>
        <w:spacing w:after="120" w:before="0"/>
      </w:pPr>
      <w:r>
        <w:rPr>
          <w:rFonts w:ascii="Segoe UI" w:hAnsi="Segoe UI"/>
          <w:b w:val="0"/>
          <w:i w:val="0"/>
          <w:sz w:val="21"/>
        </w:rPr>
        <w:t>Every initiative uses one pattern: a supervisor/orchestrator interprets a request and routes work to specialist agents, each with a narrow, testable responsibility. Deterministic guardrails wrap the probabilistic agents so policy — disclosures, PII handling, do-not-say/must-say — is enforced, not hoped for. The same seven specialists answer callers (Voice Agent), score interactions (PI Index), and move candidates through the funnel (Hiring Intelligence).</w:t>
      </w:r>
    </w:p>
    <w:p>
      <w:pPr>
        <w:spacing w:after="40"/>
      </w:pPr>
    </w:p>
    <w:p>
      <w:pPr>
        <w:jc w:val="center"/>
      </w:pPr>
      <w:r>
        <w:drawing>
          <wp:inline xmlns:a="http://schemas.openxmlformats.org/drawingml/2006/main" xmlns:pic="http://schemas.openxmlformats.org/drawingml/2006/picture">
            <wp:extent cx="6035040" cy="3679838"/>
            <wp:docPr id="3" name="Picture 3"/>
            <wp:cNvGraphicFramePr>
              <a:graphicFrameLocks noChangeAspect="1"/>
            </wp:cNvGraphicFramePr>
            <a:graphic>
              <a:graphicData uri="http://schemas.openxmlformats.org/drawingml/2006/picture">
                <pic:pic>
                  <pic:nvPicPr>
                    <pic:cNvPr id="0" name="02-multi-agent.png"/>
                    <pic:cNvPicPr/>
                  </pic:nvPicPr>
                  <pic:blipFill>
                    <a:blip r:embed="rId12"/>
                    <a:stretch>
                      <a:fillRect/>
                    </a:stretch>
                  </pic:blipFill>
                  <pic:spPr>
                    <a:xfrm>
                      <a:off x="0" y="0"/>
                      <a:ext cx="6035040" cy="3679838"/>
                    </a:xfrm>
                    <a:prstGeom prst="rect"/>
                  </pic:spPr>
                </pic:pic>
              </a:graphicData>
            </a:graphic>
          </wp:inline>
        </w:drawing>
      </w:r>
    </w:p>
    <w:p>
      <w:pPr>
        <w:spacing w:before="60"/>
        <w:jc w:val="center"/>
      </w:pPr>
      <w:r>
        <w:rPr>
          <w:rFonts w:ascii="Segoe UI" w:hAnsi="Segoe UI"/>
          <w:i/>
          <w:color w:val="505A6A"/>
          <w:sz w:val="18"/>
        </w:rPr>
        <w:t>Figure. One orchestrator, seven specialist agents, reused everywhere.</w:t>
      </w:r>
    </w:p>
    <w:p>
      <w:pPr>
        <w:pStyle w:val="Heading1"/>
      </w:pPr>
      <w:r>
        <w:t>6. Voice Agent</w:t>
      </w:r>
    </w:p>
    <w:p>
      <w:pPr>
        <w:spacing w:after="120" w:before="0"/>
      </w:pPr>
      <w:r>
        <w:rPr>
          <w:rFonts w:ascii="Segoe UI" w:hAnsi="Segoe UI"/>
          <w:b w:val="0"/>
          <w:i w:val="0"/>
          <w:sz w:val="21"/>
        </w:rPr>
        <w:t>Voice is AFNI's highest-volume, highest-cost channel. Voice Agent is delivered in three modes, sequenced from lowest to highest risk: an agent-assist copilot for live reps; an autonomous voice agent for containable call types using sub-second speech-to-speech; and post-call analytics that feed the Performance Intelligence Index. Content Safety, PII redaction and TCPA/PCI guardrails run on every turn.</w:t>
      </w:r>
    </w:p>
    <w:p>
      <w:pPr>
        <w:spacing w:after="40"/>
      </w:pPr>
    </w:p>
    <w:p>
      <w:pPr>
        <w:jc w:val="center"/>
      </w:pPr>
      <w:r>
        <w:drawing>
          <wp:inline xmlns:a="http://schemas.openxmlformats.org/drawingml/2006/main" xmlns:pic="http://schemas.openxmlformats.org/drawingml/2006/picture">
            <wp:extent cx="6035040" cy="2796306"/>
            <wp:docPr id="4" name="Picture 4"/>
            <wp:cNvGraphicFramePr>
              <a:graphicFrameLocks noChangeAspect="1"/>
            </wp:cNvGraphicFramePr>
            <a:graphic>
              <a:graphicData uri="http://schemas.openxmlformats.org/drawingml/2006/picture">
                <pic:pic>
                  <pic:nvPicPr>
                    <pic:cNvPr id="0" name="04-voice-flow.png"/>
                    <pic:cNvPicPr/>
                  </pic:nvPicPr>
                  <pic:blipFill>
                    <a:blip r:embed="rId13"/>
                    <a:stretch>
                      <a:fillRect/>
                    </a:stretch>
                  </pic:blipFill>
                  <pic:spPr>
                    <a:xfrm>
                      <a:off x="0" y="0"/>
                      <a:ext cx="6035040" cy="2796306"/>
                    </a:xfrm>
                    <a:prstGeom prst="rect"/>
                  </pic:spPr>
                </pic:pic>
              </a:graphicData>
            </a:graphic>
          </wp:inline>
        </w:drawing>
      </w:r>
    </w:p>
    <w:p>
      <w:pPr>
        <w:spacing w:before="60"/>
        <w:jc w:val="center"/>
      </w:pPr>
      <w:r>
        <w:rPr>
          <w:rFonts w:ascii="Segoe UI" w:hAnsi="Segoe UI"/>
          <w:i/>
          <w:color w:val="505A6A"/>
          <w:sz w:val="18"/>
        </w:rPr>
        <w:t>Figure. End-to-end real-time call flow.</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fill="1B3A6B"/>
          </w:tcPr>
          <w:p>
            <w:pPr>
              <w:spacing w:after="40" w:before="40"/>
            </w:pPr>
            <w:r>
              <w:rPr>
                <w:rFonts w:ascii="Segoe UI" w:hAnsi="Segoe UI"/>
                <w:b/>
                <w:color w:val="FFFFFF"/>
                <w:sz w:val="20"/>
              </w:rPr>
              <w:t>KPI</w:t>
            </w:r>
          </w:p>
        </w:tc>
        <w:tc>
          <w:tcPr>
            <w:tcW w:type="dxa" w:w="2736"/>
            <w:shd w:val="clear" w:fill="1B3A6B"/>
          </w:tcPr>
          <w:p>
            <w:pPr>
              <w:spacing w:after="40" w:before="40"/>
            </w:pPr>
            <w:r>
              <w:rPr>
                <w:rFonts w:ascii="Segoe UI" w:hAnsi="Segoe UI"/>
                <w:b/>
                <w:color w:val="FFFFFF"/>
                <w:sz w:val="20"/>
              </w:rPr>
              <w:t>Baseline (today)</w:t>
            </w:r>
          </w:p>
        </w:tc>
        <w:tc>
          <w:tcPr>
            <w:tcW w:type="dxa" w:w="3024"/>
            <w:shd w:val="clear" w:fill="1B3A6B"/>
          </w:tcPr>
          <w:p>
            <w:pPr>
              <w:spacing w:after="40" w:before="40"/>
            </w:pPr>
            <w:r>
              <w:rPr>
                <w:rFonts w:ascii="Segoe UI" w:hAnsi="Segoe UI"/>
                <w:b/>
                <w:color w:val="FFFFFF"/>
                <w:sz w:val="20"/>
              </w:rPr>
              <w:t>Target with Voice Agent *</w:t>
            </w:r>
          </w:p>
        </w:tc>
      </w:tr>
      <w:tr>
        <w:tc>
          <w:tcPr>
            <w:tcW w:type="dxa" w:w="3456"/>
          </w:tcPr>
          <w:p>
            <w:pPr>
              <w:spacing w:after="40" w:before="40"/>
            </w:pPr>
            <w:r>
              <w:rPr>
                <w:rFonts w:ascii="Segoe UI" w:hAnsi="Segoe UI"/>
                <w:b/>
                <w:color w:val="121F3D"/>
                <w:sz w:val="19"/>
              </w:rPr>
              <w:t>Containment / deflection</w:t>
            </w:r>
          </w:p>
        </w:tc>
        <w:tc>
          <w:tcPr>
            <w:tcW w:type="dxa" w:w="2736"/>
          </w:tcPr>
          <w:p>
            <w:pPr>
              <w:spacing w:after="40" w:before="40"/>
            </w:pPr>
            <w:r>
              <w:rPr>
                <w:rFonts w:ascii="Segoe UI" w:hAnsi="Segoe UI"/>
                <w:sz w:val="19"/>
              </w:rPr>
              <w:t>Manual IVR</w:t>
            </w:r>
          </w:p>
        </w:tc>
        <w:tc>
          <w:tcPr>
            <w:tcW w:type="dxa" w:w="3024"/>
          </w:tcPr>
          <w:p>
            <w:pPr>
              <w:spacing w:after="40" w:before="40"/>
            </w:pPr>
            <w:r>
              <w:rPr>
                <w:rFonts w:ascii="Segoe UI" w:hAnsi="Segoe UI"/>
                <w:sz w:val="19"/>
              </w:rPr>
              <w:t>20–40% of eligible call types</w:t>
            </w:r>
          </w:p>
        </w:tc>
      </w:tr>
      <w:tr>
        <w:tc>
          <w:tcPr>
            <w:tcW w:type="dxa" w:w="3456"/>
            <w:shd w:val="clear" w:fill="EEF1F7"/>
          </w:tcPr>
          <w:p>
            <w:pPr>
              <w:spacing w:after="40" w:before="40"/>
            </w:pPr>
            <w:r>
              <w:rPr>
                <w:rFonts w:ascii="Segoe UI" w:hAnsi="Segoe UI"/>
                <w:b/>
                <w:color w:val="121F3D"/>
                <w:sz w:val="19"/>
              </w:rPr>
              <w:t>Average Handle Time</w:t>
            </w:r>
          </w:p>
        </w:tc>
        <w:tc>
          <w:tcPr>
            <w:tcW w:type="dxa" w:w="2736"/>
            <w:shd w:val="clear" w:fill="EEF1F7"/>
          </w:tcPr>
          <w:p>
            <w:pPr>
              <w:spacing w:after="40" w:before="40"/>
            </w:pPr>
            <w:r>
              <w:rPr>
                <w:rFonts w:ascii="Segoe UI" w:hAnsi="Segoe UI"/>
                <w:sz w:val="19"/>
              </w:rPr>
              <w:t>Program baseline</w:t>
            </w:r>
          </w:p>
        </w:tc>
        <w:tc>
          <w:tcPr>
            <w:tcW w:type="dxa" w:w="3024"/>
            <w:shd w:val="clear" w:fill="EEF1F7"/>
          </w:tcPr>
          <w:p>
            <w:pPr>
              <w:spacing w:after="40" w:before="40"/>
            </w:pPr>
            <w:r>
              <w:rPr>
                <w:rFonts w:ascii="Segoe UI" w:hAnsi="Segoe UI"/>
                <w:sz w:val="19"/>
              </w:rPr>
              <w:t>15–25% reduction</w:t>
            </w:r>
          </w:p>
        </w:tc>
      </w:tr>
      <w:tr>
        <w:tc>
          <w:tcPr>
            <w:tcW w:type="dxa" w:w="3456"/>
          </w:tcPr>
          <w:p>
            <w:pPr>
              <w:spacing w:after="40" w:before="40"/>
            </w:pPr>
            <w:r>
              <w:rPr>
                <w:rFonts w:ascii="Segoe UI" w:hAnsi="Segoe UI"/>
                <w:b/>
                <w:color w:val="121F3D"/>
                <w:sz w:val="19"/>
              </w:rPr>
              <w:t>QA coverage</w:t>
            </w:r>
          </w:p>
        </w:tc>
        <w:tc>
          <w:tcPr>
            <w:tcW w:type="dxa" w:w="2736"/>
          </w:tcPr>
          <w:p>
            <w:pPr>
              <w:spacing w:after="40" w:before="40"/>
            </w:pPr>
            <w:r>
              <w:rPr>
                <w:rFonts w:ascii="Segoe UI" w:hAnsi="Segoe UI"/>
                <w:sz w:val="19"/>
              </w:rPr>
              <w:t>2–10% sampled</w:t>
            </w:r>
          </w:p>
        </w:tc>
        <w:tc>
          <w:tcPr>
            <w:tcW w:type="dxa" w:w="3024"/>
          </w:tcPr>
          <w:p>
            <w:pPr>
              <w:spacing w:after="40" w:before="40"/>
            </w:pPr>
            <w:r>
              <w:rPr>
                <w:rFonts w:ascii="Segoe UI" w:hAnsi="Segoe UI"/>
                <w:sz w:val="19"/>
              </w:rPr>
              <w:t>100% (via PI Index)</w:t>
            </w:r>
          </w:p>
        </w:tc>
      </w:tr>
      <w:tr>
        <w:tc>
          <w:tcPr>
            <w:tcW w:type="dxa" w:w="3456"/>
            <w:shd w:val="clear" w:fill="EEF1F7"/>
          </w:tcPr>
          <w:p>
            <w:pPr>
              <w:spacing w:after="40" w:before="40"/>
            </w:pPr>
            <w:r>
              <w:rPr>
                <w:rFonts w:ascii="Segoe UI" w:hAnsi="Segoe UI"/>
                <w:b/>
                <w:color w:val="121F3D"/>
                <w:sz w:val="19"/>
              </w:rPr>
              <w:t>Compliance adherence</w:t>
            </w:r>
          </w:p>
        </w:tc>
        <w:tc>
          <w:tcPr>
            <w:tcW w:type="dxa" w:w="2736"/>
            <w:shd w:val="clear" w:fill="EEF1F7"/>
          </w:tcPr>
          <w:p>
            <w:pPr>
              <w:spacing w:after="40" w:before="40"/>
            </w:pPr>
            <w:r>
              <w:rPr>
                <w:rFonts w:ascii="Segoe UI" w:hAnsi="Segoe UI"/>
                <w:sz w:val="19"/>
              </w:rPr>
              <w:t>Sampled review</w:t>
            </w:r>
          </w:p>
        </w:tc>
        <w:tc>
          <w:tcPr>
            <w:tcW w:type="dxa" w:w="3024"/>
            <w:shd w:val="clear" w:fill="EEF1F7"/>
          </w:tcPr>
          <w:p>
            <w:pPr>
              <w:spacing w:after="40" w:before="40"/>
            </w:pPr>
            <w:r>
              <w:rPr>
                <w:rFonts w:ascii="Segoe UI" w:hAnsi="Segoe UI"/>
                <w:sz w:val="19"/>
              </w:rPr>
              <w:t>Monitored on every call</w:t>
            </w:r>
          </w:p>
        </w:tc>
      </w:tr>
    </w:tbl>
    <w:p>
      <w:pPr>
        <w:spacing w:after="80" w:before="0"/>
      </w:pPr>
    </w:p>
    <w:p>
      <w:pPr>
        <w:spacing w:after="120" w:before="0"/>
      </w:pPr>
      <w:r>
        <w:rPr>
          <w:rFonts w:ascii="Segoe UI" w:hAnsi="Segoe UI"/>
          <w:b w:val="0"/>
          <w:i/>
          <w:color w:val="505A6A"/>
          <w:sz w:val="18"/>
        </w:rPr>
        <w:t>* Illustrative — replaced with AFNI actuals in discovery.</w:t>
      </w:r>
    </w:p>
    <w:p>
      <w:pPr>
        <w:pStyle w:val="Heading1"/>
      </w:pPr>
      <w:r>
        <w:t>7. Performance Intelligence Index</w:t>
      </w:r>
    </w:p>
    <w:p>
      <w:pPr>
        <w:spacing w:after="120" w:before="0"/>
      </w:pPr>
      <w:r>
        <w:rPr>
          <w:rFonts w:ascii="Segoe UI" w:hAnsi="Segoe UI"/>
          <w:b w:val="0"/>
          <w:i w:val="0"/>
          <w:sz w:val="21"/>
        </w:rPr>
        <w:t>The Performance Intelligence Index (PI Index) is an AI-generated, explainable composite score computed from 100% of interactions — not sampled QA. A team of analysis agents scores each interaction across seven dimensions (compliance adherence, communication &amp; empathy, resolution/FCR, script &amp; process, sentiment trajectory, efficiency, and business outcome); a calibrated, explainable scoring engine rolls these into one index per agent, team, program and client.</w:t>
      </w:r>
    </w:p>
    <w:p>
      <w:pPr>
        <w:spacing w:after="40"/>
      </w:pPr>
    </w:p>
    <w:p>
      <w:pPr>
        <w:jc w:val="center"/>
      </w:pPr>
      <w:r>
        <w:drawing>
          <wp:inline xmlns:a="http://schemas.openxmlformats.org/drawingml/2006/main" xmlns:pic="http://schemas.openxmlformats.org/drawingml/2006/picture">
            <wp:extent cx="6035040" cy="3605658"/>
            <wp:docPr id="5" name="Picture 5"/>
            <wp:cNvGraphicFramePr>
              <a:graphicFrameLocks noChangeAspect="1"/>
            </wp:cNvGraphicFramePr>
            <a:graphic>
              <a:graphicData uri="http://schemas.openxmlformats.org/drawingml/2006/picture">
                <pic:pic>
                  <pic:nvPicPr>
                    <pic:cNvPr id="0" name="05-pi-index.png"/>
                    <pic:cNvPicPr/>
                  </pic:nvPicPr>
                  <pic:blipFill>
                    <a:blip r:embed="rId14"/>
                    <a:stretch>
                      <a:fillRect/>
                    </a:stretch>
                  </pic:blipFill>
                  <pic:spPr>
                    <a:xfrm>
                      <a:off x="0" y="0"/>
                      <a:ext cx="6035040" cy="3605658"/>
                    </a:xfrm>
                    <a:prstGeom prst="rect"/>
                  </pic:spPr>
                </pic:pic>
              </a:graphicData>
            </a:graphic>
          </wp:inline>
        </w:drawing>
      </w:r>
    </w:p>
    <w:p>
      <w:pPr>
        <w:spacing w:before="60"/>
        <w:jc w:val="center"/>
      </w:pPr>
      <w:r>
        <w:rPr>
          <w:rFonts w:ascii="Segoe UI" w:hAnsi="Segoe UI"/>
          <w:i/>
          <w:color w:val="505A6A"/>
          <w:sz w:val="18"/>
        </w:rPr>
        <w:t>Figure. From 100% of interactions to one explainable composite score.</w:t>
      </w:r>
    </w:p>
    <w:p>
      <w:pPr>
        <w:spacing w:after="120" w:before="0"/>
      </w:pPr>
      <w:r>
        <w:rPr>
          <w:rFonts w:ascii="Segoe UI" w:hAnsi="Segoe UI"/>
          <w:b w:val="0"/>
          <w:i w:val="0"/>
          <w:sz w:val="21"/>
        </w:rPr>
        <w:t>Outputs feed coaching recommendations, QA calibration, Gainshare/performance reporting, and anomaly and risk alerts. Governance covers score explainability, fairness across agents and sites, and human calibration with an appeals path.</w:t>
      </w:r>
    </w:p>
    <w:p>
      <w:pPr>
        <w:pStyle w:val="Heading1"/>
      </w:pPr>
      <w:r>
        <w:t>8. Hiring Intelligence</w:t>
      </w:r>
    </w:p>
    <w:p>
      <w:pPr>
        <w:spacing w:after="120" w:before="0"/>
      </w:pPr>
      <w:r>
        <w:rPr>
          <w:rFonts w:ascii="Segoe UI" w:hAnsi="Segoe UI"/>
          <w:b w:val="0"/>
          <w:i w:val="0"/>
          <w:sz w:val="21"/>
        </w:rPr>
        <w:t>Hiring Intelligence applies the platform to AFNI's own high-volume recruiting across three countries, with an agent at every funnel stage: JD generation, sourcing &amp; résumé ranking, conversational screening (chat plus an optional voice pre-screen that reuses the Voice Agent platform), scheduling, structured interview-scoring assist, and a continuous fairness monitor.</w:t>
      </w:r>
    </w:p>
    <w:p>
      <w:pPr>
        <w:spacing w:after="40"/>
      </w:pPr>
    </w:p>
    <w:p>
      <w:pPr>
        <w:jc w:val="center"/>
      </w:pPr>
      <w:r>
        <w:drawing>
          <wp:inline xmlns:a="http://schemas.openxmlformats.org/drawingml/2006/main" xmlns:pic="http://schemas.openxmlformats.org/drawingml/2006/picture">
            <wp:extent cx="6035040" cy="3017520"/>
            <wp:docPr id="6" name="Picture 6"/>
            <wp:cNvGraphicFramePr>
              <a:graphicFrameLocks noChangeAspect="1"/>
            </wp:cNvGraphicFramePr>
            <a:graphic>
              <a:graphicData uri="http://schemas.openxmlformats.org/drawingml/2006/picture">
                <pic:pic>
                  <pic:nvPicPr>
                    <pic:cNvPr id="0" name="06-hiring-intelligence.png"/>
                    <pic:cNvPicPr/>
                  </pic:nvPicPr>
                  <pic:blipFill>
                    <a:blip r:embed="rId15"/>
                    <a:stretch>
                      <a:fillRect/>
                    </a:stretch>
                  </pic:blipFill>
                  <pic:spPr>
                    <a:xfrm>
                      <a:off x="0" y="0"/>
                      <a:ext cx="6035040" cy="3017520"/>
                    </a:xfrm>
                    <a:prstGeom prst="rect"/>
                  </pic:spPr>
                </pic:pic>
              </a:graphicData>
            </a:graphic>
          </wp:inline>
        </w:drawing>
      </w:r>
    </w:p>
    <w:p>
      <w:pPr>
        <w:spacing w:before="60"/>
        <w:jc w:val="center"/>
      </w:pPr>
      <w:r>
        <w:rPr>
          <w:rFonts w:ascii="Segoe UI" w:hAnsi="Segoe UI"/>
          <w:i/>
          <w:color w:val="505A6A"/>
          <w:sz w:val="18"/>
        </w:rPr>
        <w:t>Figure. An agent at every stage — humans make the decisions.</w:t>
      </w:r>
    </w:p>
    <w:tbl>
      <w:tblPr>
        <w:tblStyle w:val="TableGrid"/>
        <w:tblW w:type="auto" w:w="0"/>
        <w:tblLook w:firstColumn="1" w:firstRow="1" w:lastColumn="0" w:lastRow="0" w:noHBand="0" w:noVBand="1" w:val="04A0"/>
      </w:tblPr>
      <w:tblGrid>
        <w:gridCol w:w="9360"/>
      </w:tblGrid>
      <w:tr>
        <w:tc>
          <w:tcPr>
            <w:tcW w:type="dxa" w:w="9360"/>
            <w:shd w:val="clear" w:fill="EAF3F3"/>
          </w:tcPr>
          <w:p>
            <w:r>
              <w:rPr>
                <w:rFonts w:ascii="Segoe UI" w:hAnsi="Segoe UI"/>
                <w:b/>
                <w:color w:val="007A7A"/>
                <w:sz w:val="21"/>
              </w:rPr>
              <w:t xml:space="preserve">Non-negotiable principle:  </w:t>
            </w:r>
            <w:r>
              <w:rPr>
                <w:rFonts w:ascii="Segoe UI" w:hAnsi="Segoe UI"/>
                <w:sz w:val="21"/>
              </w:rPr>
              <w:t>AI assists, humans decide. There is no autonomous rejection of candidates. Every automated employment decision tool is bias-audited and explainable, complying with EEOC, NYC Local Law 144, the Illinois AI Video Interview Act, the EU AI Act's high-risk employment provisions, and GDPR.</w:t>
            </w:r>
          </w:p>
        </w:tc>
      </w:tr>
    </w:tbl>
    <w:p>
      <w:pPr>
        <w:spacing w:after="80" w:before="0"/>
      </w:pPr>
    </w:p>
    <w:tbl>
      <w:tblPr>
        <w:tblStyle w:val="TableGrid"/>
        <w:tblW w:type="auto" w:w="0"/>
        <w:jc w:val="center"/>
        <w:tblLook w:firstColumn="1" w:firstRow="1" w:lastColumn="0" w:lastRow="0" w:noHBand="0" w:noVBand="1" w:val="04A0"/>
      </w:tblPr>
      <w:tblGrid>
        <w:gridCol w:w="4680"/>
        <w:gridCol w:w="4680"/>
      </w:tblGrid>
      <w:tr>
        <w:tc>
          <w:tcPr>
            <w:tcW w:type="dxa" w:w="4608"/>
            <w:shd w:val="clear" w:fill="1B3A6B"/>
          </w:tcPr>
          <w:p>
            <w:pPr>
              <w:spacing w:after="40" w:before="40"/>
            </w:pPr>
            <w:r>
              <w:rPr>
                <w:rFonts w:ascii="Segoe UI" w:hAnsi="Segoe UI"/>
                <w:b/>
                <w:color w:val="FFFFFF"/>
                <w:sz w:val="20"/>
              </w:rPr>
              <w:t>KPI</w:t>
            </w:r>
          </w:p>
        </w:tc>
        <w:tc>
          <w:tcPr>
            <w:tcW w:type="dxa" w:w="4608"/>
            <w:shd w:val="clear" w:fill="1B3A6B"/>
          </w:tcPr>
          <w:p>
            <w:pPr>
              <w:spacing w:after="40" w:before="40"/>
            </w:pPr>
            <w:r>
              <w:rPr>
                <w:rFonts w:ascii="Segoe UI" w:hAnsi="Segoe UI"/>
                <w:b/>
                <w:color w:val="FFFFFF"/>
                <w:sz w:val="20"/>
              </w:rPr>
              <w:t>Target *</w:t>
            </w:r>
          </w:p>
        </w:tc>
      </w:tr>
      <w:tr>
        <w:tc>
          <w:tcPr>
            <w:tcW w:type="dxa" w:w="4608"/>
          </w:tcPr>
          <w:p>
            <w:pPr>
              <w:spacing w:after="40" w:before="40"/>
            </w:pPr>
            <w:r>
              <w:rPr>
                <w:rFonts w:ascii="Segoe UI" w:hAnsi="Segoe UI"/>
                <w:b/>
                <w:color w:val="121F3D"/>
                <w:sz w:val="19"/>
              </w:rPr>
              <w:t>Recruiter screening effort</w:t>
            </w:r>
          </w:p>
        </w:tc>
        <w:tc>
          <w:tcPr>
            <w:tcW w:type="dxa" w:w="4608"/>
          </w:tcPr>
          <w:p>
            <w:pPr>
              <w:spacing w:after="40" w:before="40"/>
            </w:pPr>
            <w:r>
              <w:rPr>
                <w:rFonts w:ascii="Segoe UI" w:hAnsi="Segoe UI"/>
                <w:sz w:val="19"/>
              </w:rPr>
              <w:t>30–50% reduction</w:t>
            </w:r>
          </w:p>
        </w:tc>
      </w:tr>
      <w:tr>
        <w:tc>
          <w:tcPr>
            <w:tcW w:type="dxa" w:w="4608"/>
            <w:shd w:val="clear" w:fill="EEF1F7"/>
          </w:tcPr>
          <w:p>
            <w:pPr>
              <w:spacing w:after="40" w:before="40"/>
            </w:pPr>
            <w:r>
              <w:rPr>
                <w:rFonts w:ascii="Segoe UI" w:hAnsi="Segoe UI"/>
                <w:b/>
                <w:color w:val="121F3D"/>
                <w:sz w:val="19"/>
              </w:rPr>
              <w:t>Time-to-fill</w:t>
            </w:r>
          </w:p>
        </w:tc>
        <w:tc>
          <w:tcPr>
            <w:tcW w:type="dxa" w:w="4608"/>
            <w:shd w:val="clear" w:fill="EEF1F7"/>
          </w:tcPr>
          <w:p>
            <w:pPr>
              <w:spacing w:after="40" w:before="40"/>
            </w:pPr>
            <w:r>
              <w:rPr>
                <w:rFonts w:ascii="Segoe UI" w:hAnsi="Segoe UI"/>
                <w:sz w:val="19"/>
              </w:rPr>
              <w:t>materially shorter</w:t>
            </w:r>
          </w:p>
        </w:tc>
      </w:tr>
      <w:tr>
        <w:tc>
          <w:tcPr>
            <w:tcW w:type="dxa" w:w="4608"/>
          </w:tcPr>
          <w:p>
            <w:pPr>
              <w:spacing w:after="40" w:before="40"/>
            </w:pPr>
            <w:r>
              <w:rPr>
                <w:rFonts w:ascii="Segoe UI" w:hAnsi="Segoe UI"/>
                <w:b/>
                <w:color w:val="121F3D"/>
                <w:sz w:val="19"/>
              </w:rPr>
              <w:t>Cost-per-hire</w:t>
            </w:r>
          </w:p>
        </w:tc>
        <w:tc>
          <w:tcPr>
            <w:tcW w:type="dxa" w:w="4608"/>
          </w:tcPr>
          <w:p>
            <w:pPr>
              <w:spacing w:after="40" w:before="40"/>
            </w:pPr>
            <w:r>
              <w:rPr>
                <w:rFonts w:ascii="Segoe UI" w:hAnsi="Segoe UI"/>
                <w:sz w:val="19"/>
              </w:rPr>
              <w:t>reduced</w:t>
            </w:r>
          </w:p>
        </w:tc>
      </w:tr>
      <w:tr>
        <w:tc>
          <w:tcPr>
            <w:tcW w:type="dxa" w:w="4608"/>
            <w:shd w:val="clear" w:fill="EEF1F7"/>
          </w:tcPr>
          <w:p>
            <w:pPr>
              <w:spacing w:after="40" w:before="40"/>
            </w:pPr>
            <w:r>
              <w:rPr>
                <w:rFonts w:ascii="Segoe UI" w:hAnsi="Segoe UI"/>
                <w:b/>
                <w:color w:val="121F3D"/>
                <w:sz w:val="19"/>
              </w:rPr>
              <w:t>Candidate experience (NPS)</w:t>
            </w:r>
          </w:p>
        </w:tc>
        <w:tc>
          <w:tcPr>
            <w:tcW w:type="dxa" w:w="4608"/>
            <w:shd w:val="clear" w:fill="EEF1F7"/>
          </w:tcPr>
          <w:p>
            <w:pPr>
              <w:spacing w:after="40" w:before="40"/>
            </w:pPr>
            <w:r>
              <w:rPr>
                <w:rFonts w:ascii="Segoe UI" w:hAnsi="Segoe UI"/>
                <w:sz w:val="19"/>
              </w:rPr>
              <w:t>improved</w:t>
            </w:r>
          </w:p>
        </w:tc>
      </w:tr>
      <w:tr>
        <w:tc>
          <w:tcPr>
            <w:tcW w:type="dxa" w:w="4608"/>
          </w:tcPr>
          <w:p>
            <w:pPr>
              <w:spacing w:after="40" w:before="40"/>
            </w:pPr>
            <w:r>
              <w:rPr>
                <w:rFonts w:ascii="Segoe UI" w:hAnsi="Segoe UI"/>
                <w:b/>
                <w:color w:val="121F3D"/>
                <w:sz w:val="19"/>
              </w:rPr>
              <w:t>Offer-accept rate</w:t>
            </w:r>
          </w:p>
        </w:tc>
        <w:tc>
          <w:tcPr>
            <w:tcW w:type="dxa" w:w="4608"/>
          </w:tcPr>
          <w:p>
            <w:pPr>
              <w:spacing w:after="40" w:before="40"/>
            </w:pPr>
            <w:r>
              <w:rPr>
                <w:rFonts w:ascii="Segoe UI" w:hAnsi="Segoe UI"/>
                <w:sz w:val="19"/>
              </w:rPr>
              <w:t>improved</w:t>
            </w:r>
          </w:p>
        </w:tc>
      </w:tr>
      <w:tr>
        <w:tc>
          <w:tcPr>
            <w:tcW w:type="dxa" w:w="4608"/>
            <w:shd w:val="clear" w:fill="EEF1F7"/>
          </w:tcPr>
          <w:p>
            <w:pPr>
              <w:spacing w:after="40" w:before="40"/>
            </w:pPr>
            <w:r>
              <w:rPr>
                <w:rFonts w:ascii="Segoe UI" w:hAnsi="Segoe UI"/>
                <w:b/>
                <w:color w:val="121F3D"/>
                <w:sz w:val="19"/>
              </w:rPr>
              <w:t>90-day attrition</w:t>
            </w:r>
          </w:p>
        </w:tc>
        <w:tc>
          <w:tcPr>
            <w:tcW w:type="dxa" w:w="4608"/>
            <w:shd w:val="clear" w:fill="EEF1F7"/>
          </w:tcPr>
          <w:p>
            <w:pPr>
              <w:spacing w:after="40" w:before="40"/>
            </w:pPr>
            <w:r>
              <w:rPr>
                <w:rFonts w:ascii="Segoe UI" w:hAnsi="Segoe UI"/>
                <w:sz w:val="19"/>
              </w:rPr>
              <w:t>reduced via better matching</w:t>
            </w:r>
          </w:p>
        </w:tc>
      </w:tr>
    </w:tbl>
    <w:p>
      <w:pPr>
        <w:spacing w:after="80" w:before="0"/>
      </w:pPr>
    </w:p>
    <w:p>
      <w:pPr>
        <w:spacing w:after="120" w:before="0"/>
      </w:pPr>
      <w:r>
        <w:rPr>
          <w:rFonts w:ascii="Segoe UI" w:hAnsi="Segoe UI"/>
          <w:b w:val="0"/>
          <w:i/>
          <w:color w:val="505A6A"/>
          <w:sz w:val="18"/>
        </w:rPr>
        <w:t>* Illustrative — validated in discovery.</w:t>
      </w:r>
    </w:p>
    <w:p>
      <w:pPr>
        <w:pStyle w:val="Heading1"/>
      </w:pPr>
      <w:r>
        <w:t>9. LLMOps Lifecycle &amp; Toolchain</w:t>
      </w:r>
    </w:p>
    <w:p>
      <w:pPr>
        <w:spacing w:after="120" w:before="0"/>
      </w:pPr>
      <w:r>
        <w:rPr>
          <w:rFonts w:ascii="Segoe UI" w:hAnsi="Segoe UI"/>
          <w:b w:val="0"/>
          <w:i w:val="0"/>
          <w:sz w:val="21"/>
        </w:rPr>
        <w:t>LLMOps is the operational backbone that turns pilots into dependable production systems: curate data and knowledge → engineer versioned prompts and agents → evaluate → ship via CI/CD → serve → observe → feed learnings back. Governance and Responsible AI wrap the entire loop.</w:t>
      </w:r>
    </w:p>
    <w:p>
      <w:pPr>
        <w:spacing w:after="40"/>
      </w:pPr>
    </w:p>
    <w:p>
      <w:pPr>
        <w:jc w:val="center"/>
      </w:pPr>
      <w:r>
        <w:drawing>
          <wp:inline xmlns:a="http://schemas.openxmlformats.org/drawingml/2006/main" xmlns:pic="http://schemas.openxmlformats.org/drawingml/2006/picture">
            <wp:extent cx="4937760" cy="4184593"/>
            <wp:docPr id="7" name="Picture 7"/>
            <wp:cNvGraphicFramePr>
              <a:graphicFrameLocks noChangeAspect="1"/>
            </wp:cNvGraphicFramePr>
            <a:graphic>
              <a:graphicData uri="http://schemas.openxmlformats.org/drawingml/2006/picture">
                <pic:pic>
                  <pic:nvPicPr>
                    <pic:cNvPr id="0" name="07-llmops-lifecycle.png"/>
                    <pic:cNvPicPr/>
                  </pic:nvPicPr>
                  <pic:blipFill>
                    <a:blip r:embed="rId16"/>
                    <a:stretch>
                      <a:fillRect/>
                    </a:stretch>
                  </pic:blipFill>
                  <pic:spPr>
                    <a:xfrm>
                      <a:off x="0" y="0"/>
                      <a:ext cx="4937760" cy="4184593"/>
                    </a:xfrm>
                    <a:prstGeom prst="rect"/>
                  </pic:spPr>
                </pic:pic>
              </a:graphicData>
            </a:graphic>
          </wp:inline>
        </w:drawing>
      </w:r>
    </w:p>
    <w:p>
      <w:pPr>
        <w:spacing w:before="60"/>
        <w:jc w:val="center"/>
      </w:pPr>
      <w:r>
        <w:rPr>
          <w:rFonts w:ascii="Segoe UI" w:hAnsi="Segoe UI"/>
          <w:i/>
          <w:color w:val="505A6A"/>
          <w:sz w:val="18"/>
        </w:rPr>
        <w:t>Figure. A continuous, governed improvement loop.</w:t>
      </w:r>
    </w:p>
    <w:p>
      <w:pPr>
        <w:spacing w:after="120" w:before="0"/>
      </w:pPr>
      <w:r>
        <w:rPr>
          <w:rFonts w:ascii="Segoe UI" w:hAnsi="Segoe UI"/>
          <w:b w:val="0"/>
          <w:i w:val="0"/>
          <w:sz w:val="21"/>
        </w:rPr>
        <w:t>Evaluation is the quality gate: golden datasets scored by LLM-as-judge plus human review; groundedness/faithfulness for retrieval; red-teaming and safety evals; regression gates that block promotion; and online A/B and shadow testing. Releases use canary or blue-green deployment with instant rollback, behind the API Management gateway.</w:t>
      </w:r>
    </w:p>
    <w:p>
      <w:pPr>
        <w:pStyle w:val="Heading1"/>
      </w:pPr>
      <w:r>
        <w:t>10. Responsible AI &amp; Governance</w:t>
      </w:r>
    </w:p>
    <w:p>
      <w:pPr>
        <w:spacing w:after="120" w:before="0"/>
      </w:pPr>
      <w:r>
        <w:rPr>
          <w:rFonts w:ascii="Segoe UI" w:hAnsi="Segoe UI"/>
          <w:b w:val="0"/>
          <w:i w:val="0"/>
          <w:sz w:val="21"/>
        </w:rPr>
        <w:t>Governance follows Microsoft's Responsible AI pillars — fairness, reliability &amp; safety, privacy &amp; security, inclusiveness, transparency, accountability — operationalized through an AI use-case intake with risk-tiering, mandatory human-in-the-loop for consequential decisions, model/system cards, Content Safety, audit trails, AI incident response, red-teaming, and an AI governance board.</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fill="1B3A6B"/>
          </w:tcPr>
          <w:p>
            <w:pPr>
              <w:spacing w:after="40" w:before="40"/>
            </w:pPr>
            <w:r>
              <w:rPr>
                <w:rFonts w:ascii="Segoe UI" w:hAnsi="Segoe UI"/>
                <w:b/>
                <w:color w:val="FFFFFF"/>
                <w:sz w:val="20"/>
              </w:rPr>
              <w:t>Tier</w:t>
            </w:r>
          </w:p>
        </w:tc>
        <w:tc>
          <w:tcPr>
            <w:tcW w:type="dxa" w:w="4032"/>
            <w:shd w:val="clear" w:fill="1B3A6B"/>
          </w:tcPr>
          <w:p>
            <w:pPr>
              <w:spacing w:after="40" w:before="40"/>
            </w:pPr>
            <w:r>
              <w:rPr>
                <w:rFonts w:ascii="Segoe UI" w:hAnsi="Segoe UI"/>
                <w:b/>
                <w:color w:val="FFFFFF"/>
                <w:sz w:val="20"/>
              </w:rPr>
              <w:t>Examples</w:t>
            </w:r>
          </w:p>
        </w:tc>
        <w:tc>
          <w:tcPr>
            <w:tcW w:type="dxa" w:w="3744"/>
            <w:shd w:val="clear" w:fill="1B3A6B"/>
          </w:tcPr>
          <w:p>
            <w:pPr>
              <w:spacing w:after="40" w:before="40"/>
            </w:pPr>
            <w:r>
              <w:rPr>
                <w:rFonts w:ascii="Segoe UI" w:hAnsi="Segoe UI"/>
                <w:b/>
                <w:color w:val="FFFFFF"/>
                <w:sz w:val="20"/>
              </w:rPr>
              <w:t>Controls</w:t>
            </w:r>
          </w:p>
        </w:tc>
      </w:tr>
      <w:tr>
        <w:tc>
          <w:tcPr>
            <w:tcW w:type="dxa" w:w="1440"/>
          </w:tcPr>
          <w:p>
            <w:pPr>
              <w:spacing w:after="40" w:before="40"/>
            </w:pPr>
            <w:r>
              <w:rPr>
                <w:rFonts w:ascii="Segoe UI" w:hAnsi="Segoe UI"/>
                <w:b/>
                <w:color w:val="121F3D"/>
                <w:sz w:val="19"/>
              </w:rPr>
              <w:t>High</w:t>
            </w:r>
          </w:p>
        </w:tc>
        <w:tc>
          <w:tcPr>
            <w:tcW w:type="dxa" w:w="4032"/>
          </w:tcPr>
          <w:p>
            <w:pPr>
              <w:spacing w:after="40" w:before="40"/>
            </w:pPr>
            <w:r>
              <w:rPr>
                <w:rFonts w:ascii="Segoe UI" w:hAnsi="Segoe UI"/>
                <w:sz w:val="19"/>
              </w:rPr>
              <w:t>Hiring decisions, collections, PI Index scoring</w:t>
            </w:r>
          </w:p>
        </w:tc>
        <w:tc>
          <w:tcPr>
            <w:tcW w:type="dxa" w:w="3744"/>
          </w:tcPr>
          <w:p>
            <w:pPr>
              <w:spacing w:after="40" w:before="40"/>
            </w:pPr>
            <w:r>
              <w:rPr>
                <w:rFonts w:ascii="Segoe UI" w:hAnsi="Segoe UI"/>
                <w:sz w:val="19"/>
              </w:rPr>
              <w:t>Full HITL, bias audits, legal sign-off, appeals</w:t>
            </w:r>
          </w:p>
        </w:tc>
      </w:tr>
      <w:tr>
        <w:tc>
          <w:tcPr>
            <w:tcW w:type="dxa" w:w="1440"/>
            <w:shd w:val="clear" w:fill="EEF1F7"/>
          </w:tcPr>
          <w:p>
            <w:pPr>
              <w:spacing w:after="40" w:before="40"/>
            </w:pPr>
            <w:r>
              <w:rPr>
                <w:rFonts w:ascii="Segoe UI" w:hAnsi="Segoe UI"/>
                <w:b/>
                <w:color w:val="121F3D"/>
                <w:sz w:val="19"/>
              </w:rPr>
              <w:t>Medium</w:t>
            </w:r>
          </w:p>
        </w:tc>
        <w:tc>
          <w:tcPr>
            <w:tcW w:type="dxa" w:w="4032"/>
            <w:shd w:val="clear" w:fill="EEF1F7"/>
          </w:tcPr>
          <w:p>
            <w:pPr>
              <w:spacing w:after="40" w:before="40"/>
            </w:pPr>
            <w:r>
              <w:rPr>
                <w:rFonts w:ascii="Segoe UI" w:hAnsi="Segoe UI"/>
                <w:sz w:val="19"/>
              </w:rPr>
              <w:t>Customer voice answers</w:t>
            </w:r>
          </w:p>
        </w:tc>
        <w:tc>
          <w:tcPr>
            <w:tcW w:type="dxa" w:w="3744"/>
            <w:shd w:val="clear" w:fill="EEF1F7"/>
          </w:tcPr>
          <w:p>
            <w:pPr>
              <w:spacing w:after="40" w:before="40"/>
            </w:pPr>
            <w:r>
              <w:rPr>
                <w:rFonts w:ascii="Segoe UI" w:hAnsi="Segoe UI"/>
                <w:sz w:val="19"/>
              </w:rPr>
              <w:t>Guardrails + sampled human QA + monitoring</w:t>
            </w:r>
          </w:p>
        </w:tc>
      </w:tr>
      <w:tr>
        <w:tc>
          <w:tcPr>
            <w:tcW w:type="dxa" w:w="1440"/>
          </w:tcPr>
          <w:p>
            <w:pPr>
              <w:spacing w:after="40" w:before="40"/>
            </w:pPr>
            <w:r>
              <w:rPr>
                <w:rFonts w:ascii="Segoe UI" w:hAnsi="Segoe UI"/>
                <w:b/>
                <w:color w:val="121F3D"/>
                <w:sz w:val="19"/>
              </w:rPr>
              <w:t>Low</w:t>
            </w:r>
          </w:p>
        </w:tc>
        <w:tc>
          <w:tcPr>
            <w:tcW w:type="dxa" w:w="4032"/>
          </w:tcPr>
          <w:p>
            <w:pPr>
              <w:spacing w:after="40" w:before="40"/>
            </w:pPr>
            <w:r>
              <w:rPr>
                <w:rFonts w:ascii="Segoe UI" w:hAnsi="Segoe UI"/>
                <w:sz w:val="19"/>
              </w:rPr>
              <w:t>Internal drafting, summaries</w:t>
            </w:r>
          </w:p>
        </w:tc>
        <w:tc>
          <w:tcPr>
            <w:tcW w:type="dxa" w:w="3744"/>
          </w:tcPr>
          <w:p>
            <w:pPr>
              <w:spacing w:after="40" w:before="40"/>
            </w:pPr>
            <w:r>
              <w:rPr>
                <w:rFonts w:ascii="Segoe UI" w:hAnsi="Segoe UI"/>
                <w:sz w:val="19"/>
              </w:rPr>
              <w:t>Standard guardrails + spot checks</w:t>
            </w:r>
          </w:p>
        </w:tc>
      </w:tr>
    </w:tbl>
    <w:p>
      <w:pPr>
        <w:spacing w:after="80" w:before="0"/>
      </w:pPr>
    </w:p>
    <w:p>
      <w:pPr>
        <w:pStyle w:val="Heading1"/>
      </w:pPr>
      <w:r>
        <w:t>11. Security, Privacy &amp; Compliance</w:t>
      </w:r>
    </w:p>
    <w:p>
      <w:pPr>
        <w:pStyle w:val="ListBullet"/>
        <w:spacing w:after="60"/>
      </w:pPr>
      <w:r>
        <w:rPr>
          <w:rFonts w:ascii="Segoe UI" w:hAnsi="Segoe UI"/>
          <w:b/>
          <w:sz w:val="21"/>
        </w:rPr>
        <w:t xml:space="preserve">Identity — </w:t>
      </w:r>
      <w:r>
        <w:rPr>
          <w:rFonts w:ascii="Segoe UI" w:hAnsi="Segoe UI"/>
          <w:sz w:val="21"/>
        </w:rPr>
        <w:t>Microsoft Entra ID with least-privilege RBAC and managed identities.</w:t>
      </w:r>
    </w:p>
    <w:p>
      <w:pPr>
        <w:pStyle w:val="ListBullet"/>
        <w:spacing w:after="60"/>
      </w:pPr>
      <w:r>
        <w:rPr>
          <w:rFonts w:ascii="Segoe UI" w:hAnsi="Segoe UI"/>
          <w:b/>
          <w:sz w:val="21"/>
        </w:rPr>
        <w:t xml:space="preserve">Secrets — </w:t>
      </w:r>
      <w:r>
        <w:rPr>
          <w:rFonts w:ascii="Segoe UI" w:hAnsi="Segoe UI"/>
          <w:sz w:val="21"/>
        </w:rPr>
        <w:t>Azure Key Vault; no secrets in code.</w:t>
      </w:r>
    </w:p>
    <w:p>
      <w:pPr>
        <w:pStyle w:val="ListBullet"/>
        <w:spacing w:after="60"/>
      </w:pPr>
      <w:r>
        <w:rPr>
          <w:rFonts w:ascii="Segoe UI" w:hAnsi="Segoe UI"/>
          <w:b/>
          <w:sz w:val="21"/>
        </w:rPr>
        <w:t xml:space="preserve">Network — </w:t>
      </w:r>
      <w:r>
        <w:rPr>
          <w:rFonts w:ascii="Segoe UI" w:hAnsi="Segoe UI"/>
          <w:sz w:val="21"/>
        </w:rPr>
        <w:t>VNet with private endpoints; no public egress for sensitive data.</w:t>
      </w:r>
    </w:p>
    <w:p>
      <w:pPr>
        <w:pStyle w:val="ListBullet"/>
        <w:spacing w:after="60"/>
      </w:pPr>
      <w:r>
        <w:rPr>
          <w:rFonts w:ascii="Segoe UI" w:hAnsi="Segoe UI"/>
          <w:b/>
          <w:sz w:val="21"/>
        </w:rPr>
        <w:t xml:space="preserve">Data residency — </w:t>
      </w:r>
      <w:r>
        <w:rPr>
          <w:rFonts w:ascii="Segoe UI" w:hAnsi="Segoe UI"/>
          <w:sz w:val="21"/>
        </w:rPr>
        <w:t>honored across US, Mexico and the Philippines.</w:t>
      </w:r>
    </w:p>
    <w:p>
      <w:pPr>
        <w:pStyle w:val="ListBullet"/>
        <w:spacing w:after="60"/>
      </w:pPr>
      <w:r>
        <w:rPr>
          <w:rFonts w:ascii="Segoe UI" w:hAnsi="Segoe UI"/>
          <w:b/>
          <w:sz w:val="21"/>
        </w:rPr>
        <w:t xml:space="preserve">Posture — </w:t>
      </w:r>
      <w:r>
        <w:rPr>
          <w:rFonts w:ascii="Segoe UI" w:hAnsi="Segoe UI"/>
          <w:sz w:val="21"/>
        </w:rPr>
        <w:t>Defender for Cloud posture; Purview lineage and DLP; prompt-injection defenses.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1B3A6B"/>
          </w:tcPr>
          <w:p>
            <w:pPr>
              <w:spacing w:after="40" w:before="40"/>
            </w:pPr>
            <w:r>
              <w:rPr>
                <w:rFonts w:ascii="Segoe UI" w:hAnsi="Segoe UI"/>
                <w:b/>
                <w:color w:val="FFFFFF"/>
                <w:sz w:val="20"/>
              </w:rPr>
              <w:t>Framework</w:t>
            </w:r>
          </w:p>
        </w:tc>
        <w:tc>
          <w:tcPr>
            <w:tcW w:type="dxa" w:w="2880"/>
            <w:shd w:val="clear" w:fill="1B3A6B"/>
          </w:tcPr>
          <w:p>
            <w:pPr>
              <w:spacing w:after="40" w:before="40"/>
            </w:pPr>
            <w:r>
              <w:rPr>
                <w:rFonts w:ascii="Segoe UI" w:hAnsi="Segoe UI"/>
                <w:b/>
                <w:color w:val="FFFFFF"/>
                <w:sz w:val="20"/>
              </w:rPr>
              <w:t>Where it applies</w:t>
            </w:r>
          </w:p>
        </w:tc>
        <w:tc>
          <w:tcPr>
            <w:tcW w:type="dxa" w:w="4176"/>
            <w:shd w:val="clear" w:fill="1B3A6B"/>
          </w:tcPr>
          <w:p>
            <w:pPr>
              <w:spacing w:after="40" w:before="40"/>
            </w:pPr>
            <w:r>
              <w:rPr>
                <w:rFonts w:ascii="Segoe UI" w:hAnsi="Segoe UI"/>
                <w:b/>
                <w:color w:val="FFFFFF"/>
                <w:sz w:val="20"/>
              </w:rPr>
              <w:t>Primary controls</w:t>
            </w:r>
          </w:p>
        </w:tc>
      </w:tr>
      <w:tr>
        <w:tc>
          <w:tcPr>
            <w:tcW w:type="dxa" w:w="2160"/>
          </w:tcPr>
          <w:p>
            <w:pPr>
              <w:spacing w:after="40" w:before="40"/>
            </w:pPr>
            <w:r>
              <w:rPr>
                <w:rFonts w:ascii="Segoe UI" w:hAnsi="Segoe UI"/>
                <w:b/>
                <w:color w:val="121F3D"/>
                <w:sz w:val="19"/>
              </w:rPr>
              <w:t>PCI-DSS</w:t>
            </w:r>
          </w:p>
        </w:tc>
        <w:tc>
          <w:tcPr>
            <w:tcW w:type="dxa" w:w="2880"/>
          </w:tcPr>
          <w:p>
            <w:pPr>
              <w:spacing w:after="40" w:before="40"/>
            </w:pPr>
            <w:r>
              <w:rPr>
                <w:rFonts w:ascii="Segoe UI" w:hAnsi="Segoe UI"/>
                <w:sz w:val="19"/>
              </w:rPr>
              <w:t>Payment capture</w:t>
            </w:r>
          </w:p>
        </w:tc>
        <w:tc>
          <w:tcPr>
            <w:tcW w:type="dxa" w:w="4176"/>
          </w:tcPr>
          <w:p>
            <w:pPr>
              <w:spacing w:after="40" w:before="40"/>
            </w:pPr>
            <w:r>
              <w:rPr>
                <w:rFonts w:ascii="Segoe UI" w:hAnsi="Segoe UI"/>
                <w:sz w:val="19"/>
              </w:rPr>
              <w:t>Pause/mask, tokenization, scope isolation</w:t>
            </w:r>
          </w:p>
        </w:tc>
      </w:tr>
      <w:tr>
        <w:tc>
          <w:tcPr>
            <w:tcW w:type="dxa" w:w="2160"/>
            <w:shd w:val="clear" w:fill="EEF1F7"/>
          </w:tcPr>
          <w:p>
            <w:pPr>
              <w:spacing w:after="40" w:before="40"/>
            </w:pPr>
            <w:r>
              <w:rPr>
                <w:rFonts w:ascii="Segoe UI" w:hAnsi="Segoe UI"/>
                <w:b/>
                <w:color w:val="121F3D"/>
                <w:sz w:val="19"/>
              </w:rPr>
              <w:t>HIPAA</w:t>
            </w:r>
          </w:p>
        </w:tc>
        <w:tc>
          <w:tcPr>
            <w:tcW w:type="dxa" w:w="2880"/>
            <w:shd w:val="clear" w:fill="EEF1F7"/>
          </w:tcPr>
          <w:p>
            <w:pPr>
              <w:spacing w:after="40" w:before="40"/>
            </w:pPr>
            <w:r>
              <w:rPr>
                <w:rFonts w:ascii="Segoe UI" w:hAnsi="Segoe UI"/>
                <w:sz w:val="19"/>
              </w:rPr>
              <w:t>Healthcare programs</w:t>
            </w:r>
          </w:p>
        </w:tc>
        <w:tc>
          <w:tcPr>
            <w:tcW w:type="dxa" w:w="4176"/>
            <w:shd w:val="clear" w:fill="EEF1F7"/>
          </w:tcPr>
          <w:p>
            <w:pPr>
              <w:spacing w:after="40" w:before="40"/>
            </w:pPr>
            <w:r>
              <w:rPr>
                <w:rFonts w:ascii="Segoe UI" w:hAnsi="Segoe UI"/>
                <w:sz w:val="19"/>
              </w:rPr>
              <w:t>PHI handling, BAAs, access controls</w:t>
            </w:r>
          </w:p>
        </w:tc>
      </w:tr>
      <w:tr>
        <w:tc>
          <w:tcPr>
            <w:tcW w:type="dxa" w:w="2160"/>
          </w:tcPr>
          <w:p>
            <w:pPr>
              <w:spacing w:after="40" w:before="40"/>
            </w:pPr>
            <w:r>
              <w:rPr>
                <w:rFonts w:ascii="Segoe UI" w:hAnsi="Segoe UI"/>
                <w:b/>
                <w:color w:val="121F3D"/>
                <w:sz w:val="19"/>
              </w:rPr>
              <w:t>TCPA</w:t>
            </w:r>
          </w:p>
        </w:tc>
        <w:tc>
          <w:tcPr>
            <w:tcW w:type="dxa" w:w="2880"/>
          </w:tcPr>
          <w:p>
            <w:pPr>
              <w:spacing w:after="40" w:before="40"/>
            </w:pPr>
            <w:r>
              <w:rPr>
                <w:rFonts w:ascii="Segoe UI" w:hAnsi="Segoe UI"/>
                <w:sz w:val="19"/>
              </w:rPr>
              <w:t>Outbound voice</w:t>
            </w:r>
          </w:p>
        </w:tc>
        <w:tc>
          <w:tcPr>
            <w:tcW w:type="dxa" w:w="4176"/>
          </w:tcPr>
          <w:p>
            <w:pPr>
              <w:spacing w:after="40" w:before="40"/>
            </w:pPr>
            <w:r>
              <w:rPr>
                <w:rFonts w:ascii="Segoe UI" w:hAnsi="Segoe UI"/>
                <w:sz w:val="19"/>
              </w:rPr>
              <w:t>Consent, do-not-call, disclosures</w:t>
            </w:r>
          </w:p>
        </w:tc>
      </w:tr>
      <w:tr>
        <w:tc>
          <w:tcPr>
            <w:tcW w:type="dxa" w:w="2160"/>
            <w:shd w:val="clear" w:fill="EEF1F7"/>
          </w:tcPr>
          <w:p>
            <w:pPr>
              <w:spacing w:after="40" w:before="40"/>
            </w:pPr>
            <w:r>
              <w:rPr>
                <w:rFonts w:ascii="Segoe UI" w:hAnsi="Segoe UI"/>
                <w:b/>
                <w:color w:val="121F3D"/>
                <w:sz w:val="19"/>
              </w:rPr>
              <w:t>SOC 2</w:t>
            </w:r>
          </w:p>
        </w:tc>
        <w:tc>
          <w:tcPr>
            <w:tcW w:type="dxa" w:w="2880"/>
            <w:shd w:val="clear" w:fill="EEF1F7"/>
          </w:tcPr>
          <w:p>
            <w:pPr>
              <w:spacing w:after="40" w:before="40"/>
            </w:pPr>
            <w:r>
              <w:rPr>
                <w:rFonts w:ascii="Segoe UI" w:hAnsi="Segoe UI"/>
                <w:sz w:val="19"/>
              </w:rPr>
              <w:t>Platform</w:t>
            </w:r>
          </w:p>
        </w:tc>
        <w:tc>
          <w:tcPr>
            <w:tcW w:type="dxa" w:w="4176"/>
            <w:shd w:val="clear" w:fill="EEF1F7"/>
          </w:tcPr>
          <w:p>
            <w:pPr>
              <w:spacing w:after="40" w:before="40"/>
            </w:pPr>
            <w:r>
              <w:rPr>
                <w:rFonts w:ascii="Segoe UI" w:hAnsi="Segoe UI"/>
                <w:sz w:val="19"/>
              </w:rPr>
              <w:t>Control framework, audit evidence</w:t>
            </w:r>
          </w:p>
        </w:tc>
      </w:tr>
      <w:tr>
        <w:tc>
          <w:tcPr>
            <w:tcW w:type="dxa" w:w="2160"/>
          </w:tcPr>
          <w:p>
            <w:pPr>
              <w:spacing w:after="40" w:before="40"/>
            </w:pPr>
            <w:r>
              <w:rPr>
                <w:rFonts w:ascii="Segoe UI" w:hAnsi="Segoe UI"/>
                <w:b/>
                <w:color w:val="121F3D"/>
                <w:sz w:val="19"/>
              </w:rPr>
              <w:t>GDPR</w:t>
            </w:r>
          </w:p>
        </w:tc>
        <w:tc>
          <w:tcPr>
            <w:tcW w:type="dxa" w:w="2880"/>
          </w:tcPr>
          <w:p>
            <w:pPr>
              <w:spacing w:after="40" w:before="40"/>
            </w:pPr>
            <w:r>
              <w:rPr>
                <w:rFonts w:ascii="Segoe UI" w:hAnsi="Segoe UI"/>
                <w:sz w:val="19"/>
              </w:rPr>
              <w:t>PII</w:t>
            </w:r>
          </w:p>
        </w:tc>
        <w:tc>
          <w:tcPr>
            <w:tcW w:type="dxa" w:w="4176"/>
          </w:tcPr>
          <w:p>
            <w:pPr>
              <w:spacing w:after="40" w:before="40"/>
            </w:pPr>
            <w:r>
              <w:rPr>
                <w:rFonts w:ascii="Segoe UI" w:hAnsi="Segoe UI"/>
                <w:sz w:val="19"/>
              </w:rPr>
              <w:t>Data-subject rights, minimization</w:t>
            </w:r>
          </w:p>
        </w:tc>
      </w:tr>
      <w:tr>
        <w:tc>
          <w:tcPr>
            <w:tcW w:type="dxa" w:w="2160"/>
            <w:shd w:val="clear" w:fill="EEF1F7"/>
          </w:tcPr>
          <w:p>
            <w:pPr>
              <w:spacing w:after="40" w:before="40"/>
            </w:pPr>
            <w:r>
              <w:rPr>
                <w:rFonts w:ascii="Segoe UI" w:hAnsi="Segoe UI"/>
                <w:b/>
                <w:color w:val="121F3D"/>
                <w:sz w:val="19"/>
              </w:rPr>
              <w:t>EEOC / NYC LL144</w:t>
            </w:r>
          </w:p>
        </w:tc>
        <w:tc>
          <w:tcPr>
            <w:tcW w:type="dxa" w:w="2880"/>
            <w:shd w:val="clear" w:fill="EEF1F7"/>
          </w:tcPr>
          <w:p>
            <w:pPr>
              <w:spacing w:after="40" w:before="40"/>
            </w:pPr>
            <w:r>
              <w:rPr>
                <w:rFonts w:ascii="Segoe UI" w:hAnsi="Segoe UI"/>
                <w:sz w:val="19"/>
              </w:rPr>
              <w:t>Hiring</w:t>
            </w:r>
          </w:p>
        </w:tc>
        <w:tc>
          <w:tcPr>
            <w:tcW w:type="dxa" w:w="4176"/>
            <w:shd w:val="clear" w:fill="EEF1F7"/>
          </w:tcPr>
          <w:p>
            <w:pPr>
              <w:spacing w:after="40" w:before="40"/>
            </w:pPr>
            <w:r>
              <w:rPr>
                <w:rFonts w:ascii="Segoe UI" w:hAnsi="Segoe UI"/>
                <w:sz w:val="19"/>
              </w:rPr>
              <w:t>Bias audits, notice, human decision</w:t>
            </w:r>
          </w:p>
        </w:tc>
      </w:tr>
    </w:tbl>
    <w:p>
      <w:pPr>
        <w:spacing w:after="80" w:before="0"/>
      </w:pPr>
    </w:p>
    <w:p>
      <w:pPr>
        <w:pStyle w:val="Heading1"/>
      </w:pPr>
      <w:r>
        <w:t>12. Observability &amp; FinOps</w:t>
      </w:r>
    </w:p>
    <w:p>
      <w:pPr>
        <w:spacing w:after="120" w:before="0"/>
      </w:pPr>
      <w:r>
        <w:rPr>
          <w:rFonts w:ascii="Segoe UI" w:hAnsi="Segoe UI"/>
          <w:b w:val="0"/>
          <w:i w:val="0"/>
          <w:sz w:val="21"/>
        </w:rPr>
        <w:t>The platform instruments quality, groundedness, latency (p50/p95), errors, drift, safety events and token usage, traced end-to-end with OpenTelemetry GenAI conventions into Application Insights and Azure Monitor. FinOps controls cost through token metering and quotas at the gateway, cost showback per initiative, model right-sizing, semantic caching, and budget guardrails.</w:t>
      </w:r>
    </w:p>
    <w:tbl>
      <w:tblPr>
        <w:tblStyle w:val="TableGrid"/>
        <w:tblW w:type="auto" w:w="0"/>
        <w:jc w:val="center"/>
        <w:tblLook w:firstColumn="1" w:firstRow="1" w:lastColumn="0" w:lastRow="0" w:noHBand="0" w:noVBand="1" w:val="04A0"/>
      </w:tblPr>
      <w:tblGrid>
        <w:gridCol w:w="4680"/>
        <w:gridCol w:w="4680"/>
      </w:tblGrid>
      <w:tr>
        <w:tc>
          <w:tcPr>
            <w:tcW w:type="dxa" w:w="4608"/>
            <w:shd w:val="clear" w:fill="1B3A6B"/>
          </w:tcPr>
          <w:p>
            <w:pPr>
              <w:spacing w:after="40" w:before="40"/>
            </w:pPr>
            <w:r>
              <w:rPr>
                <w:rFonts w:ascii="Segoe UI" w:hAnsi="Segoe UI"/>
                <w:b/>
                <w:color w:val="FFFFFF"/>
                <w:sz w:val="20"/>
              </w:rPr>
              <w:t>Example SLO</w:t>
            </w:r>
          </w:p>
        </w:tc>
        <w:tc>
          <w:tcPr>
            <w:tcW w:type="dxa" w:w="4608"/>
            <w:shd w:val="clear" w:fill="1B3A6B"/>
          </w:tcPr>
          <w:p>
            <w:pPr>
              <w:spacing w:after="40" w:before="40"/>
            </w:pPr>
            <w:r>
              <w:rPr>
                <w:rFonts w:ascii="Segoe UI" w:hAnsi="Segoe UI"/>
                <w:b/>
                <w:color w:val="FFFFFF"/>
                <w:sz w:val="20"/>
              </w:rPr>
              <w:t>Target</w:t>
            </w:r>
          </w:p>
        </w:tc>
      </w:tr>
      <w:tr>
        <w:tc>
          <w:tcPr>
            <w:tcW w:type="dxa" w:w="4608"/>
          </w:tcPr>
          <w:p>
            <w:pPr>
              <w:spacing w:after="40" w:before="40"/>
            </w:pPr>
            <w:r>
              <w:rPr>
                <w:rFonts w:ascii="Segoe UI" w:hAnsi="Segoe UI"/>
                <w:b/>
                <w:color w:val="121F3D"/>
                <w:sz w:val="19"/>
              </w:rPr>
              <w:t>Voice turn latency (p95)</w:t>
            </w:r>
          </w:p>
        </w:tc>
        <w:tc>
          <w:tcPr>
            <w:tcW w:type="dxa" w:w="4608"/>
          </w:tcPr>
          <w:p>
            <w:pPr>
              <w:spacing w:after="40" w:before="40"/>
            </w:pPr>
            <w:r>
              <w:rPr>
                <w:rFonts w:ascii="Segoe UI" w:hAnsi="Segoe UI"/>
                <w:sz w:val="19"/>
              </w:rPr>
              <w:t>&lt; 1 second</w:t>
            </w:r>
          </w:p>
        </w:tc>
      </w:tr>
      <w:tr>
        <w:tc>
          <w:tcPr>
            <w:tcW w:type="dxa" w:w="4608"/>
            <w:shd w:val="clear" w:fill="EEF1F7"/>
          </w:tcPr>
          <w:p>
            <w:pPr>
              <w:spacing w:after="40" w:before="40"/>
            </w:pPr>
            <w:r>
              <w:rPr>
                <w:rFonts w:ascii="Segoe UI" w:hAnsi="Segoe UI"/>
                <w:b/>
                <w:color w:val="121F3D"/>
                <w:sz w:val="19"/>
              </w:rPr>
              <w:t>Groundedness score</w:t>
            </w:r>
          </w:p>
        </w:tc>
        <w:tc>
          <w:tcPr>
            <w:tcW w:type="dxa" w:w="4608"/>
            <w:shd w:val="clear" w:fill="EEF1F7"/>
          </w:tcPr>
          <w:p>
            <w:pPr>
              <w:spacing w:after="40" w:before="40"/>
            </w:pPr>
            <w:r>
              <w:rPr>
                <w:rFonts w:ascii="Segoe UI" w:hAnsi="Segoe UI"/>
                <w:sz w:val="19"/>
              </w:rPr>
              <w:t>≥ threshold, gated</w:t>
            </w:r>
          </w:p>
        </w:tc>
      </w:tr>
      <w:tr>
        <w:tc>
          <w:tcPr>
            <w:tcW w:type="dxa" w:w="4608"/>
          </w:tcPr>
          <w:p>
            <w:pPr>
              <w:spacing w:after="40" w:before="40"/>
            </w:pPr>
            <w:r>
              <w:rPr>
                <w:rFonts w:ascii="Segoe UI" w:hAnsi="Segoe UI"/>
                <w:b/>
                <w:color w:val="121F3D"/>
                <w:sz w:val="19"/>
              </w:rPr>
              <w:t>Availability</w:t>
            </w:r>
          </w:p>
        </w:tc>
        <w:tc>
          <w:tcPr>
            <w:tcW w:type="dxa" w:w="4608"/>
          </w:tcPr>
          <w:p>
            <w:pPr>
              <w:spacing w:after="40" w:before="40"/>
            </w:pPr>
            <w:r>
              <w:rPr>
                <w:rFonts w:ascii="Segoe UI" w:hAnsi="Segoe UI"/>
                <w:sz w:val="19"/>
              </w:rPr>
              <w:t>99.9%</w:t>
            </w:r>
          </w:p>
        </w:tc>
      </w:tr>
      <w:tr>
        <w:tc>
          <w:tcPr>
            <w:tcW w:type="dxa" w:w="4608"/>
            <w:shd w:val="clear" w:fill="EEF1F7"/>
          </w:tcPr>
          <w:p>
            <w:pPr>
              <w:spacing w:after="40" w:before="40"/>
            </w:pPr>
            <w:r>
              <w:rPr>
                <w:rFonts w:ascii="Segoe UI" w:hAnsi="Segoe UI"/>
                <w:b/>
                <w:color w:val="121F3D"/>
                <w:sz w:val="19"/>
              </w:rPr>
              <w:t>Safety-event rate</w:t>
            </w:r>
          </w:p>
        </w:tc>
        <w:tc>
          <w:tcPr>
            <w:tcW w:type="dxa" w:w="4608"/>
            <w:shd w:val="clear" w:fill="EEF1F7"/>
          </w:tcPr>
          <w:p>
            <w:pPr>
              <w:spacing w:after="40" w:before="40"/>
            </w:pPr>
            <w:r>
              <w:rPr>
                <w:rFonts w:ascii="Segoe UI" w:hAnsi="Segoe UI"/>
                <w:sz w:val="19"/>
              </w:rPr>
              <w:t>below alert threshold</w:t>
            </w:r>
          </w:p>
        </w:tc>
      </w:tr>
    </w:tbl>
    <w:p>
      <w:pPr>
        <w:spacing w:after="80" w:before="0"/>
      </w:pPr>
    </w:p>
    <w:p>
      <w:pPr>
        <w:pStyle w:val="Heading1"/>
      </w:pPr>
      <w:r>
        <w:t>13. Operating Model &amp; Team</w:t>
      </w:r>
    </w:p>
    <w:p>
      <w:pPr>
        <w:spacing w:after="120" w:before="0"/>
      </w:pPr>
      <w:r>
        <w:rPr>
          <w:rFonts w:ascii="Segoe UI" w:hAnsi="Segoe UI"/>
          <w:b w:val="0"/>
          <w:i w:val="0"/>
          <w:sz w:val="21"/>
        </w:rPr>
        <w:t>An AFNI GenAI Center of Excellence (CoE) operates a federated hub-and-spoke model: the CoE owns the platform, guardrails and standards, while Operations and HR 'spokes' own their initiatives and outcomes. All roles are AFNI-internal.</w:t>
      </w:r>
    </w:p>
    <w:tbl>
      <w:tblPr>
        <w:tblStyle w:val="TableGrid"/>
        <w:tblW w:type="auto" w:w="0"/>
        <w:jc w:val="center"/>
        <w:tblLook w:firstColumn="1" w:firstRow="1" w:lastColumn="0" w:lastRow="0" w:noHBand="0" w:noVBand="1" w:val="04A0"/>
      </w:tblPr>
      <w:tblGrid>
        <w:gridCol w:w="4680"/>
        <w:gridCol w:w="4680"/>
      </w:tblGrid>
      <w:tr>
        <w:tc>
          <w:tcPr>
            <w:tcW w:type="dxa" w:w="3456"/>
            <w:shd w:val="clear" w:fill="1B3A6B"/>
          </w:tcPr>
          <w:p>
            <w:pPr>
              <w:spacing w:after="40" w:before="40"/>
            </w:pPr>
            <w:r>
              <w:rPr>
                <w:rFonts w:ascii="Segoe UI" w:hAnsi="Segoe UI"/>
                <w:b/>
                <w:color w:val="FFFFFF"/>
                <w:sz w:val="20"/>
              </w:rPr>
              <w:t>Role</w:t>
            </w:r>
          </w:p>
        </w:tc>
        <w:tc>
          <w:tcPr>
            <w:tcW w:type="dxa" w:w="5760"/>
            <w:shd w:val="clear" w:fill="1B3A6B"/>
          </w:tcPr>
          <w:p>
            <w:pPr>
              <w:spacing w:after="40" w:before="40"/>
            </w:pPr>
            <w:r>
              <w:rPr>
                <w:rFonts w:ascii="Segoe UI" w:hAnsi="Segoe UI"/>
                <w:b/>
                <w:color w:val="FFFFFF"/>
                <w:sz w:val="20"/>
              </w:rPr>
              <w:t>Focus</w:t>
            </w:r>
          </w:p>
        </w:tc>
      </w:tr>
      <w:tr>
        <w:tc>
          <w:tcPr>
            <w:tcW w:type="dxa" w:w="3456"/>
          </w:tcPr>
          <w:p>
            <w:pPr>
              <w:spacing w:after="40" w:before="40"/>
            </w:pPr>
            <w:r>
              <w:rPr>
                <w:rFonts w:ascii="Segoe UI" w:hAnsi="Segoe UI"/>
                <w:b/>
                <w:color w:val="121F3D"/>
                <w:sz w:val="19"/>
              </w:rPr>
              <w:t>Executive sponsor</w:t>
            </w:r>
          </w:p>
        </w:tc>
        <w:tc>
          <w:tcPr>
            <w:tcW w:type="dxa" w:w="5760"/>
          </w:tcPr>
          <w:p>
            <w:pPr>
              <w:spacing w:after="40" w:before="40"/>
            </w:pPr>
            <w:r>
              <w:rPr>
                <w:rFonts w:ascii="Segoe UI" w:hAnsi="Segoe UI"/>
                <w:sz w:val="19"/>
              </w:rPr>
              <w:t>Funding, priorities, unblock</w:t>
            </w:r>
          </w:p>
        </w:tc>
      </w:tr>
      <w:tr>
        <w:tc>
          <w:tcPr>
            <w:tcW w:type="dxa" w:w="3456"/>
            <w:shd w:val="clear" w:fill="EEF1F7"/>
          </w:tcPr>
          <w:p>
            <w:pPr>
              <w:spacing w:after="40" w:before="40"/>
            </w:pPr>
            <w:r>
              <w:rPr>
                <w:rFonts w:ascii="Segoe UI" w:hAnsi="Segoe UI"/>
                <w:b/>
                <w:color w:val="121F3D"/>
                <w:sz w:val="19"/>
              </w:rPr>
              <w:t>AI product owner</w:t>
            </w:r>
          </w:p>
        </w:tc>
        <w:tc>
          <w:tcPr>
            <w:tcW w:type="dxa" w:w="5760"/>
            <w:shd w:val="clear" w:fill="EEF1F7"/>
          </w:tcPr>
          <w:p>
            <w:pPr>
              <w:spacing w:after="40" w:before="40"/>
            </w:pPr>
            <w:r>
              <w:rPr>
                <w:rFonts w:ascii="Segoe UI" w:hAnsi="Segoe UI"/>
                <w:sz w:val="19"/>
              </w:rPr>
              <w:t>Backlog, outcomes, adoption</w:t>
            </w:r>
          </w:p>
        </w:tc>
      </w:tr>
      <w:tr>
        <w:tc>
          <w:tcPr>
            <w:tcW w:type="dxa" w:w="3456"/>
          </w:tcPr>
          <w:p>
            <w:pPr>
              <w:spacing w:after="40" w:before="40"/>
            </w:pPr>
            <w:r>
              <w:rPr>
                <w:rFonts w:ascii="Segoe UI" w:hAnsi="Segoe UI"/>
                <w:b/>
                <w:color w:val="121F3D"/>
                <w:sz w:val="19"/>
              </w:rPr>
              <w:t>GenAI architect (lead)</w:t>
            </w:r>
          </w:p>
        </w:tc>
        <w:tc>
          <w:tcPr>
            <w:tcW w:type="dxa" w:w="5760"/>
          </w:tcPr>
          <w:p>
            <w:pPr>
              <w:spacing w:after="40" w:before="40"/>
            </w:pPr>
            <w:r>
              <w:rPr>
                <w:rFonts w:ascii="Segoe UI" w:hAnsi="Segoe UI"/>
                <w:sz w:val="19"/>
              </w:rPr>
              <w:t>Architecture, standards, review</w:t>
            </w:r>
          </w:p>
        </w:tc>
      </w:tr>
      <w:tr>
        <w:tc>
          <w:tcPr>
            <w:tcW w:type="dxa" w:w="3456"/>
            <w:shd w:val="clear" w:fill="EEF1F7"/>
          </w:tcPr>
          <w:p>
            <w:pPr>
              <w:spacing w:after="40" w:before="40"/>
            </w:pPr>
            <w:r>
              <w:rPr>
                <w:rFonts w:ascii="Segoe UI" w:hAnsi="Segoe UI"/>
                <w:b/>
                <w:color w:val="121F3D"/>
                <w:sz w:val="19"/>
              </w:rPr>
              <w:t>Prompt / agent engineers</w:t>
            </w:r>
          </w:p>
        </w:tc>
        <w:tc>
          <w:tcPr>
            <w:tcW w:type="dxa" w:w="5760"/>
            <w:shd w:val="clear" w:fill="EEF1F7"/>
          </w:tcPr>
          <w:p>
            <w:pPr>
              <w:spacing w:after="40" w:before="40"/>
            </w:pPr>
            <w:r>
              <w:rPr>
                <w:rFonts w:ascii="Segoe UI" w:hAnsi="Segoe UI"/>
                <w:sz w:val="19"/>
              </w:rPr>
              <w:t>Agent design &amp; evaluation</w:t>
            </w:r>
          </w:p>
        </w:tc>
      </w:tr>
      <w:tr>
        <w:tc>
          <w:tcPr>
            <w:tcW w:type="dxa" w:w="3456"/>
          </w:tcPr>
          <w:p>
            <w:pPr>
              <w:spacing w:after="40" w:before="40"/>
            </w:pPr>
            <w:r>
              <w:rPr>
                <w:rFonts w:ascii="Segoe UI" w:hAnsi="Segoe UI"/>
                <w:b/>
                <w:color w:val="121F3D"/>
                <w:sz w:val="19"/>
              </w:rPr>
              <w:t>LLMOps engineers</w:t>
            </w:r>
          </w:p>
        </w:tc>
        <w:tc>
          <w:tcPr>
            <w:tcW w:type="dxa" w:w="5760"/>
          </w:tcPr>
          <w:p>
            <w:pPr>
              <w:spacing w:after="40" w:before="40"/>
            </w:pPr>
            <w:r>
              <w:rPr>
                <w:rFonts w:ascii="Segoe UI" w:hAnsi="Segoe UI"/>
                <w:sz w:val="19"/>
              </w:rPr>
              <w:t>CI/CD, serving, observability</w:t>
            </w:r>
          </w:p>
        </w:tc>
      </w:tr>
      <w:tr>
        <w:tc>
          <w:tcPr>
            <w:tcW w:type="dxa" w:w="3456"/>
            <w:shd w:val="clear" w:fill="EEF1F7"/>
          </w:tcPr>
          <w:p>
            <w:pPr>
              <w:spacing w:after="40" w:before="40"/>
            </w:pPr>
            <w:r>
              <w:rPr>
                <w:rFonts w:ascii="Segoe UI" w:hAnsi="Segoe UI"/>
                <w:b/>
                <w:color w:val="121F3D"/>
                <w:sz w:val="19"/>
              </w:rPr>
              <w:t>Data engineers</w:t>
            </w:r>
          </w:p>
        </w:tc>
        <w:tc>
          <w:tcPr>
            <w:tcW w:type="dxa" w:w="5760"/>
            <w:shd w:val="clear" w:fill="EEF1F7"/>
          </w:tcPr>
          <w:p>
            <w:pPr>
              <w:spacing w:after="40" w:before="40"/>
            </w:pPr>
            <w:r>
              <w:rPr>
                <w:rFonts w:ascii="Segoe UI" w:hAnsi="Segoe UI"/>
                <w:sz w:val="19"/>
              </w:rPr>
              <w:t>Knowledge pipelines, RAG data</w:t>
            </w:r>
          </w:p>
        </w:tc>
      </w:tr>
      <w:tr>
        <w:tc>
          <w:tcPr>
            <w:tcW w:type="dxa" w:w="3456"/>
          </w:tcPr>
          <w:p>
            <w:pPr>
              <w:spacing w:after="40" w:before="40"/>
            </w:pPr>
            <w:r>
              <w:rPr>
                <w:rFonts w:ascii="Segoe UI" w:hAnsi="Segoe UI"/>
                <w:b/>
                <w:color w:val="121F3D"/>
                <w:sz w:val="19"/>
              </w:rPr>
              <w:t>RAI / governance officer</w:t>
            </w:r>
          </w:p>
        </w:tc>
        <w:tc>
          <w:tcPr>
            <w:tcW w:type="dxa" w:w="5760"/>
          </w:tcPr>
          <w:p>
            <w:pPr>
              <w:spacing w:after="40" w:before="40"/>
            </w:pPr>
            <w:r>
              <w:rPr>
                <w:rFonts w:ascii="Segoe UI" w:hAnsi="Segoe UI"/>
                <w:sz w:val="19"/>
              </w:rPr>
              <w:t>Risk tiering, audits, policy</w:t>
            </w:r>
          </w:p>
        </w:tc>
      </w:tr>
      <w:tr>
        <w:tc>
          <w:tcPr>
            <w:tcW w:type="dxa" w:w="3456"/>
            <w:shd w:val="clear" w:fill="EEF1F7"/>
          </w:tcPr>
          <w:p>
            <w:pPr>
              <w:spacing w:after="40" w:before="40"/>
            </w:pPr>
            <w:r>
              <w:rPr>
                <w:rFonts w:ascii="Segoe UI" w:hAnsi="Segoe UI"/>
                <w:b/>
                <w:color w:val="121F3D"/>
                <w:sz w:val="19"/>
              </w:rPr>
              <w:t>Security engineer</w:t>
            </w:r>
          </w:p>
        </w:tc>
        <w:tc>
          <w:tcPr>
            <w:tcW w:type="dxa" w:w="5760"/>
            <w:shd w:val="clear" w:fill="EEF1F7"/>
          </w:tcPr>
          <w:p>
            <w:pPr>
              <w:spacing w:after="40" w:before="40"/>
            </w:pPr>
            <w:r>
              <w:rPr>
                <w:rFonts w:ascii="Segoe UI" w:hAnsi="Segoe UI"/>
                <w:sz w:val="19"/>
              </w:rPr>
              <w:t>Identity, network, compliance</w:t>
            </w:r>
          </w:p>
        </w:tc>
      </w:tr>
    </w:tbl>
    <w:p>
      <w:pPr>
        <w:spacing w:after="80" w:before="0"/>
      </w:pPr>
    </w:p>
    <w:p>
      <w:pPr>
        <w:pStyle w:val="Heading1"/>
      </w:pPr>
      <w:r>
        <w:t>14. Implementation Roadmap</w:t>
      </w:r>
    </w:p>
    <w:p>
      <w:pPr>
        <w:spacing w:after="40"/>
      </w:pPr>
    </w:p>
    <w:p>
      <w:pPr>
        <w:jc w:val="center"/>
      </w:pPr>
      <w:r>
        <w:drawing>
          <wp:inline xmlns:a="http://schemas.openxmlformats.org/drawingml/2006/main" xmlns:pic="http://schemas.openxmlformats.org/drawingml/2006/picture">
            <wp:extent cx="6035040" cy="2649271"/>
            <wp:docPr id="8" name="Picture 8"/>
            <wp:cNvGraphicFramePr>
              <a:graphicFrameLocks noChangeAspect="1"/>
            </wp:cNvGraphicFramePr>
            <a:graphic>
              <a:graphicData uri="http://schemas.openxmlformats.org/drawingml/2006/picture">
                <pic:pic>
                  <pic:nvPicPr>
                    <pic:cNvPr id="0" name="08-roadmap.png"/>
                    <pic:cNvPicPr/>
                  </pic:nvPicPr>
                  <pic:blipFill>
                    <a:blip r:embed="rId17"/>
                    <a:stretch>
                      <a:fillRect/>
                    </a:stretch>
                  </pic:blipFill>
                  <pic:spPr>
                    <a:xfrm>
                      <a:off x="0" y="0"/>
                      <a:ext cx="6035040" cy="2649271"/>
                    </a:xfrm>
                    <a:prstGeom prst="rect"/>
                  </pic:spPr>
                </pic:pic>
              </a:graphicData>
            </a:graphic>
          </wp:inline>
        </w:drawing>
      </w:r>
    </w:p>
    <w:p>
      <w:pPr>
        <w:spacing w:before="60"/>
        <w:jc w:val="center"/>
      </w:pPr>
      <w:r>
        <w:rPr>
          <w:rFonts w:ascii="Segoe UI" w:hAnsi="Segoe UI"/>
          <w:i/>
          <w:color w:val="505A6A"/>
          <w:sz w:val="18"/>
        </w:rPr>
        <w:t>Figure. Crawl → Walk → Run over ~9–12 months.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1B3A6B"/>
          </w:tcPr>
          <w:p>
            <w:pPr>
              <w:spacing w:after="40" w:before="40"/>
            </w:pPr>
            <w:r>
              <w:rPr>
                <w:rFonts w:ascii="Segoe UI" w:hAnsi="Segoe UI"/>
                <w:b/>
                <w:color w:val="FFFFFF"/>
                <w:sz w:val="20"/>
              </w:rPr>
              <w:t>Phase</w:t>
            </w:r>
          </w:p>
        </w:tc>
        <w:tc>
          <w:tcPr>
            <w:tcW w:type="dxa" w:w="1872"/>
            <w:shd w:val="clear" w:fill="1B3A6B"/>
          </w:tcPr>
          <w:p>
            <w:pPr>
              <w:spacing w:after="40" w:before="40"/>
            </w:pPr>
            <w:r>
              <w:rPr>
                <w:rFonts w:ascii="Segoe UI" w:hAnsi="Segoe UI"/>
                <w:b/>
                <w:color w:val="FFFFFF"/>
                <w:sz w:val="20"/>
              </w:rPr>
              <w:t>Timing</w:t>
            </w:r>
          </w:p>
        </w:tc>
        <w:tc>
          <w:tcPr>
            <w:tcW w:type="dxa" w:w="5328"/>
            <w:shd w:val="clear" w:fill="1B3A6B"/>
          </w:tcPr>
          <w:p>
            <w:pPr>
              <w:spacing w:after="40" w:before="40"/>
            </w:pPr>
            <w:r>
              <w:rPr>
                <w:rFonts w:ascii="Segoe UI" w:hAnsi="Segoe UI"/>
                <w:b/>
                <w:color w:val="FFFFFF"/>
                <w:sz w:val="20"/>
              </w:rPr>
              <w:t>Exit criteria</w:t>
            </w:r>
          </w:p>
        </w:tc>
      </w:tr>
      <w:tr>
        <w:tc>
          <w:tcPr>
            <w:tcW w:type="dxa" w:w="2160"/>
          </w:tcPr>
          <w:p>
            <w:pPr>
              <w:spacing w:after="40" w:before="40"/>
            </w:pPr>
            <w:r>
              <w:rPr>
                <w:rFonts w:ascii="Segoe UI" w:hAnsi="Segoe UI"/>
                <w:b/>
                <w:color w:val="121F3D"/>
                <w:sz w:val="19"/>
              </w:rPr>
              <w:t>Phase 0</w:t>
            </w:r>
          </w:p>
        </w:tc>
        <w:tc>
          <w:tcPr>
            <w:tcW w:type="dxa" w:w="1872"/>
          </w:tcPr>
          <w:p>
            <w:pPr>
              <w:spacing w:after="40" w:before="40"/>
            </w:pPr>
            <w:r>
              <w:rPr>
                <w:rFonts w:ascii="Segoe UI" w:hAnsi="Segoe UI"/>
                <w:sz w:val="19"/>
              </w:rPr>
              <w:t>Weeks 0–4</w:t>
            </w:r>
          </w:p>
        </w:tc>
        <w:tc>
          <w:tcPr>
            <w:tcW w:type="dxa" w:w="5328"/>
          </w:tcPr>
          <w:p>
            <w:pPr>
              <w:spacing w:after="40" w:before="40"/>
            </w:pPr>
            <w:r>
              <w:rPr>
                <w:rFonts w:ascii="Segoe UI" w:hAnsi="Segoe UI"/>
                <w:sz w:val="19"/>
              </w:rPr>
              <w:t>Foundations live; initiatives scoped</w:t>
            </w:r>
          </w:p>
        </w:tc>
      </w:tr>
      <w:tr>
        <w:tc>
          <w:tcPr>
            <w:tcW w:type="dxa" w:w="2160"/>
            <w:shd w:val="clear" w:fill="EEF1F7"/>
          </w:tcPr>
          <w:p>
            <w:pPr>
              <w:spacing w:after="40" w:before="40"/>
            </w:pPr>
            <w:r>
              <w:rPr>
                <w:rFonts w:ascii="Segoe UI" w:hAnsi="Segoe UI"/>
                <w:b/>
                <w:color w:val="121F3D"/>
                <w:sz w:val="19"/>
              </w:rPr>
              <w:t>Phase 1 · Crawl</w:t>
            </w:r>
          </w:p>
        </w:tc>
        <w:tc>
          <w:tcPr>
            <w:tcW w:type="dxa" w:w="1872"/>
            <w:shd w:val="clear" w:fill="EEF1F7"/>
          </w:tcPr>
          <w:p>
            <w:pPr>
              <w:spacing w:after="40" w:before="40"/>
            </w:pPr>
            <w:r>
              <w:rPr>
                <w:rFonts w:ascii="Segoe UI" w:hAnsi="Segoe UI"/>
                <w:sz w:val="19"/>
              </w:rPr>
              <w:t>Months 1–3</w:t>
            </w:r>
          </w:p>
        </w:tc>
        <w:tc>
          <w:tcPr>
            <w:tcW w:type="dxa" w:w="5328"/>
            <w:shd w:val="clear" w:fill="EEF1F7"/>
          </w:tcPr>
          <w:p>
            <w:pPr>
              <w:spacing w:after="40" w:before="40"/>
            </w:pPr>
            <w:r>
              <w:rPr>
                <w:rFonts w:ascii="Segoe UI" w:hAnsi="Segoe UI"/>
                <w:sz w:val="19"/>
              </w:rPr>
              <w:t>Pilots show measurable value</w:t>
            </w:r>
          </w:p>
        </w:tc>
      </w:tr>
      <w:tr>
        <w:tc>
          <w:tcPr>
            <w:tcW w:type="dxa" w:w="2160"/>
          </w:tcPr>
          <w:p>
            <w:pPr>
              <w:spacing w:after="40" w:before="40"/>
            </w:pPr>
            <w:r>
              <w:rPr>
                <w:rFonts w:ascii="Segoe UI" w:hAnsi="Segoe UI"/>
                <w:b/>
                <w:color w:val="121F3D"/>
                <w:sz w:val="19"/>
              </w:rPr>
              <w:t>Phase 2 · Walk</w:t>
            </w:r>
          </w:p>
        </w:tc>
        <w:tc>
          <w:tcPr>
            <w:tcW w:type="dxa" w:w="1872"/>
          </w:tcPr>
          <w:p>
            <w:pPr>
              <w:spacing w:after="40" w:before="40"/>
            </w:pPr>
            <w:r>
              <w:rPr>
                <w:rFonts w:ascii="Segoe UI" w:hAnsi="Segoe UI"/>
                <w:sz w:val="19"/>
              </w:rPr>
              <w:t>Months 4–7</w:t>
            </w:r>
          </w:p>
        </w:tc>
        <w:tc>
          <w:tcPr>
            <w:tcW w:type="dxa" w:w="5328"/>
          </w:tcPr>
          <w:p>
            <w:pPr>
              <w:spacing w:after="40" w:before="40"/>
            </w:pPr>
            <w:r>
              <w:rPr>
                <w:rFonts w:ascii="Segoe UI" w:hAnsi="Segoe UI"/>
                <w:sz w:val="19"/>
              </w:rPr>
              <w:t>Production use at scale in ≥1 program</w:t>
            </w:r>
          </w:p>
        </w:tc>
      </w:tr>
      <w:tr>
        <w:tc>
          <w:tcPr>
            <w:tcW w:type="dxa" w:w="2160"/>
            <w:shd w:val="clear" w:fill="EEF1F7"/>
          </w:tcPr>
          <w:p>
            <w:pPr>
              <w:spacing w:after="40" w:before="40"/>
            </w:pPr>
            <w:r>
              <w:rPr>
                <w:rFonts w:ascii="Segoe UI" w:hAnsi="Segoe UI"/>
                <w:b/>
                <w:color w:val="121F3D"/>
                <w:sz w:val="19"/>
              </w:rPr>
              <w:t>Phase 3 · Run</w:t>
            </w:r>
          </w:p>
        </w:tc>
        <w:tc>
          <w:tcPr>
            <w:tcW w:type="dxa" w:w="1872"/>
            <w:shd w:val="clear" w:fill="EEF1F7"/>
          </w:tcPr>
          <w:p>
            <w:pPr>
              <w:spacing w:after="40" w:before="40"/>
            </w:pPr>
            <w:r>
              <w:rPr>
                <w:rFonts w:ascii="Segoe UI" w:hAnsi="Segoe UI"/>
                <w:sz w:val="19"/>
              </w:rPr>
              <w:t>Months 8–12</w:t>
            </w:r>
          </w:p>
        </w:tc>
        <w:tc>
          <w:tcPr>
            <w:tcW w:type="dxa" w:w="5328"/>
            <w:shd w:val="clear" w:fill="EEF1F7"/>
          </w:tcPr>
          <w:p>
            <w:pPr>
              <w:spacing w:after="40" w:before="40"/>
            </w:pPr>
            <w:r>
              <w:rPr>
                <w:rFonts w:ascii="Segoe UI" w:hAnsi="Segoe UI"/>
                <w:sz w:val="19"/>
              </w:rPr>
              <w:t>Enterprise scale; improvement flywheel running</w:t>
            </w:r>
          </w:p>
        </w:tc>
      </w:tr>
    </w:tbl>
    <w:p>
      <w:pPr>
        <w:spacing w:after="80" w:before="0"/>
      </w:pPr>
    </w:p>
    <w:p>
      <w:pPr>
        <w:pStyle w:val="Heading1"/>
      </w:pPr>
      <w:r>
        <w:t>15. Business Case &amp; ROI</w:t>
      </w:r>
    </w:p>
    <w:p>
      <w:pPr>
        <w:spacing w:after="120" w:before="0"/>
      </w:pPr>
      <w:r>
        <w:rPr>
          <w:rFonts w:ascii="Segoe UI" w:hAnsi="Segoe UI"/>
          <w:b w:val="0"/>
          <w:i/>
          <w:sz w:val="21"/>
        </w:rPr>
        <w:t>All figures are illustrative placeholders, to be replaced with AFNI's actual volumes, rates and cost structure during Phase 0 discovery.</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fill="1B3A6B"/>
          </w:tcPr>
          <w:p>
            <w:pPr>
              <w:spacing w:after="40" w:before="40"/>
            </w:pPr>
            <w:r>
              <w:rPr>
                <w:rFonts w:ascii="Segoe UI" w:hAnsi="Segoe UI"/>
                <w:b/>
                <w:color w:val="FFFFFF"/>
                <w:sz w:val="20"/>
              </w:rPr>
              <w:t>Value lever</w:t>
            </w:r>
          </w:p>
        </w:tc>
        <w:tc>
          <w:tcPr>
            <w:tcW w:type="dxa" w:w="2736"/>
            <w:shd w:val="clear" w:fill="1B3A6B"/>
          </w:tcPr>
          <w:p>
            <w:pPr>
              <w:spacing w:after="40" w:before="40"/>
            </w:pPr>
            <w:r>
              <w:rPr>
                <w:rFonts w:ascii="Segoe UI" w:hAnsi="Segoe UI"/>
                <w:b/>
                <w:color w:val="FFFFFF"/>
                <w:sz w:val="20"/>
              </w:rPr>
              <w:t>Initiative</w:t>
            </w:r>
          </w:p>
        </w:tc>
        <w:tc>
          <w:tcPr>
            <w:tcW w:type="dxa" w:w="3744"/>
            <w:shd w:val="clear" w:fill="1B3A6B"/>
          </w:tcPr>
          <w:p>
            <w:pPr>
              <w:spacing w:after="40" w:before="40"/>
            </w:pPr>
            <w:r>
              <w:rPr>
                <w:rFonts w:ascii="Segoe UI" w:hAnsi="Segoe UI"/>
                <w:b/>
                <w:color w:val="FFFFFF"/>
                <w:sz w:val="20"/>
              </w:rPr>
              <w:t>Illustrative impact</w:t>
            </w:r>
          </w:p>
        </w:tc>
      </w:tr>
      <w:tr>
        <w:tc>
          <w:tcPr>
            <w:tcW w:type="dxa" w:w="3456"/>
          </w:tcPr>
          <w:p>
            <w:pPr>
              <w:spacing w:after="40" w:before="40"/>
            </w:pPr>
            <w:r>
              <w:rPr>
                <w:rFonts w:ascii="Segoe UI" w:hAnsi="Segoe UI"/>
                <w:b/>
                <w:color w:val="121F3D"/>
                <w:sz w:val="19"/>
              </w:rPr>
              <w:t>100% QA coverage &amp; faster coaching</w:t>
            </w:r>
          </w:p>
        </w:tc>
        <w:tc>
          <w:tcPr>
            <w:tcW w:type="dxa" w:w="2736"/>
          </w:tcPr>
          <w:p>
            <w:pPr>
              <w:spacing w:after="40" w:before="40"/>
            </w:pPr>
            <w:r>
              <w:rPr>
                <w:rFonts w:ascii="Segoe UI" w:hAnsi="Segoe UI"/>
                <w:sz w:val="19"/>
              </w:rPr>
              <w:t>PI Index</w:t>
            </w:r>
          </w:p>
        </w:tc>
        <w:tc>
          <w:tcPr>
            <w:tcW w:type="dxa" w:w="3744"/>
          </w:tcPr>
          <w:p>
            <w:pPr>
              <w:spacing w:after="40" w:before="40"/>
            </w:pPr>
            <w:r>
              <w:rPr>
                <w:rFonts w:ascii="Segoe UI" w:hAnsi="Segoe UI"/>
                <w:sz w:val="19"/>
              </w:rPr>
              <w:t>from ~5% sampled to 100%</w:t>
            </w:r>
          </w:p>
        </w:tc>
      </w:tr>
      <w:tr>
        <w:tc>
          <w:tcPr>
            <w:tcW w:type="dxa" w:w="3456"/>
            <w:shd w:val="clear" w:fill="EEF1F7"/>
          </w:tcPr>
          <w:p>
            <w:pPr>
              <w:spacing w:after="40" w:before="40"/>
            </w:pPr>
            <w:r>
              <w:rPr>
                <w:rFonts w:ascii="Segoe UI" w:hAnsi="Segoe UI"/>
                <w:b/>
                <w:color w:val="121F3D"/>
                <w:sz w:val="19"/>
              </w:rPr>
              <w:t>Call containment / deflection</w:t>
            </w:r>
          </w:p>
        </w:tc>
        <w:tc>
          <w:tcPr>
            <w:tcW w:type="dxa" w:w="2736"/>
            <w:shd w:val="clear" w:fill="EEF1F7"/>
          </w:tcPr>
          <w:p>
            <w:pPr>
              <w:spacing w:after="40" w:before="40"/>
            </w:pPr>
            <w:r>
              <w:rPr>
                <w:rFonts w:ascii="Segoe UI" w:hAnsi="Segoe UI"/>
                <w:sz w:val="19"/>
              </w:rPr>
              <w:t>Voice Agent</w:t>
            </w:r>
          </w:p>
        </w:tc>
        <w:tc>
          <w:tcPr>
            <w:tcW w:type="dxa" w:w="3744"/>
            <w:shd w:val="clear" w:fill="EEF1F7"/>
          </w:tcPr>
          <w:p>
            <w:pPr>
              <w:spacing w:after="40" w:before="40"/>
            </w:pPr>
            <w:r>
              <w:rPr>
                <w:rFonts w:ascii="Segoe UI" w:hAnsi="Segoe UI"/>
                <w:sz w:val="19"/>
              </w:rPr>
              <w:t>20–40% of eligible calls</w:t>
            </w:r>
          </w:p>
        </w:tc>
      </w:tr>
      <w:tr>
        <w:tc>
          <w:tcPr>
            <w:tcW w:type="dxa" w:w="3456"/>
          </w:tcPr>
          <w:p>
            <w:pPr>
              <w:spacing w:after="40" w:before="40"/>
            </w:pPr>
            <w:r>
              <w:rPr>
                <w:rFonts w:ascii="Segoe UI" w:hAnsi="Segoe UI"/>
                <w:b/>
                <w:color w:val="121F3D"/>
                <w:sz w:val="19"/>
              </w:rPr>
              <w:t>AHT reduction (agent-assist)</w:t>
            </w:r>
          </w:p>
        </w:tc>
        <w:tc>
          <w:tcPr>
            <w:tcW w:type="dxa" w:w="2736"/>
          </w:tcPr>
          <w:p>
            <w:pPr>
              <w:spacing w:after="40" w:before="40"/>
            </w:pPr>
            <w:r>
              <w:rPr>
                <w:rFonts w:ascii="Segoe UI" w:hAnsi="Segoe UI"/>
                <w:sz w:val="19"/>
              </w:rPr>
              <w:t>Voice Agent</w:t>
            </w:r>
          </w:p>
        </w:tc>
        <w:tc>
          <w:tcPr>
            <w:tcW w:type="dxa" w:w="3744"/>
          </w:tcPr>
          <w:p>
            <w:pPr>
              <w:spacing w:after="40" w:before="40"/>
            </w:pPr>
            <w:r>
              <w:rPr>
                <w:rFonts w:ascii="Segoe UI" w:hAnsi="Segoe UI"/>
                <w:sz w:val="19"/>
              </w:rPr>
              <w:t>15–25% shorter handle time</w:t>
            </w:r>
          </w:p>
        </w:tc>
      </w:tr>
      <w:tr>
        <w:tc>
          <w:tcPr>
            <w:tcW w:type="dxa" w:w="3456"/>
            <w:shd w:val="clear" w:fill="EEF1F7"/>
          </w:tcPr>
          <w:p>
            <w:pPr>
              <w:spacing w:after="40" w:before="40"/>
            </w:pPr>
            <w:r>
              <w:rPr>
                <w:rFonts w:ascii="Segoe UI" w:hAnsi="Segoe UI"/>
                <w:b/>
                <w:color w:val="121F3D"/>
                <w:sz w:val="19"/>
              </w:rPr>
              <w:t>Recruiter screening effort</w:t>
            </w:r>
          </w:p>
        </w:tc>
        <w:tc>
          <w:tcPr>
            <w:tcW w:type="dxa" w:w="2736"/>
            <w:shd w:val="clear" w:fill="EEF1F7"/>
          </w:tcPr>
          <w:p>
            <w:pPr>
              <w:spacing w:after="40" w:before="40"/>
            </w:pPr>
            <w:r>
              <w:rPr>
                <w:rFonts w:ascii="Segoe UI" w:hAnsi="Segoe UI"/>
                <w:sz w:val="19"/>
              </w:rPr>
              <w:t>Hiring Intelligence</w:t>
            </w:r>
          </w:p>
        </w:tc>
        <w:tc>
          <w:tcPr>
            <w:tcW w:type="dxa" w:w="3744"/>
            <w:shd w:val="clear" w:fill="EEF1F7"/>
          </w:tcPr>
          <w:p>
            <w:pPr>
              <w:spacing w:after="40" w:before="40"/>
            </w:pPr>
            <w:r>
              <w:rPr>
                <w:rFonts w:ascii="Segoe UI" w:hAnsi="Segoe UI"/>
                <w:sz w:val="19"/>
              </w:rPr>
              <w:t>30–50% fewer manual hours</w:t>
            </w:r>
          </w:p>
        </w:tc>
      </w:tr>
      <w:tr>
        <w:tc>
          <w:tcPr>
            <w:tcW w:type="dxa" w:w="3456"/>
          </w:tcPr>
          <w:p>
            <w:pPr>
              <w:spacing w:after="40" w:before="40"/>
            </w:pPr>
            <w:r>
              <w:rPr>
                <w:rFonts w:ascii="Segoe UI" w:hAnsi="Segoe UI"/>
                <w:b/>
                <w:color w:val="121F3D"/>
                <w:sz w:val="19"/>
              </w:rPr>
              <w:t>Time-to-fill &amp; cost-per-hire</w:t>
            </w:r>
          </w:p>
        </w:tc>
        <w:tc>
          <w:tcPr>
            <w:tcW w:type="dxa" w:w="2736"/>
          </w:tcPr>
          <w:p>
            <w:pPr>
              <w:spacing w:after="40" w:before="40"/>
            </w:pPr>
            <w:r>
              <w:rPr>
                <w:rFonts w:ascii="Segoe UI" w:hAnsi="Segoe UI"/>
                <w:sz w:val="19"/>
              </w:rPr>
              <w:t>Hiring Intelligence</w:t>
            </w:r>
          </w:p>
        </w:tc>
        <w:tc>
          <w:tcPr>
            <w:tcW w:type="dxa" w:w="3744"/>
          </w:tcPr>
          <w:p>
            <w:pPr>
              <w:spacing w:after="40" w:before="40"/>
            </w:pPr>
            <w:r>
              <w:rPr>
                <w:rFonts w:ascii="Segoe UI" w:hAnsi="Segoe UI"/>
                <w:sz w:val="19"/>
              </w:rPr>
              <w:t>both materially reduced</w:t>
            </w:r>
          </w:p>
        </w:tc>
      </w:tr>
      <w:tr>
        <w:tc>
          <w:tcPr>
            <w:tcW w:type="dxa" w:w="3456"/>
            <w:shd w:val="clear" w:fill="EEF1F7"/>
          </w:tcPr>
          <w:p>
            <w:pPr>
              <w:spacing w:after="40" w:before="40"/>
            </w:pPr>
            <w:r>
              <w:rPr>
                <w:rFonts w:ascii="Segoe UI" w:hAnsi="Segoe UI"/>
                <w:b/>
                <w:color w:val="121F3D"/>
                <w:sz w:val="19"/>
              </w:rPr>
              <w:t>Attrition (matching + coaching)</w:t>
            </w:r>
          </w:p>
        </w:tc>
        <w:tc>
          <w:tcPr>
            <w:tcW w:type="dxa" w:w="2736"/>
            <w:shd w:val="clear" w:fill="EEF1F7"/>
          </w:tcPr>
          <w:p>
            <w:pPr>
              <w:spacing w:after="40" w:before="40"/>
            </w:pPr>
            <w:r>
              <w:rPr>
                <w:rFonts w:ascii="Segoe UI" w:hAnsi="Segoe UI"/>
                <w:sz w:val="19"/>
              </w:rPr>
              <w:t>Hiring + PI Index</w:t>
            </w:r>
          </w:p>
        </w:tc>
        <w:tc>
          <w:tcPr>
            <w:tcW w:type="dxa" w:w="3744"/>
            <w:shd w:val="clear" w:fill="EEF1F7"/>
          </w:tcPr>
          <w:p>
            <w:pPr>
              <w:spacing w:after="40" w:before="40"/>
            </w:pPr>
            <w:r>
              <w:rPr>
                <w:rFonts w:ascii="Segoe UI" w:hAnsi="Segoe UI"/>
                <w:sz w:val="19"/>
              </w:rPr>
              <w:t>lower 90-day attrition</w:t>
            </w:r>
          </w:p>
        </w:tc>
      </w:tr>
    </w:tbl>
    <w:p>
      <w:pPr>
        <w:spacing w:after="80" w:before="0"/>
      </w:pPr>
    </w:p>
    <w:p>
      <w:pPr>
        <w:spacing w:after="120" w:before="0"/>
      </w:pPr>
      <w:r>
        <w:rPr>
          <w:rFonts w:ascii="Segoe UI" w:hAnsi="Segoe UI"/>
          <w:b/>
          <w:i w:val="0"/>
          <w:color w:val="121F3D"/>
          <w:sz w:val="21"/>
        </w:rPr>
        <w:t>Illustrative payback: 9–15 months. Under AFNI's Gainshare model, efficiency gains improve shared margin directly.</w:t>
      </w:r>
    </w:p>
    <w:p>
      <w:pPr>
        <w:pStyle w:val="Heading1"/>
      </w:pPr>
      <w:r>
        <w:t>16. Risks &amp;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1B3A6B"/>
          </w:tcPr>
          <w:p>
            <w:pPr>
              <w:spacing w:after="40" w:before="40"/>
            </w:pPr>
            <w:r>
              <w:rPr>
                <w:rFonts w:ascii="Segoe UI" w:hAnsi="Segoe UI"/>
                <w:b/>
                <w:color w:val="FFFFFF"/>
                <w:sz w:val="20"/>
              </w:rPr>
              <w:t>Risk</w:t>
            </w:r>
          </w:p>
        </w:tc>
        <w:tc>
          <w:tcPr>
            <w:tcW w:type="dxa" w:w="1584"/>
            <w:shd w:val="clear" w:fill="1B3A6B"/>
          </w:tcPr>
          <w:p>
            <w:pPr>
              <w:spacing w:after="40" w:before="40"/>
            </w:pPr>
            <w:r>
              <w:rPr>
                <w:rFonts w:ascii="Segoe UI" w:hAnsi="Segoe UI"/>
                <w:b/>
                <w:color w:val="FFFFFF"/>
                <w:sz w:val="20"/>
              </w:rPr>
              <w:t>Category</w:t>
            </w:r>
          </w:p>
        </w:tc>
        <w:tc>
          <w:tcPr>
            <w:tcW w:type="dxa" w:w="4464"/>
            <w:shd w:val="clear" w:fill="1B3A6B"/>
          </w:tcPr>
          <w:p>
            <w:pPr>
              <w:spacing w:after="40" w:before="40"/>
            </w:pPr>
            <w:r>
              <w:rPr>
                <w:rFonts w:ascii="Segoe UI" w:hAnsi="Segoe UI"/>
                <w:b/>
                <w:color w:val="FFFFFF"/>
                <w:sz w:val="20"/>
              </w:rPr>
              <w:t>Mitigation</w:t>
            </w:r>
          </w:p>
        </w:tc>
      </w:tr>
      <w:tr>
        <w:tc>
          <w:tcPr>
            <w:tcW w:type="dxa" w:w="3168"/>
          </w:tcPr>
          <w:p>
            <w:pPr>
              <w:spacing w:after="40" w:before="40"/>
            </w:pPr>
            <w:r>
              <w:rPr>
                <w:rFonts w:ascii="Segoe UI" w:hAnsi="Segoe UI"/>
                <w:b/>
                <w:color w:val="121F3D"/>
                <w:sz w:val="19"/>
              </w:rPr>
              <w:t>Hallucination / wrong answers</w:t>
            </w:r>
          </w:p>
        </w:tc>
        <w:tc>
          <w:tcPr>
            <w:tcW w:type="dxa" w:w="1584"/>
          </w:tcPr>
          <w:p>
            <w:pPr>
              <w:spacing w:after="40" w:before="40"/>
            </w:pPr>
            <w:r>
              <w:rPr>
                <w:rFonts w:ascii="Segoe UI" w:hAnsi="Segoe UI"/>
                <w:sz w:val="19"/>
              </w:rPr>
              <w:t>Model/quality</w:t>
            </w:r>
          </w:p>
        </w:tc>
        <w:tc>
          <w:tcPr>
            <w:tcW w:type="dxa" w:w="4464"/>
          </w:tcPr>
          <w:p>
            <w:pPr>
              <w:spacing w:after="40" w:before="40"/>
            </w:pPr>
            <w:r>
              <w:rPr>
                <w:rFonts w:ascii="Segoe UI" w:hAnsi="Segoe UI"/>
                <w:sz w:val="19"/>
              </w:rPr>
              <w:t>RAG grounding, groundedness gates, HITL, guardrails</w:t>
            </w:r>
          </w:p>
        </w:tc>
      </w:tr>
      <w:tr>
        <w:tc>
          <w:tcPr>
            <w:tcW w:type="dxa" w:w="3168"/>
            <w:shd w:val="clear" w:fill="EEF1F7"/>
          </w:tcPr>
          <w:p>
            <w:pPr>
              <w:spacing w:after="40" w:before="40"/>
            </w:pPr>
            <w:r>
              <w:rPr>
                <w:rFonts w:ascii="Segoe UI" w:hAnsi="Segoe UI"/>
                <w:b/>
                <w:color w:val="121F3D"/>
                <w:sz w:val="19"/>
              </w:rPr>
              <w:t>Compliance breach (TCPA/PCI/EEOC)</w:t>
            </w:r>
          </w:p>
        </w:tc>
        <w:tc>
          <w:tcPr>
            <w:tcW w:type="dxa" w:w="1584"/>
            <w:shd w:val="clear" w:fill="EEF1F7"/>
          </w:tcPr>
          <w:p>
            <w:pPr>
              <w:spacing w:after="40" w:before="40"/>
            </w:pPr>
            <w:r>
              <w:rPr>
                <w:rFonts w:ascii="Segoe UI" w:hAnsi="Segoe UI"/>
                <w:sz w:val="19"/>
              </w:rPr>
              <w:t>Legal</w:t>
            </w:r>
          </w:p>
        </w:tc>
        <w:tc>
          <w:tcPr>
            <w:tcW w:type="dxa" w:w="4464"/>
            <w:shd w:val="clear" w:fill="EEF1F7"/>
          </w:tcPr>
          <w:p>
            <w:pPr>
              <w:spacing w:after="40" w:before="40"/>
            </w:pPr>
            <w:r>
              <w:rPr>
                <w:rFonts w:ascii="Segoe UI" w:hAnsi="Segoe UI"/>
                <w:sz w:val="19"/>
              </w:rPr>
              <w:t>Compliance agent, risk-tiering, bias audits, legal sign-off</w:t>
            </w:r>
          </w:p>
        </w:tc>
      </w:tr>
      <w:tr>
        <w:tc>
          <w:tcPr>
            <w:tcW w:type="dxa" w:w="3168"/>
          </w:tcPr>
          <w:p>
            <w:pPr>
              <w:spacing w:after="40" w:before="40"/>
            </w:pPr>
            <w:r>
              <w:rPr>
                <w:rFonts w:ascii="Segoe UI" w:hAnsi="Segoe UI"/>
                <w:b/>
                <w:color w:val="121F3D"/>
                <w:sz w:val="19"/>
              </w:rPr>
              <w:t>Unfair scoring (PI Index / hiring)</w:t>
            </w:r>
          </w:p>
        </w:tc>
        <w:tc>
          <w:tcPr>
            <w:tcW w:type="dxa" w:w="1584"/>
          </w:tcPr>
          <w:p>
            <w:pPr>
              <w:spacing w:after="40" w:before="40"/>
            </w:pPr>
            <w:r>
              <w:rPr>
                <w:rFonts w:ascii="Segoe UI" w:hAnsi="Segoe UI"/>
                <w:sz w:val="19"/>
              </w:rPr>
              <w:t>Fairness</w:t>
            </w:r>
          </w:p>
        </w:tc>
        <w:tc>
          <w:tcPr>
            <w:tcW w:type="dxa" w:w="4464"/>
          </w:tcPr>
          <w:p>
            <w:pPr>
              <w:spacing w:after="40" w:before="40"/>
            </w:pPr>
            <w:r>
              <w:rPr>
                <w:rFonts w:ascii="Segoe UI" w:hAnsi="Segoe UI"/>
                <w:sz w:val="19"/>
              </w:rPr>
              <w:t>Fairness monitors, explainability, human calibration &amp; appeals</w:t>
            </w:r>
          </w:p>
        </w:tc>
      </w:tr>
      <w:tr>
        <w:tc>
          <w:tcPr>
            <w:tcW w:type="dxa" w:w="3168"/>
            <w:shd w:val="clear" w:fill="EEF1F7"/>
          </w:tcPr>
          <w:p>
            <w:pPr>
              <w:spacing w:after="40" w:before="40"/>
            </w:pPr>
            <w:r>
              <w:rPr>
                <w:rFonts w:ascii="Segoe UI" w:hAnsi="Segoe UI"/>
                <w:b/>
                <w:color w:val="121F3D"/>
                <w:sz w:val="19"/>
              </w:rPr>
              <w:t>Runaway token cost</w:t>
            </w:r>
          </w:p>
        </w:tc>
        <w:tc>
          <w:tcPr>
            <w:tcW w:type="dxa" w:w="1584"/>
            <w:shd w:val="clear" w:fill="EEF1F7"/>
          </w:tcPr>
          <w:p>
            <w:pPr>
              <w:spacing w:after="40" w:before="40"/>
            </w:pPr>
            <w:r>
              <w:rPr>
                <w:rFonts w:ascii="Segoe UI" w:hAnsi="Segoe UI"/>
                <w:sz w:val="19"/>
              </w:rPr>
              <w:t>Cost</w:t>
            </w:r>
          </w:p>
        </w:tc>
        <w:tc>
          <w:tcPr>
            <w:tcW w:type="dxa" w:w="4464"/>
            <w:shd w:val="clear" w:fill="EEF1F7"/>
          </w:tcPr>
          <w:p>
            <w:pPr>
              <w:spacing w:after="40" w:before="40"/>
            </w:pPr>
            <w:r>
              <w:rPr>
                <w:rFonts w:ascii="Segoe UI" w:hAnsi="Segoe UI"/>
                <w:sz w:val="19"/>
              </w:rPr>
              <w:t>APIM metering, right-sizing, caching, budget alerts</w:t>
            </w:r>
          </w:p>
        </w:tc>
      </w:tr>
      <w:tr>
        <w:tc>
          <w:tcPr>
            <w:tcW w:type="dxa" w:w="3168"/>
          </w:tcPr>
          <w:p>
            <w:pPr>
              <w:spacing w:after="40" w:before="40"/>
            </w:pPr>
            <w:r>
              <w:rPr>
                <w:rFonts w:ascii="Segoe UI" w:hAnsi="Segoe UI"/>
                <w:b/>
                <w:color w:val="121F3D"/>
                <w:sz w:val="19"/>
              </w:rPr>
              <w:t>Quality regression on change</w:t>
            </w:r>
          </w:p>
        </w:tc>
        <w:tc>
          <w:tcPr>
            <w:tcW w:type="dxa" w:w="1584"/>
          </w:tcPr>
          <w:p>
            <w:pPr>
              <w:spacing w:after="40" w:before="40"/>
            </w:pPr>
            <w:r>
              <w:rPr>
                <w:rFonts w:ascii="Segoe UI" w:hAnsi="Segoe UI"/>
                <w:sz w:val="19"/>
              </w:rPr>
              <w:t>Delivery</w:t>
            </w:r>
          </w:p>
        </w:tc>
        <w:tc>
          <w:tcPr>
            <w:tcW w:type="dxa" w:w="4464"/>
          </w:tcPr>
          <w:p>
            <w:pPr>
              <w:spacing w:after="40" w:before="40"/>
            </w:pPr>
            <w:r>
              <w:rPr>
                <w:rFonts w:ascii="Segoe UI" w:hAnsi="Segoe UI"/>
                <w:sz w:val="19"/>
              </w:rPr>
              <w:t>Golden-set regression gates, canary + rollback</w:t>
            </w:r>
          </w:p>
        </w:tc>
      </w:tr>
      <w:tr>
        <w:tc>
          <w:tcPr>
            <w:tcW w:type="dxa" w:w="3168"/>
            <w:shd w:val="clear" w:fill="EEF1F7"/>
          </w:tcPr>
          <w:p>
            <w:pPr>
              <w:spacing w:after="40" w:before="40"/>
            </w:pPr>
            <w:r>
              <w:rPr>
                <w:rFonts w:ascii="Segoe UI" w:hAnsi="Segoe UI"/>
                <w:b/>
                <w:color w:val="121F3D"/>
                <w:sz w:val="19"/>
              </w:rPr>
              <w:t>Low adoption / change fatigue</w:t>
            </w:r>
          </w:p>
        </w:tc>
        <w:tc>
          <w:tcPr>
            <w:tcW w:type="dxa" w:w="1584"/>
            <w:shd w:val="clear" w:fill="EEF1F7"/>
          </w:tcPr>
          <w:p>
            <w:pPr>
              <w:spacing w:after="40" w:before="40"/>
            </w:pPr>
            <w:r>
              <w:rPr>
                <w:rFonts w:ascii="Segoe UI" w:hAnsi="Segoe UI"/>
                <w:sz w:val="19"/>
              </w:rPr>
              <w:t>Adoption</w:t>
            </w:r>
          </w:p>
        </w:tc>
        <w:tc>
          <w:tcPr>
            <w:tcW w:type="dxa" w:w="4464"/>
            <w:shd w:val="clear" w:fill="EEF1F7"/>
          </w:tcPr>
          <w:p>
            <w:pPr>
              <w:spacing w:after="40" w:before="40"/>
            </w:pPr>
            <w:r>
              <w:rPr>
                <w:rFonts w:ascii="Segoe UI" w:hAnsi="Segoe UI"/>
                <w:sz w:val="19"/>
              </w:rPr>
              <w:t>Copilot-first, agent involvement, enablement, clear ROI</w:t>
            </w:r>
          </w:p>
        </w:tc>
      </w:tr>
      <w:tr>
        <w:tc>
          <w:tcPr>
            <w:tcW w:type="dxa" w:w="3168"/>
          </w:tcPr>
          <w:p>
            <w:pPr>
              <w:spacing w:after="40" w:before="40"/>
            </w:pPr>
            <w:r>
              <w:rPr>
                <w:rFonts w:ascii="Segoe UI" w:hAnsi="Segoe UI"/>
                <w:b/>
                <w:color w:val="121F3D"/>
                <w:sz w:val="19"/>
              </w:rPr>
              <w:t>Data leakage / prompt injection</w:t>
            </w:r>
          </w:p>
        </w:tc>
        <w:tc>
          <w:tcPr>
            <w:tcW w:type="dxa" w:w="1584"/>
          </w:tcPr>
          <w:p>
            <w:pPr>
              <w:spacing w:after="40" w:before="40"/>
            </w:pPr>
            <w:r>
              <w:rPr>
                <w:rFonts w:ascii="Segoe UI" w:hAnsi="Segoe UI"/>
                <w:sz w:val="19"/>
              </w:rPr>
              <w:t>Security</w:t>
            </w:r>
          </w:p>
        </w:tc>
        <w:tc>
          <w:tcPr>
            <w:tcW w:type="dxa" w:w="4464"/>
          </w:tcPr>
          <w:p>
            <w:pPr>
              <w:spacing w:after="40" w:before="40"/>
            </w:pPr>
            <w:r>
              <w:rPr>
                <w:rFonts w:ascii="Segoe UI" w:hAnsi="Segoe UI"/>
                <w:sz w:val="19"/>
              </w:rPr>
              <w:t>Private networking, Content Safety, prompt shields, DLP</w:t>
            </w:r>
          </w:p>
        </w:tc>
      </w:tr>
    </w:tbl>
    <w:p>
      <w:pPr>
        <w:spacing w:after="80" w:before="0"/>
      </w:pPr>
    </w:p>
    <w:p>
      <w:pPr>
        <w:pStyle w:val="Heading1"/>
      </w:pPr>
      <w:r>
        <w:t>17. Recommendation &amp; Next Steps</w:t>
      </w:r>
    </w:p>
    <w:p>
      <w:pPr>
        <w:spacing w:after="120" w:before="0"/>
      </w:pPr>
      <w:r>
        <w:rPr>
          <w:rFonts w:ascii="Segoe UI" w:hAnsi="Segoe UI"/>
          <w:b/>
          <w:i w:val="0"/>
          <w:color w:val="121F3D"/>
          <w:sz w:val="21"/>
        </w:rPr>
        <w:t>Approve a four-week Phase 0 to lock the foundations and launch the initial pilots.</w:t>
      </w:r>
    </w:p>
    <w:p>
      <w:pPr>
        <w:pStyle w:val="ListBullet"/>
        <w:spacing w:after="60"/>
      </w:pPr>
      <w:r>
        <w:rPr>
          <w:rFonts w:ascii="Segoe UI" w:hAnsi="Segoe UI"/>
          <w:b/>
          <w:sz w:val="21"/>
        </w:rPr>
        <w:t xml:space="preserve">1.  </w:t>
      </w:r>
      <w:r>
        <w:rPr>
          <w:rFonts w:ascii="Segoe UI" w:hAnsi="Segoe UI"/>
          <w:sz w:val="21"/>
        </w:rPr>
        <w:t>Confirm the three flagship initiatives and success metrics with Operations and HR leaders.</w:t>
      </w:r>
    </w:p>
    <w:p>
      <w:pPr>
        <w:pStyle w:val="ListBullet"/>
        <w:spacing w:after="60"/>
      </w:pPr>
      <w:r>
        <w:rPr>
          <w:rFonts w:ascii="Segoe UI" w:hAnsi="Segoe UI"/>
          <w:b/>
          <w:sz w:val="21"/>
        </w:rPr>
        <w:t xml:space="preserve">2.  </w:t>
      </w:r>
      <w:r>
        <w:rPr>
          <w:rFonts w:ascii="Segoe UI" w:hAnsi="Segoe UI"/>
          <w:sz w:val="21"/>
        </w:rPr>
        <w:t>Stand up the Azure landing zone, security baseline and guardrail policy.</w:t>
      </w:r>
    </w:p>
    <w:p>
      <w:pPr>
        <w:pStyle w:val="ListBullet"/>
        <w:spacing w:after="60"/>
      </w:pPr>
      <w:r>
        <w:rPr>
          <w:rFonts w:ascii="Segoe UI" w:hAnsi="Segoe UI"/>
          <w:b/>
          <w:sz w:val="21"/>
        </w:rPr>
        <w:t xml:space="preserve">3.  </w:t>
      </w:r>
      <w:r>
        <w:rPr>
          <w:rFonts w:ascii="Segoe UI" w:hAnsi="Segoe UI"/>
          <w:sz w:val="21"/>
        </w:rPr>
        <w:t>Run use-case intake and risk-tiering; secure data access.</w:t>
      </w:r>
    </w:p>
    <w:p>
      <w:pPr>
        <w:pStyle w:val="ListBullet"/>
        <w:spacing w:after="60"/>
      </w:pPr>
      <w:r>
        <w:rPr>
          <w:rFonts w:ascii="Segoe UI" w:hAnsi="Segoe UI"/>
          <w:b/>
          <w:sz w:val="21"/>
        </w:rPr>
        <w:t xml:space="preserve">4.  </w:t>
      </w:r>
      <w:r>
        <w:rPr>
          <w:rFonts w:ascii="Segoe UI" w:hAnsi="Segoe UI"/>
          <w:sz w:val="21"/>
        </w:rPr>
        <w:t>Launch the Voice Agent copilot, the PI Index MVP, and the Hiring Intelligence screening pilot.</w:t>
      </w:r>
    </w:p>
    <w:p>
      <w:pPr>
        <w:spacing w:after="120" w:before="0"/>
      </w:pPr>
    </w:p>
    <w:p>
      <w:pPr>
        <w:spacing w:after="120" w:before="0"/>
        <w:jc w:val="center"/>
      </w:pPr>
      <w:r>
        <w:rPr>
          <w:rFonts w:ascii="Segoe UI" w:hAnsi="Segoe UI"/>
          <w:b w:val="0"/>
          <w:i/>
          <w:color w:val="505A6A"/>
          <w:sz w:val="18"/>
        </w:rPr>
        <w:t>AFNI · Office of GenAI Architecture — internal &amp; confidential.</w:t>
      </w:r>
    </w:p>
    <w:sectPr w:rsidR="00FC693F" w:rsidRPr="0006063C" w:rsidSect="00034616">
      <w:footerReference w:type="default" r:id="rId9"/>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05A6A"/>
        <w:sz w:val="16"/>
      </w:rPr>
      <w:t xml:space="preserve">AFNI · Office of GenAI Architecture  ·  Enterprise LLMOps  ·  Confidential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Segoe UI" w:hAnsi="Segoe UI"/>
      <w:color w:val="22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Segoe UI" w:hAnsi="Segoe UI"/>
      <w:b/>
      <w:bCs/>
      <w:color w:val="121F3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Segoe UI" w:hAnsi="Segoe UI"/>
      <w:b/>
      <w:bCs/>
      <w:color w:val="1B3A6B"/>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w:hAnsi="Segoe UI"/>
      <w:b/>
      <w:bCs/>
      <w:color w:val="007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