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pPr>
      <w:r>
        <w:rPr>
          <w:rFonts w:ascii="Calibri" w:hAnsi="Calibri"/>
          <w:b/>
          <w:i w:val="0"/>
          <w:color w:val="1E7A72"/>
          <w:sz w:val="22"/>
        </w:rPr>
        <w:t>WORKING DRAFT FOR REVIEW</w:t>
      </w:r>
    </w:p>
    <w:p>
      <w:pPr>
        <w:spacing w:after="40" w:before="0"/>
      </w:pPr>
      <w:r>
        <w:rPr>
          <w:rFonts w:ascii="Calibri" w:hAnsi="Calibri"/>
          <w:b/>
          <w:i w:val="0"/>
          <w:color w:val="1F3A5F"/>
          <w:sz w:val="48"/>
        </w:rPr>
        <w:t>LLMOps: Our Approach</w:t>
      </w:r>
    </w:p>
    <w:p>
      <w:pPr>
        <w:spacing w:after="200" w:before="0"/>
      </w:pPr>
      <w:r>
        <w:rPr>
          <w:rFonts w:ascii="Calibri" w:hAnsi="Calibri"/>
          <w:b w:val="0"/>
          <w:i/>
          <w:color w:val="505A6A"/>
          <w:sz w:val="25"/>
        </w:rPr>
        <w:t>An operating approach for running Generative AI applications reliably — built around two live use cases (APIX and Hiring Intelligence) and reusable for any project that follows.</w:t>
      </w:r>
    </w:p>
    <w:p>
      <w:pPr>
        <w:spacing w:after="160" w:before="0"/>
      </w:pPr>
      <w:r>
        <w:rPr>
          <w:rFonts w:ascii="Calibri" w:hAnsi="Calibri"/>
          <w:b w:val="0"/>
          <w:i/>
          <w:color w:val="505A6A"/>
          <w:sz w:val="20"/>
        </w:rPr>
        <w:t>Note on scope: this document focuses on the approach, the activities involved, and how observability and evaluation will work. Timelines are intentionally left out at this stage. Where current-state details are not yet confirmed, they are marked as assumptions to validate in discovery.</w:t>
      </w:r>
    </w:p>
    <w:p>
      <w:pPr>
        <w:spacing w:after="120" w:before="0"/>
      </w:pPr>
      <w:r>
        <w:rPr>
          <w:rFonts w:ascii="Calibri" w:hAnsi="Calibri"/>
          <w:b w:val="0"/>
          <w:i/>
          <w:color w:val="505A6A"/>
          <w:sz w:val="19"/>
        </w:rPr>
        <w:t>LLMOps = Large Language Model Operations. APIX = Afni Performance Intelligence Index.</w:t>
      </w:r>
    </w:p>
    <w:p>
      <w:pPr>
        <w:pStyle w:val="Heading1"/>
      </w:pPr>
      <w:r>
        <w:t>1. How We Approach LLMOps</w:t>
      </w:r>
    </w:p>
    <w:p>
      <w:pPr>
        <w:spacing w:after="120" w:before="0"/>
      </w:pPr>
      <w:r>
        <w:rPr>
          <w:rFonts w:ascii="Calibri" w:hAnsi="Calibri"/>
          <w:b w:val="0"/>
          <w:i w:val="0"/>
          <w:sz w:val="21"/>
        </w:rPr>
        <w:t>APIX and Hiring Intelligence already run as agent pipelines built by the product team. Our job is not to rebuild them. It is to wrap them with an operational layer — the same way a team wraps normal software with source control, testing, monitoring, and safe releases — and to standardise that layer so any future use case reuses it instead of starting from scratch.</w:t>
      </w:r>
    </w:p>
    <w:tbl>
      <w:tblPr>
        <w:tblStyle w:val="TableGrid"/>
        <w:tblW w:type="auto" w:w="0"/>
        <w:tblLook w:firstColumn="1" w:firstRow="1" w:lastColumn="0" w:lastRow="0" w:noHBand="0" w:noVBand="1" w:val="04A0"/>
      </w:tblPr>
      <w:tblGrid>
        <w:gridCol w:w="9360"/>
      </w:tblGrid>
      <w:tr>
        <w:tc>
          <w:tcPr>
            <w:tcW w:type="dxa" w:w="9360"/>
            <w:shd w:val="clear" w:fill="E9F3F0"/>
          </w:tcPr>
          <w:p>
            <w:r>
              <w:rPr>
                <w:rFonts w:ascii="Calibri" w:hAnsi="Calibri"/>
                <w:b/>
                <w:color w:val="1E7A72"/>
                <w:sz w:val="21"/>
              </w:rPr>
              <w:t xml:space="preserve">The idea in one line:  </w:t>
            </w:r>
            <w:r>
              <w:rPr>
                <w:rFonts w:ascii="Calibri" w:hAnsi="Calibri"/>
                <w:sz w:val="21"/>
              </w:rPr>
              <w:t>We add the operational layer (tracking, evaluation, prompt &amp; model control, safe releases, feedback) around the existing pipelines, make it consistent, and make it reusable.</w:t>
            </w:r>
          </w:p>
        </w:tc>
      </w:tr>
    </w:tbl>
    <w:p>
      <w:pPr>
        <w:spacing w:after="80" w:before="0"/>
      </w:pPr>
    </w:p>
    <w:p>
      <w:pPr>
        <w:spacing w:after="120" w:before="0"/>
      </w:pPr>
      <w:r>
        <w:rPr>
          <w:rFonts w:ascii="Calibri" w:hAnsi="Calibri"/>
          <w:b w:val="0"/>
          <w:i w:val="0"/>
          <w:sz w:val="21"/>
        </w:rPr>
        <w:t>Both use cases are sequential pipelines — one agent's output feeds the next. They are not agent-to-agent systems (agents do not freely negotiate with each other). That keeps the operational picture straightforward: a request flows through a known set of steps, and we can observe and evaluate each step.</w:t>
      </w:r>
    </w:p>
    <w:p>
      <w:pPr>
        <w:pStyle w:val="Heading2"/>
      </w:pPr>
      <w:r>
        <w:t>The operational layer, at a glance</w:t>
      </w:r>
    </w:p>
    <w:tbl>
      <w:tblPr>
        <w:tblStyle w:val="TableGrid"/>
        <w:tblW w:type="auto" w:w="0"/>
        <w:jc w:val="center"/>
        <w:tblLook w:firstColumn="1" w:firstRow="1" w:lastColumn="0" w:lastRow="0" w:noHBand="0" w:noVBand="1" w:val="04A0"/>
      </w:tblPr>
      <w:tblGrid>
        <w:gridCol w:w="4680"/>
        <w:gridCol w:w="4680"/>
      </w:tblGrid>
      <w:tr>
        <w:tc>
          <w:tcPr>
            <w:tcW w:type="dxa" w:w="2592"/>
            <w:shd w:val="clear" w:fill="1F3A5F"/>
          </w:tcPr>
          <w:p>
            <w:pPr>
              <w:spacing w:after="40" w:before="40"/>
            </w:pPr>
            <w:r>
              <w:rPr>
                <w:rFonts w:ascii="Calibri" w:hAnsi="Calibri"/>
                <w:b/>
                <w:color w:val="FFFFFF"/>
                <w:sz w:val="19"/>
              </w:rPr>
              <w:t>Component</w:t>
            </w:r>
          </w:p>
        </w:tc>
        <w:tc>
          <w:tcPr>
            <w:tcW w:type="dxa" w:w="6624"/>
            <w:shd w:val="clear" w:fill="1F3A5F"/>
          </w:tcPr>
          <w:p>
            <w:pPr>
              <w:spacing w:after="40" w:before="40"/>
            </w:pPr>
            <w:r>
              <w:rPr>
                <w:rFonts w:ascii="Calibri" w:hAnsi="Calibri"/>
                <w:b/>
                <w:color w:val="FFFFFF"/>
                <w:sz w:val="19"/>
              </w:rPr>
              <w:t>What it gives us</w:t>
            </w:r>
          </w:p>
        </w:tc>
      </w:tr>
      <w:tr>
        <w:tc>
          <w:tcPr>
            <w:tcW w:type="dxa" w:w="2592"/>
          </w:tcPr>
          <w:p>
            <w:pPr>
              <w:spacing w:after="40" w:before="40"/>
            </w:pPr>
            <w:r>
              <w:rPr>
                <w:rFonts w:ascii="Calibri" w:hAnsi="Calibri"/>
                <w:b/>
                <w:color w:val="1F3A5F"/>
                <w:sz w:val="19"/>
              </w:rPr>
              <w:t>Observability</w:t>
            </w:r>
          </w:p>
        </w:tc>
        <w:tc>
          <w:tcPr>
            <w:tcW w:type="dxa" w:w="6624"/>
          </w:tcPr>
          <w:p>
            <w:pPr>
              <w:spacing w:after="40" w:before="40"/>
            </w:pPr>
            <w:r>
              <w:rPr>
                <w:rFonts w:ascii="Calibri" w:hAnsi="Calibri"/>
                <w:sz w:val="19"/>
              </w:rPr>
              <w:t>see every step of every request — model calls, tool calls, agent steps</w:t>
            </w:r>
          </w:p>
        </w:tc>
      </w:tr>
      <w:tr>
        <w:tc>
          <w:tcPr>
            <w:tcW w:type="dxa" w:w="2592"/>
            <w:shd w:val="clear" w:fill="EEF1F7"/>
          </w:tcPr>
          <w:p>
            <w:pPr>
              <w:spacing w:after="40" w:before="40"/>
            </w:pPr>
            <w:r>
              <w:rPr>
                <w:rFonts w:ascii="Calibri" w:hAnsi="Calibri"/>
                <w:b/>
                <w:color w:val="1F3A5F"/>
                <w:sz w:val="19"/>
              </w:rPr>
              <w:t>Evaluation</w:t>
            </w:r>
          </w:p>
        </w:tc>
        <w:tc>
          <w:tcPr>
            <w:tcW w:type="dxa" w:w="6624"/>
            <w:shd w:val="clear" w:fill="EEF1F7"/>
          </w:tcPr>
          <w:p>
            <w:pPr>
              <w:spacing w:after="40" w:before="40"/>
            </w:pPr>
            <w:r>
              <w:rPr>
                <w:rFonts w:ascii="Calibri" w:hAnsi="Calibri"/>
                <w:sz w:val="19"/>
              </w:rPr>
              <w:t>measure answer quality with repeatable tests, and block bad changes</w:t>
            </w:r>
          </w:p>
        </w:tc>
      </w:tr>
      <w:tr>
        <w:tc>
          <w:tcPr>
            <w:tcW w:type="dxa" w:w="2592"/>
          </w:tcPr>
          <w:p>
            <w:pPr>
              <w:spacing w:after="40" w:before="40"/>
            </w:pPr>
            <w:r>
              <w:rPr>
                <w:rFonts w:ascii="Calibri" w:hAnsi="Calibri"/>
                <w:b/>
                <w:color w:val="1F3A5F"/>
                <w:sz w:val="19"/>
              </w:rPr>
              <w:t>Prompt management</w:t>
            </w:r>
          </w:p>
        </w:tc>
        <w:tc>
          <w:tcPr>
            <w:tcW w:type="dxa" w:w="6624"/>
          </w:tcPr>
          <w:p>
            <w:pPr>
              <w:spacing w:after="40" w:before="40"/>
            </w:pPr>
            <w:r>
              <w:rPr>
                <w:rFonts w:ascii="Calibri" w:hAnsi="Calibri"/>
                <w:sz w:val="19"/>
              </w:rPr>
              <w:t>prompts are versioned, reviewed, and testable — not edited in place</w:t>
            </w:r>
          </w:p>
        </w:tc>
      </w:tr>
      <w:tr>
        <w:tc>
          <w:tcPr>
            <w:tcW w:type="dxa" w:w="2592"/>
            <w:shd w:val="clear" w:fill="EEF1F7"/>
          </w:tcPr>
          <w:p>
            <w:pPr>
              <w:spacing w:after="40" w:before="40"/>
            </w:pPr>
            <w:r>
              <w:rPr>
                <w:rFonts w:ascii="Calibri" w:hAnsi="Calibri"/>
                <w:b/>
                <w:color w:val="1F3A5F"/>
                <w:sz w:val="19"/>
              </w:rPr>
              <w:t>Model management</w:t>
            </w:r>
          </w:p>
        </w:tc>
        <w:tc>
          <w:tcPr>
            <w:tcW w:type="dxa" w:w="6624"/>
            <w:shd w:val="clear" w:fill="EEF1F7"/>
          </w:tcPr>
          <w:p>
            <w:pPr>
              <w:spacing w:after="40" w:before="40"/>
            </w:pPr>
            <w:r>
              <w:rPr>
                <w:rFonts w:ascii="Calibri" w:hAnsi="Calibri"/>
                <w:sz w:val="19"/>
              </w:rPr>
              <w:t>choose and swap models through config, not code changes</w:t>
            </w:r>
          </w:p>
        </w:tc>
      </w:tr>
      <w:tr>
        <w:tc>
          <w:tcPr>
            <w:tcW w:type="dxa" w:w="2592"/>
          </w:tcPr>
          <w:p>
            <w:pPr>
              <w:spacing w:after="40" w:before="40"/>
            </w:pPr>
            <w:r>
              <w:rPr>
                <w:rFonts w:ascii="Calibri" w:hAnsi="Calibri"/>
                <w:b/>
                <w:color w:val="1F3A5F"/>
                <w:sz w:val="19"/>
              </w:rPr>
              <w:t>CI/CD</w:t>
            </w:r>
          </w:p>
        </w:tc>
        <w:tc>
          <w:tcPr>
            <w:tcW w:type="dxa" w:w="6624"/>
          </w:tcPr>
          <w:p>
            <w:pPr>
              <w:spacing w:after="40" w:before="40"/>
            </w:pPr>
            <w:r>
              <w:rPr>
                <w:rFonts w:ascii="Calibri" w:hAnsi="Calibri"/>
                <w:sz w:val="19"/>
              </w:rPr>
              <w:t>test and release changes automatically, gradually, and reversibly</w:t>
            </w:r>
          </w:p>
        </w:tc>
      </w:tr>
      <w:tr>
        <w:tc>
          <w:tcPr>
            <w:tcW w:type="dxa" w:w="2592"/>
            <w:shd w:val="clear" w:fill="EEF1F7"/>
          </w:tcPr>
          <w:p>
            <w:pPr>
              <w:spacing w:after="40" w:before="40"/>
            </w:pPr>
            <w:r>
              <w:rPr>
                <w:rFonts w:ascii="Calibri" w:hAnsi="Calibri"/>
                <w:b/>
                <w:color w:val="1F3A5F"/>
                <w:sz w:val="19"/>
              </w:rPr>
              <w:t>Guardrails</w:t>
            </w:r>
          </w:p>
        </w:tc>
        <w:tc>
          <w:tcPr>
            <w:tcW w:type="dxa" w:w="6624"/>
            <w:shd w:val="clear" w:fill="EEF1F7"/>
          </w:tcPr>
          <w:p>
            <w:pPr>
              <w:spacing w:after="40" w:before="40"/>
            </w:pPr>
            <w:r>
              <w:rPr>
                <w:rFonts w:ascii="Calibri" w:hAnsi="Calibri"/>
                <w:sz w:val="19"/>
              </w:rPr>
              <w:t>safety and personal-data checks on inputs and outputs</w:t>
            </w:r>
          </w:p>
        </w:tc>
      </w:tr>
      <w:tr>
        <w:tc>
          <w:tcPr>
            <w:tcW w:type="dxa" w:w="2592"/>
          </w:tcPr>
          <w:p>
            <w:pPr>
              <w:spacing w:after="40" w:before="40"/>
            </w:pPr>
            <w:r>
              <w:rPr>
                <w:rFonts w:ascii="Calibri" w:hAnsi="Calibri"/>
                <w:b/>
                <w:color w:val="1F3A5F"/>
                <w:sz w:val="19"/>
              </w:rPr>
              <w:t>Data / RAG</w:t>
            </w:r>
          </w:p>
        </w:tc>
        <w:tc>
          <w:tcPr>
            <w:tcW w:type="dxa" w:w="6624"/>
          </w:tcPr>
          <w:p>
            <w:pPr>
              <w:spacing w:after="40" w:before="40"/>
            </w:pPr>
            <w:r>
              <w:rPr>
                <w:rFonts w:ascii="Calibri" w:hAnsi="Calibri"/>
                <w:sz w:val="19"/>
              </w:rPr>
              <w:t>feed answers from our own documents and data</w:t>
            </w:r>
          </w:p>
        </w:tc>
      </w:tr>
      <w:tr>
        <w:tc>
          <w:tcPr>
            <w:tcW w:type="dxa" w:w="2592"/>
            <w:shd w:val="clear" w:fill="EEF1F7"/>
          </w:tcPr>
          <w:p>
            <w:pPr>
              <w:spacing w:after="40" w:before="40"/>
            </w:pPr>
            <w:r>
              <w:rPr>
                <w:rFonts w:ascii="Calibri" w:hAnsi="Calibri"/>
                <w:b/>
                <w:color w:val="1F3A5F"/>
                <w:sz w:val="19"/>
              </w:rPr>
              <w:t>Feedback loop</w:t>
            </w:r>
          </w:p>
        </w:tc>
        <w:tc>
          <w:tcPr>
            <w:tcW w:type="dxa" w:w="6624"/>
            <w:shd w:val="clear" w:fill="EEF1F7"/>
          </w:tcPr>
          <w:p>
            <w:pPr>
              <w:spacing w:after="40" w:before="40"/>
            </w:pPr>
            <w:r>
              <w:rPr>
                <w:rFonts w:ascii="Calibri" w:hAnsi="Calibri"/>
                <w:sz w:val="19"/>
              </w:rPr>
              <w:t>capture real usage and turn it into improvements</w:t>
            </w:r>
          </w:p>
        </w:tc>
      </w:tr>
    </w:tbl>
    <w:p>
      <w:pPr>
        <w:spacing w:after="80" w:before="0"/>
      </w:pPr>
    </w:p>
    <w:p>
      <w:pPr>
        <w:pStyle w:val="Heading1"/>
      </w:pPr>
      <w:r>
        <w:t>2. The Two Use Cases as Pipelines</w:t>
      </w:r>
    </w:p>
    <w:p>
      <w:pPr>
        <w:spacing w:after="120" w:before="0"/>
      </w:pPr>
      <w:r>
        <w:rPr>
          <w:rFonts w:ascii="Calibri" w:hAnsi="Calibri"/>
          <w:b w:val="0"/>
          <w:i w:val="0"/>
          <w:sz w:val="21"/>
        </w:rPr>
        <w:t>We ground the approach in the two use cases so it is concrete. Pipeline internals below are our current understanding and should be confirmed with the product team.</w:t>
      </w:r>
    </w:p>
    <w:p>
      <w:pPr>
        <w:pStyle w:val="Heading2"/>
      </w:pPr>
      <w:r>
        <w:t>2.1 APIX — Afni Performance Intelligence Index</w:t>
      </w:r>
    </w:p>
    <w:p>
      <w:pPr>
        <w:spacing w:after="120" w:before="0"/>
      </w:pPr>
      <w:r>
        <w:rPr>
          <w:rFonts w:ascii="Calibri" w:hAnsi="Calibri"/>
          <w:b w:val="0"/>
          <w:i w:val="0"/>
          <w:sz w:val="21"/>
        </w:rPr>
        <w:t>APIX turns AI-analysed call transcripts into a weekly, per-agent performance report: a composite score out of 100, key performance indicators (KPIs) across sales, retention and customer experience, a four-week trend, AI-generated coaching recommendations, and risk flags. It runs for multiple programs (Telesales and WCC) with different scoring criteria.</w:t>
      </w:r>
    </w:p>
    <w:p>
      <w:pPr>
        <w:spacing w:after="120" w:before="0"/>
      </w:pPr>
      <w:r>
        <w:rPr>
          <w:rFonts w:ascii="Calibri" w:hAnsi="Calibri"/>
          <w:b/>
          <w:i w:val="0"/>
          <w:sz w:val="21"/>
        </w:rPr>
        <w:t>Pipeline (sequential):</w:t>
      </w:r>
    </w:p>
    <w:p>
      <w:pPr>
        <w:spacing w:after="120" w:before="40"/>
        <w:shd w:val="clear" w:fill="F2F4F7"/>
      </w:pPr>
      <w:r>
        <w:rPr>
          <w:rFonts w:ascii="Consolas" w:hAnsi="Consolas"/>
          <w:color w:val="222A36"/>
          <w:sz w:val="17"/>
        </w:rPr>
        <w:t>call recording -&gt; speech-to-text transcript (+ metadata: agent, program, outcome)</w:t>
      </w:r>
      <w:r>
        <w:rPr>
          <w:rFonts w:ascii="Consolas" w:hAnsi="Consolas"/>
          <w:color w:val="222A36"/>
          <w:sz w:val="17"/>
        </w:rPr>
        <w:br/>
        <w:t xml:space="preserve">   -&gt; [1] transcript prep / segmentation</w:t>
      </w:r>
      <w:r>
        <w:rPr>
          <w:rFonts w:ascii="Consolas" w:hAnsi="Consolas"/>
          <w:color w:val="222A36"/>
          <w:sz w:val="17"/>
        </w:rPr>
        <w:br/>
        <w:t xml:space="preserve">   -&gt; [2] dimension-analysis agents (sales, customer experience, retention, compliance)</w:t>
      </w:r>
      <w:r>
        <w:rPr>
          <w:rFonts w:ascii="Consolas" w:hAnsi="Consolas"/>
          <w:color w:val="222A36"/>
          <w:sz w:val="17"/>
        </w:rPr>
        <w:br/>
        <w:t xml:space="preserve">   -&gt; [3] extraction agent (escalations, sentiment, sales outcomes)</w:t>
      </w:r>
      <w:r>
        <w:rPr>
          <w:rFonts w:ascii="Consolas" w:hAnsi="Consolas"/>
          <w:color w:val="222A36"/>
          <w:sz w:val="17"/>
        </w:rPr>
        <w:br/>
        <w:t xml:space="preserve">   -&gt; [4] scoring / aggregation into composite score /100 (program-weighted)</w:t>
      </w:r>
      <w:r>
        <w:rPr>
          <w:rFonts w:ascii="Consolas" w:hAnsi="Consolas"/>
          <w:color w:val="222A36"/>
          <w:sz w:val="17"/>
        </w:rPr>
        <w:br/>
        <w:t xml:space="preserve">   -&gt; [5] coaching-recommendation agent (practical steps + risk flags)</w:t>
      </w:r>
      <w:r>
        <w:rPr>
          <w:rFonts w:ascii="Consolas" w:hAnsi="Consolas"/>
          <w:color w:val="222A36"/>
          <w:sz w:val="17"/>
        </w:rPr>
        <w:br/>
        <w:t xml:space="preserve">   -&gt; results stored -&gt; APIX dashboard (managers &amp; coaches)</w:t>
      </w:r>
    </w:p>
    <w:p>
      <w:pPr>
        <w:spacing w:after="120" w:before="0"/>
      </w:pPr>
      <w:r>
        <w:rPr>
          <w:rFonts w:ascii="Calibri" w:hAnsi="Calibri"/>
          <w:b w:val="0"/>
          <w:i w:val="0"/>
          <w:sz w:val="21"/>
        </w:rPr>
        <w:t>Evaluation matters most here for groundedness (coaching must cite what was actually said), scoring agreement with a human quality reviewer, and consistency/fairness across agents and programs.</w:t>
      </w:r>
    </w:p>
    <w:p>
      <w:pPr>
        <w:pStyle w:val="Heading2"/>
      </w:pPr>
      <w:r>
        <w:t>2.2 Hiring Intelligence</w:t>
      </w:r>
    </w:p>
    <w:p>
      <w:pPr>
        <w:spacing w:after="120" w:before="0"/>
      </w:pPr>
      <w:r>
        <w:rPr>
          <w:rFonts w:ascii="Calibri" w:hAnsi="Calibri"/>
          <w:b w:val="0"/>
          <w:i w:val="0"/>
          <w:sz w:val="21"/>
        </w:rPr>
        <w:t>Hiring Intelligence supports high-volume recruiting: it parses and ranks résumés against a role, answers candidate questions, and produces a structured summary and fit score for a human recruiter, who decides.</w:t>
      </w:r>
    </w:p>
    <w:p>
      <w:pPr>
        <w:spacing w:after="120" w:before="0"/>
      </w:pPr>
      <w:r>
        <w:rPr>
          <w:rFonts w:ascii="Calibri" w:hAnsi="Calibri"/>
          <w:b/>
          <w:i w:val="0"/>
          <w:sz w:val="21"/>
        </w:rPr>
        <w:t>Pipeline (sequential):</w:t>
      </w:r>
    </w:p>
    <w:p>
      <w:pPr>
        <w:spacing w:after="120" w:before="40"/>
        <w:shd w:val="clear" w:fill="F2F4F7"/>
      </w:pPr>
      <w:r>
        <w:rPr>
          <w:rFonts w:ascii="Consolas" w:hAnsi="Consolas"/>
          <w:color w:val="222A36"/>
          <w:sz w:val="17"/>
        </w:rPr>
        <w:t>intake / router -&gt; résumé parse &amp; rank (RAG over job description + rubric)</w:t>
      </w:r>
      <w:r>
        <w:rPr>
          <w:rFonts w:ascii="Consolas" w:hAnsi="Consolas"/>
          <w:color w:val="222A36"/>
          <w:sz w:val="17"/>
        </w:rPr>
        <w:br/>
        <w:t xml:space="preserve">   -&gt; screening Q&amp;A (RAG over role / policy) -&gt; scoring &amp; summary -&gt; human recruiter decides</w:t>
      </w:r>
    </w:p>
    <w:p>
      <w:pPr>
        <w:spacing w:after="120" w:before="0"/>
      </w:pPr>
      <w:r>
        <w:rPr>
          <w:rFonts w:ascii="Calibri" w:hAnsi="Calibri"/>
          <w:b w:val="0"/>
          <w:i w:val="0"/>
          <w:sz w:val="21"/>
        </w:rPr>
        <w:t>It uses tools through MCP (Model Context Protocol) — the applicant tracking system (ATS), the requisition database, and scheduling. This is where tool-selection evaluation matters: did the agent call the right tool with the right inputs?</w:t>
      </w:r>
    </w:p>
    <w:tbl>
      <w:tblPr>
        <w:tblStyle w:val="TableGrid"/>
        <w:tblW w:type="auto" w:w="0"/>
        <w:tblLook w:firstColumn="1" w:firstRow="1" w:lastColumn="0" w:lastRow="0" w:noHBand="0" w:noVBand="1" w:val="04A0"/>
      </w:tblPr>
      <w:tblGrid>
        <w:gridCol w:w="9360"/>
      </w:tblGrid>
      <w:tr>
        <w:tc>
          <w:tcPr>
            <w:tcW w:type="dxa" w:w="9360"/>
            <w:shd w:val="clear" w:fill="E9F3F0"/>
          </w:tcPr>
          <w:p>
            <w:r>
              <w:rPr>
                <w:rFonts w:ascii="Calibri" w:hAnsi="Calibri"/>
                <w:b/>
                <w:color w:val="1E7A72"/>
                <w:sz w:val="21"/>
              </w:rPr>
              <w:t xml:space="preserve">Why these two together:  </w:t>
            </w:r>
            <w:r>
              <w:rPr>
                <w:rFonts w:ascii="Calibri" w:hAnsi="Calibri"/>
                <w:sz w:val="21"/>
              </w:rPr>
              <w:t>APIX exercises groundedness, structured scoring, writing quality and fairness; Hiring exercises tool selection, retrieval quality and fairness. Between them they cover every evaluation metric group, which is why the approach generalises to any future use case.</w:t>
            </w:r>
          </w:p>
        </w:tc>
      </w:tr>
    </w:tbl>
    <w:p>
      <w:pPr>
        <w:spacing w:after="80" w:before="0"/>
      </w:pPr>
    </w:p>
    <w:p>
      <w:pPr>
        <w:pStyle w:val="Heading1"/>
      </w:pPr>
      <w:r>
        <w:t>3. What Exists Today vs What Changes (As-Is / To-Be)</w:t>
      </w:r>
    </w:p>
    <w:p>
      <w:pPr>
        <w:spacing w:after="120" w:before="0"/>
      </w:pPr>
      <w:r>
        <w:rPr>
          <w:rFonts w:ascii="Calibri" w:hAnsi="Calibri"/>
          <w:b w:val="0"/>
          <w:i/>
          <w:sz w:val="21"/>
        </w:rPr>
        <w:t>The as-is column is our assumption until we audit the pipelines with the team. Every row is a discovery question, not a stated fact. We are adding an operational layer around working use cases, not rebuilding them.</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val="clear" w:fill="1F3A5F"/>
          </w:tcPr>
          <w:p>
            <w:pPr>
              <w:spacing w:after="40" w:before="40"/>
            </w:pPr>
            <w:r>
              <w:rPr>
                <w:rFonts w:ascii="Calibri" w:hAnsi="Calibri"/>
                <w:b/>
                <w:color w:val="FFFFFF"/>
                <w:sz w:val="19"/>
              </w:rPr>
              <w:t>Area</w:t>
            </w:r>
          </w:p>
        </w:tc>
        <w:tc>
          <w:tcPr>
            <w:tcW w:type="dxa" w:w="3168"/>
            <w:shd w:val="clear" w:fill="1F3A5F"/>
          </w:tcPr>
          <w:p>
            <w:pPr>
              <w:spacing w:after="40" w:before="40"/>
            </w:pPr>
            <w:r>
              <w:rPr>
                <w:rFonts w:ascii="Calibri" w:hAnsi="Calibri"/>
                <w:b/>
                <w:color w:val="FFFFFF"/>
                <w:sz w:val="19"/>
              </w:rPr>
              <w:t>As-is (to confirm in discovery)</w:t>
            </w:r>
          </w:p>
        </w:tc>
        <w:tc>
          <w:tcPr>
            <w:tcW w:type="dxa" w:w="2880"/>
            <w:shd w:val="clear" w:fill="1F3A5F"/>
          </w:tcPr>
          <w:p>
            <w:pPr>
              <w:spacing w:after="40" w:before="40"/>
            </w:pPr>
            <w:r>
              <w:rPr>
                <w:rFonts w:ascii="Calibri" w:hAnsi="Calibri"/>
                <w:b/>
                <w:color w:val="FFFFFF"/>
                <w:sz w:val="19"/>
              </w:rPr>
              <w:t>Target (to-be)</w:t>
            </w:r>
          </w:p>
        </w:tc>
        <w:tc>
          <w:tcPr>
            <w:tcW w:type="dxa" w:w="2304"/>
            <w:shd w:val="clear" w:fill="1F3A5F"/>
          </w:tcPr>
          <w:p>
            <w:pPr>
              <w:spacing w:after="40" w:before="40"/>
            </w:pPr>
            <w:r>
              <w:rPr>
                <w:rFonts w:ascii="Calibri" w:hAnsi="Calibri"/>
                <w:b/>
                <w:color w:val="FFFFFF"/>
                <w:sz w:val="19"/>
              </w:rPr>
              <w:t>Change needed</w:t>
            </w:r>
          </w:p>
        </w:tc>
      </w:tr>
      <w:tr>
        <w:tc>
          <w:tcPr>
            <w:tcW w:type="dxa" w:w="1728"/>
          </w:tcPr>
          <w:p>
            <w:pPr>
              <w:spacing w:after="40" w:before="40"/>
            </w:pPr>
            <w:r>
              <w:rPr>
                <w:rFonts w:ascii="Calibri" w:hAnsi="Calibri"/>
                <w:b/>
                <w:color w:val="1F3A5F"/>
                <w:sz w:val="17"/>
              </w:rPr>
              <w:t>Source control</w:t>
            </w:r>
          </w:p>
        </w:tc>
        <w:tc>
          <w:tcPr>
            <w:tcW w:type="dxa" w:w="3168"/>
          </w:tcPr>
          <w:p>
            <w:pPr>
              <w:spacing w:after="40" w:before="40"/>
            </w:pPr>
            <w:r>
              <w:rPr>
                <w:rFonts w:ascii="Calibri" w:hAnsi="Calibri"/>
                <w:sz w:val="17"/>
              </w:rPr>
              <w:t>code in repos; prompts possibly inline</w:t>
            </w:r>
          </w:p>
        </w:tc>
        <w:tc>
          <w:tcPr>
            <w:tcW w:type="dxa" w:w="2880"/>
          </w:tcPr>
          <w:p>
            <w:pPr>
              <w:spacing w:after="40" w:before="40"/>
            </w:pPr>
            <w:r>
              <w:rPr>
                <w:rFonts w:ascii="Calibri" w:hAnsi="Calibri"/>
                <w:sz w:val="17"/>
              </w:rPr>
              <w:t>monorepo; prompts/agents/evals versioned</w:t>
            </w:r>
          </w:p>
        </w:tc>
        <w:tc>
          <w:tcPr>
            <w:tcW w:type="dxa" w:w="2304"/>
          </w:tcPr>
          <w:p>
            <w:pPr>
              <w:spacing w:after="40" w:before="40"/>
            </w:pPr>
            <w:r>
              <w:rPr>
                <w:rFonts w:ascii="Calibri" w:hAnsi="Calibri"/>
                <w:sz w:val="17"/>
              </w:rPr>
              <w:t>move prompts &amp; agents into Git</w:t>
            </w:r>
          </w:p>
        </w:tc>
      </w:tr>
      <w:tr>
        <w:tc>
          <w:tcPr>
            <w:tcW w:type="dxa" w:w="1728"/>
            <w:shd w:val="clear" w:fill="EEF1F7"/>
          </w:tcPr>
          <w:p>
            <w:pPr>
              <w:spacing w:after="40" w:before="40"/>
            </w:pPr>
            <w:r>
              <w:rPr>
                <w:rFonts w:ascii="Calibri" w:hAnsi="Calibri"/>
                <w:b/>
                <w:color w:val="1F3A5F"/>
                <w:sz w:val="17"/>
              </w:rPr>
              <w:t>Prompts</w:t>
            </w:r>
          </w:p>
        </w:tc>
        <w:tc>
          <w:tcPr>
            <w:tcW w:type="dxa" w:w="3168"/>
            <w:shd w:val="clear" w:fill="EEF1F7"/>
          </w:tcPr>
          <w:p>
            <w:pPr>
              <w:spacing w:after="40" w:before="40"/>
            </w:pPr>
            <w:r>
              <w:rPr>
                <w:rFonts w:ascii="Calibri" w:hAnsi="Calibri"/>
                <w:sz w:val="17"/>
              </w:rPr>
              <w:t>edited in code or a portal, untracked</w:t>
            </w:r>
          </w:p>
        </w:tc>
        <w:tc>
          <w:tcPr>
            <w:tcW w:type="dxa" w:w="2880"/>
            <w:shd w:val="clear" w:fill="EEF1F7"/>
          </w:tcPr>
          <w:p>
            <w:pPr>
              <w:spacing w:after="40" w:before="40"/>
            </w:pPr>
            <w:r>
              <w:rPr>
                <w:rFonts w:ascii="Calibri" w:hAnsi="Calibri"/>
                <w:sz w:val="17"/>
              </w:rPr>
              <w:t>Git source of truth + registry, reviewed</w:t>
            </w:r>
          </w:p>
        </w:tc>
        <w:tc>
          <w:tcPr>
            <w:tcW w:type="dxa" w:w="2304"/>
            <w:shd w:val="clear" w:fill="EEF1F7"/>
          </w:tcPr>
          <w:p>
            <w:pPr>
              <w:spacing w:after="40" w:before="40"/>
            </w:pPr>
            <w:r>
              <w:rPr>
                <w:rFonts w:ascii="Calibri" w:hAnsi="Calibri"/>
                <w:sz w:val="17"/>
              </w:rPr>
              <w:t>introduce prompt files + review</w:t>
            </w:r>
          </w:p>
        </w:tc>
      </w:tr>
      <w:tr>
        <w:tc>
          <w:tcPr>
            <w:tcW w:type="dxa" w:w="1728"/>
          </w:tcPr>
          <w:p>
            <w:pPr>
              <w:spacing w:after="40" w:before="40"/>
            </w:pPr>
            <w:r>
              <w:rPr>
                <w:rFonts w:ascii="Calibri" w:hAnsi="Calibri"/>
                <w:b/>
                <w:color w:val="1F3A5F"/>
                <w:sz w:val="17"/>
              </w:rPr>
              <w:t>Models</w:t>
            </w:r>
          </w:p>
        </w:tc>
        <w:tc>
          <w:tcPr>
            <w:tcW w:type="dxa" w:w="3168"/>
          </w:tcPr>
          <w:p>
            <w:pPr>
              <w:spacing w:after="40" w:before="40"/>
            </w:pPr>
            <w:r>
              <w:rPr>
                <w:rFonts w:ascii="Calibri" w:hAnsi="Calibri"/>
                <w:sz w:val="17"/>
              </w:rPr>
              <w:t>model names in code</w:t>
            </w:r>
          </w:p>
        </w:tc>
        <w:tc>
          <w:tcPr>
            <w:tcW w:type="dxa" w:w="2880"/>
          </w:tcPr>
          <w:p>
            <w:pPr>
              <w:spacing w:after="40" w:before="40"/>
            </w:pPr>
            <w:r>
              <w:rPr>
                <w:rFonts w:ascii="Calibri" w:hAnsi="Calibri"/>
                <w:sz w:val="17"/>
              </w:rPr>
              <w:t>task-aliases in config; swap via change</w:t>
            </w:r>
          </w:p>
        </w:tc>
        <w:tc>
          <w:tcPr>
            <w:tcW w:type="dxa" w:w="2304"/>
          </w:tcPr>
          <w:p>
            <w:pPr>
              <w:spacing w:after="40" w:before="40"/>
            </w:pPr>
            <w:r>
              <w:rPr>
                <w:rFonts w:ascii="Calibri" w:hAnsi="Calibri"/>
                <w:sz w:val="17"/>
              </w:rPr>
              <w:t>config-driven model choice</w:t>
            </w:r>
          </w:p>
        </w:tc>
      </w:tr>
      <w:tr>
        <w:tc>
          <w:tcPr>
            <w:tcW w:type="dxa" w:w="1728"/>
            <w:shd w:val="clear" w:fill="EEF1F7"/>
          </w:tcPr>
          <w:p>
            <w:pPr>
              <w:spacing w:after="40" w:before="40"/>
            </w:pPr>
            <w:r>
              <w:rPr>
                <w:rFonts w:ascii="Calibri" w:hAnsi="Calibri"/>
                <w:b/>
                <w:color w:val="1F3A5F"/>
                <w:sz w:val="17"/>
              </w:rPr>
              <w:t>Tracing</w:t>
            </w:r>
          </w:p>
        </w:tc>
        <w:tc>
          <w:tcPr>
            <w:tcW w:type="dxa" w:w="3168"/>
            <w:shd w:val="clear" w:fill="EEF1F7"/>
          </w:tcPr>
          <w:p>
            <w:pPr>
              <w:spacing w:after="40" w:before="40"/>
            </w:pPr>
            <w:r>
              <w:rPr>
                <w:rFonts w:ascii="Calibri" w:hAnsi="Calibri"/>
                <w:sz w:val="17"/>
              </w:rPr>
              <w:t>app logs; no per-step detail</w:t>
            </w:r>
          </w:p>
        </w:tc>
        <w:tc>
          <w:tcPr>
            <w:tcW w:type="dxa" w:w="2880"/>
            <w:shd w:val="clear" w:fill="EEF1F7"/>
          </w:tcPr>
          <w:p>
            <w:pPr>
              <w:spacing w:after="40" w:before="40"/>
            </w:pPr>
            <w:r>
              <w:rPr>
                <w:rFonts w:ascii="Calibri" w:hAnsi="Calibri"/>
                <w:sz w:val="17"/>
              </w:rPr>
              <w:t>full trace tree (agent/model/tool spans)</w:t>
            </w:r>
          </w:p>
        </w:tc>
        <w:tc>
          <w:tcPr>
            <w:tcW w:type="dxa" w:w="2304"/>
            <w:shd w:val="clear" w:fill="EEF1F7"/>
          </w:tcPr>
          <w:p>
            <w:pPr>
              <w:spacing w:after="40" w:before="40"/>
            </w:pPr>
            <w:r>
              <w:rPr>
                <w:rFonts w:ascii="Calibri" w:hAnsi="Calibri"/>
                <w:sz w:val="17"/>
              </w:rPr>
              <w:t>add OpenTelemetry tracing</w:t>
            </w:r>
          </w:p>
        </w:tc>
      </w:tr>
      <w:tr>
        <w:tc>
          <w:tcPr>
            <w:tcW w:type="dxa" w:w="1728"/>
          </w:tcPr>
          <w:p>
            <w:pPr>
              <w:spacing w:after="40" w:before="40"/>
            </w:pPr>
            <w:r>
              <w:rPr>
                <w:rFonts w:ascii="Calibri" w:hAnsi="Calibri"/>
                <w:b/>
                <w:color w:val="1F3A5F"/>
                <w:sz w:val="17"/>
              </w:rPr>
              <w:t>Evaluation</w:t>
            </w:r>
          </w:p>
        </w:tc>
        <w:tc>
          <w:tcPr>
            <w:tcW w:type="dxa" w:w="3168"/>
          </w:tcPr>
          <w:p>
            <w:pPr>
              <w:spacing w:after="40" w:before="40"/>
            </w:pPr>
            <w:r>
              <w:rPr>
                <w:rFonts w:ascii="Calibri" w:hAnsi="Calibri"/>
                <w:sz w:val="17"/>
              </w:rPr>
              <w:t>manual / spot-check; no gate</w:t>
            </w:r>
          </w:p>
        </w:tc>
        <w:tc>
          <w:tcPr>
            <w:tcW w:type="dxa" w:w="2880"/>
          </w:tcPr>
          <w:p>
            <w:pPr>
              <w:spacing w:after="40" w:before="40"/>
            </w:pPr>
            <w:r>
              <w:rPr>
                <w:rFonts w:ascii="Calibri" w:hAnsi="Calibri"/>
                <w:sz w:val="17"/>
              </w:rPr>
              <w:t>golden datasets + automated scoring + CI gate</w:t>
            </w:r>
          </w:p>
        </w:tc>
        <w:tc>
          <w:tcPr>
            <w:tcW w:type="dxa" w:w="2304"/>
          </w:tcPr>
          <w:p>
            <w:pPr>
              <w:spacing w:after="40" w:before="40"/>
            </w:pPr>
            <w:r>
              <w:rPr>
                <w:rFonts w:ascii="Calibri" w:hAnsi="Calibri"/>
                <w:sz w:val="17"/>
              </w:rPr>
              <w:t>build the evaluation framework</w:t>
            </w:r>
          </w:p>
        </w:tc>
      </w:tr>
      <w:tr>
        <w:tc>
          <w:tcPr>
            <w:tcW w:type="dxa" w:w="1728"/>
            <w:shd w:val="clear" w:fill="EEF1F7"/>
          </w:tcPr>
          <w:p>
            <w:pPr>
              <w:spacing w:after="40" w:before="40"/>
            </w:pPr>
            <w:r>
              <w:rPr>
                <w:rFonts w:ascii="Calibri" w:hAnsi="Calibri"/>
                <w:b/>
                <w:color w:val="1F3A5F"/>
                <w:sz w:val="17"/>
              </w:rPr>
              <w:t>Data / RAG</w:t>
            </w:r>
          </w:p>
        </w:tc>
        <w:tc>
          <w:tcPr>
            <w:tcW w:type="dxa" w:w="3168"/>
            <w:shd w:val="clear" w:fill="EEF1F7"/>
          </w:tcPr>
          <w:p>
            <w:pPr>
              <w:spacing w:after="40" w:before="40"/>
            </w:pPr>
            <w:r>
              <w:rPr>
                <w:rFonts w:ascii="Calibri" w:hAnsi="Calibri"/>
                <w:sz w:val="17"/>
              </w:rPr>
              <w:t>ad-hoc ingestion</w:t>
            </w:r>
          </w:p>
        </w:tc>
        <w:tc>
          <w:tcPr>
            <w:tcW w:type="dxa" w:w="2880"/>
            <w:shd w:val="clear" w:fill="EEF1F7"/>
          </w:tcPr>
          <w:p>
            <w:pPr>
              <w:spacing w:after="40" w:before="40"/>
            </w:pPr>
            <w:r>
              <w:rPr>
                <w:rFonts w:ascii="Calibri" w:hAnsi="Calibri"/>
                <w:sz w:val="17"/>
              </w:rPr>
              <w:t>managed ingestion + scheduled refresh</w:t>
            </w:r>
          </w:p>
        </w:tc>
        <w:tc>
          <w:tcPr>
            <w:tcW w:type="dxa" w:w="2304"/>
            <w:shd w:val="clear" w:fill="EEF1F7"/>
          </w:tcPr>
          <w:p>
            <w:pPr>
              <w:spacing w:after="40" w:before="40"/>
            </w:pPr>
            <w:r>
              <w:rPr>
                <w:rFonts w:ascii="Calibri" w:hAnsi="Calibri"/>
                <w:sz w:val="17"/>
              </w:rPr>
              <w:t>standardise the pipeline</w:t>
            </w:r>
          </w:p>
        </w:tc>
      </w:tr>
      <w:tr>
        <w:tc>
          <w:tcPr>
            <w:tcW w:type="dxa" w:w="1728"/>
          </w:tcPr>
          <w:p>
            <w:pPr>
              <w:spacing w:after="40" w:before="40"/>
            </w:pPr>
            <w:r>
              <w:rPr>
                <w:rFonts w:ascii="Calibri" w:hAnsi="Calibri"/>
                <w:b/>
                <w:color w:val="1F3A5F"/>
                <w:sz w:val="17"/>
              </w:rPr>
              <w:t>Guardrails</w:t>
            </w:r>
          </w:p>
        </w:tc>
        <w:tc>
          <w:tcPr>
            <w:tcW w:type="dxa" w:w="3168"/>
          </w:tcPr>
          <w:p>
            <w:pPr>
              <w:spacing w:after="40" w:before="40"/>
            </w:pPr>
            <w:r>
              <w:rPr>
                <w:rFonts w:ascii="Calibri" w:hAnsi="Calibri"/>
                <w:sz w:val="17"/>
              </w:rPr>
              <w:t>minimal</w:t>
            </w:r>
          </w:p>
        </w:tc>
        <w:tc>
          <w:tcPr>
            <w:tcW w:type="dxa" w:w="2880"/>
          </w:tcPr>
          <w:p>
            <w:pPr>
              <w:spacing w:after="40" w:before="40"/>
            </w:pPr>
            <w:r>
              <w:rPr>
                <w:rFonts w:ascii="Calibri" w:hAnsi="Calibri"/>
                <w:sz w:val="17"/>
              </w:rPr>
              <w:t>safety + personal-data + human review</w:t>
            </w:r>
          </w:p>
        </w:tc>
        <w:tc>
          <w:tcPr>
            <w:tcW w:type="dxa" w:w="2304"/>
          </w:tcPr>
          <w:p>
            <w:pPr>
              <w:spacing w:after="40" w:before="40"/>
            </w:pPr>
            <w:r>
              <w:rPr>
                <w:rFonts w:ascii="Calibri" w:hAnsi="Calibri"/>
                <w:sz w:val="17"/>
              </w:rPr>
              <w:t>add Content Safety + checks</w:t>
            </w:r>
          </w:p>
        </w:tc>
      </w:tr>
      <w:tr>
        <w:tc>
          <w:tcPr>
            <w:tcW w:type="dxa" w:w="1728"/>
            <w:shd w:val="clear" w:fill="EEF1F7"/>
          </w:tcPr>
          <w:p>
            <w:pPr>
              <w:spacing w:after="40" w:before="40"/>
            </w:pPr>
            <w:r>
              <w:rPr>
                <w:rFonts w:ascii="Calibri" w:hAnsi="Calibri"/>
                <w:b/>
                <w:color w:val="1F3A5F"/>
                <w:sz w:val="17"/>
              </w:rPr>
              <w:t>Deploy</w:t>
            </w:r>
          </w:p>
        </w:tc>
        <w:tc>
          <w:tcPr>
            <w:tcW w:type="dxa" w:w="3168"/>
            <w:shd w:val="clear" w:fill="EEF1F7"/>
          </w:tcPr>
          <w:p>
            <w:pPr>
              <w:spacing w:after="40" w:before="40"/>
            </w:pPr>
            <w:r>
              <w:rPr>
                <w:rFonts w:ascii="Calibri" w:hAnsi="Calibri"/>
                <w:sz w:val="17"/>
              </w:rPr>
              <w:t>manual</w:t>
            </w:r>
          </w:p>
        </w:tc>
        <w:tc>
          <w:tcPr>
            <w:tcW w:type="dxa" w:w="2880"/>
            <w:shd w:val="clear" w:fill="EEF1F7"/>
          </w:tcPr>
          <w:p>
            <w:pPr>
              <w:spacing w:after="40" w:before="40"/>
            </w:pPr>
            <w:r>
              <w:rPr>
                <w:rFonts w:ascii="Calibri" w:hAnsi="Calibri"/>
                <w:sz w:val="17"/>
              </w:rPr>
              <w:t>automated, gated, gradual, reversible</w:t>
            </w:r>
          </w:p>
        </w:tc>
        <w:tc>
          <w:tcPr>
            <w:tcW w:type="dxa" w:w="2304"/>
            <w:shd w:val="clear" w:fill="EEF1F7"/>
          </w:tcPr>
          <w:p>
            <w:pPr>
              <w:spacing w:after="40" w:before="40"/>
            </w:pPr>
            <w:r>
              <w:rPr>
                <w:rFonts w:ascii="Calibri" w:hAnsi="Calibri"/>
                <w:sz w:val="17"/>
              </w:rPr>
              <w:t>GitHub Actions + gated environments</w:t>
            </w:r>
          </w:p>
        </w:tc>
      </w:tr>
      <w:tr>
        <w:tc>
          <w:tcPr>
            <w:tcW w:type="dxa" w:w="1728"/>
          </w:tcPr>
          <w:p>
            <w:pPr>
              <w:spacing w:after="40" w:before="40"/>
            </w:pPr>
            <w:r>
              <w:rPr>
                <w:rFonts w:ascii="Calibri" w:hAnsi="Calibri"/>
                <w:b/>
                <w:color w:val="1F3A5F"/>
                <w:sz w:val="17"/>
              </w:rPr>
              <w:t>Hosting</w:t>
            </w:r>
          </w:p>
        </w:tc>
        <w:tc>
          <w:tcPr>
            <w:tcW w:type="dxa" w:w="3168"/>
          </w:tcPr>
          <w:p>
            <w:pPr>
              <w:spacing w:after="40" w:before="40"/>
            </w:pPr>
            <w:r>
              <w:rPr>
                <w:rFonts w:ascii="Calibri" w:hAnsi="Calibri"/>
                <w:sz w:val="17"/>
              </w:rPr>
              <w:t>to confirm</w:t>
            </w:r>
          </w:p>
        </w:tc>
        <w:tc>
          <w:tcPr>
            <w:tcW w:type="dxa" w:w="2880"/>
          </w:tcPr>
          <w:p>
            <w:pPr>
              <w:spacing w:after="40" w:before="40"/>
            </w:pPr>
            <w:r>
              <w:rPr>
                <w:rFonts w:ascii="Calibri" w:hAnsi="Calibri"/>
                <w:sz w:val="17"/>
              </w:rPr>
              <w:t>Azure Container Apps (+ Functions)</w:t>
            </w:r>
          </w:p>
        </w:tc>
        <w:tc>
          <w:tcPr>
            <w:tcW w:type="dxa" w:w="2304"/>
          </w:tcPr>
          <w:p>
            <w:pPr>
              <w:spacing w:after="40" w:before="40"/>
            </w:pPr>
            <w:r>
              <w:rPr>
                <w:rFonts w:ascii="Calibri" w:hAnsi="Calibri"/>
                <w:sz w:val="17"/>
              </w:rPr>
              <w:t>containerise the pipeline steps</w:t>
            </w:r>
          </w:p>
        </w:tc>
      </w:tr>
    </w:tbl>
    <w:p>
      <w:pPr>
        <w:spacing w:after="80" w:before="0"/>
      </w:pPr>
    </w:p>
    <w:p>
      <w:pPr>
        <w:pStyle w:val="Heading1"/>
      </w:pPr>
      <w:r>
        <w:t>4. The Activities Involved</w:t>
      </w:r>
    </w:p>
    <w:p>
      <w:pPr>
        <w:spacing w:after="120" w:before="0"/>
      </w:pPr>
      <w:r>
        <w:rPr>
          <w:rFonts w:ascii="Calibri" w:hAnsi="Calibri"/>
          <w:b w:val="0"/>
          <w:i w:val="0"/>
          <w:sz w:val="21"/>
        </w:rPr>
        <w:t>The work is organised into workstreams. This is the order of work and its dependencies — not a schedule. No dates are proposed at this stage.</w:t>
      </w:r>
    </w:p>
    <w:p>
      <w:pPr>
        <w:pStyle w:val="Heading3"/>
      </w:pPr>
      <w:r>
        <w:t>A. Discovery &amp; current-state assessment</w:t>
      </w:r>
    </w:p>
    <w:p>
      <w:pPr>
        <w:spacing w:after="60" w:before="0"/>
      </w:pPr>
      <w:r>
        <w:rPr>
          <w:rFonts w:ascii="Calibri" w:hAnsi="Calibri"/>
          <w:b w:val="0"/>
          <w:i/>
          <w:color w:val="505A6A"/>
          <w:sz w:val="21"/>
        </w:rPr>
        <w:t>Understand what exists before changing anything.</w:t>
      </w:r>
    </w:p>
    <w:p>
      <w:pPr>
        <w:pStyle w:val="ListBullet"/>
        <w:spacing w:after="60"/>
      </w:pPr>
      <w:r>
        <w:rPr>
          <w:rFonts w:ascii="Calibri" w:hAnsi="Calibri"/>
          <w:sz w:val="21"/>
        </w:rPr>
        <w:t>Inventory the APIX and Hiring pipelines: agents, prompts, models, tools, data sources.</w:t>
      </w:r>
    </w:p>
    <w:p>
      <w:pPr>
        <w:pStyle w:val="ListBullet"/>
        <w:spacing w:after="60"/>
      </w:pPr>
      <w:r>
        <w:rPr>
          <w:rFonts w:ascii="Calibri" w:hAnsi="Calibri"/>
          <w:sz w:val="21"/>
        </w:rPr>
        <w:t>Review current logging and any evaluation in place.</w:t>
      </w:r>
    </w:p>
    <w:p>
      <w:pPr>
        <w:pStyle w:val="ListBullet"/>
        <w:spacing w:after="60"/>
      </w:pPr>
      <w:r>
        <w:rPr>
          <w:rFonts w:ascii="Calibri" w:hAnsi="Calibri"/>
          <w:sz w:val="21"/>
        </w:rPr>
        <w:t>Confirm the as-is table and identify the real gaps.</w:t>
      </w:r>
    </w:p>
    <w:p>
      <w:pPr>
        <w:pStyle w:val="Heading3"/>
      </w:pPr>
      <w:r>
        <w:t>B. Foundation</w:t>
      </w:r>
    </w:p>
    <w:p>
      <w:pPr>
        <w:spacing w:after="60" w:before="0"/>
      </w:pPr>
      <w:r>
        <w:rPr>
          <w:rFonts w:ascii="Calibri" w:hAnsi="Calibri"/>
          <w:b w:val="0"/>
          <w:i/>
          <w:color w:val="505A6A"/>
          <w:sz w:val="21"/>
        </w:rPr>
        <w:t>Stand up the shared base the pipelines will run on.</w:t>
      </w:r>
    </w:p>
    <w:p>
      <w:pPr>
        <w:pStyle w:val="ListBullet"/>
        <w:spacing w:after="60"/>
      </w:pPr>
      <w:r>
        <w:rPr>
          <w:rFonts w:ascii="Calibri" w:hAnsi="Calibri"/>
          <w:sz w:val="21"/>
        </w:rPr>
        <w:t>GitHub repository and folder structure (/prompts, /agents, /evals, /src, /pipelines, /infra, /dashboards).</w:t>
      </w:r>
    </w:p>
    <w:p>
      <w:pPr>
        <w:pStyle w:val="ListBullet"/>
        <w:spacing w:after="60"/>
      </w:pPr>
      <w:r>
        <w:rPr>
          <w:rFonts w:ascii="Calibri" w:hAnsi="Calibri"/>
          <w:sz w:val="21"/>
        </w:rPr>
        <w:t>Azure landing zone: identity (Entra ID), secrets (Key Vault), gateway (API Management), model deployments.</w:t>
      </w:r>
    </w:p>
    <w:p>
      <w:pPr>
        <w:pStyle w:val="Heading3"/>
      </w:pPr>
      <w:r>
        <w:t>C. Instrumentation &amp; observability</w:t>
      </w:r>
    </w:p>
    <w:p>
      <w:pPr>
        <w:spacing w:after="60" w:before="0"/>
      </w:pPr>
      <w:r>
        <w:rPr>
          <w:rFonts w:ascii="Calibri" w:hAnsi="Calibri"/>
          <w:b w:val="0"/>
          <w:i/>
          <w:color w:val="505A6A"/>
          <w:sz w:val="21"/>
        </w:rPr>
        <w:t>Make every step of every request visible.</w:t>
      </w:r>
    </w:p>
    <w:p>
      <w:pPr>
        <w:pStyle w:val="ListBullet"/>
        <w:spacing w:after="60"/>
      </w:pPr>
      <w:r>
        <w:rPr>
          <w:rFonts w:ascii="Calibri" w:hAnsi="Calibri"/>
          <w:sz w:val="21"/>
        </w:rPr>
        <w:t>Add tracing (OpenTelemetry) to both pipelines: agent, model-call and tool-call spans.</w:t>
      </w:r>
    </w:p>
    <w:p>
      <w:pPr>
        <w:pStyle w:val="ListBullet"/>
        <w:spacing w:after="60"/>
      </w:pPr>
      <w:r>
        <w:rPr>
          <w:rFonts w:ascii="Calibri" w:hAnsi="Calibri"/>
          <w:sz w:val="21"/>
        </w:rPr>
        <w:t>Stand up Azure Application Insights (system of record) and self-hosted Langfuse (LLM-specific view).</w:t>
      </w:r>
    </w:p>
    <w:p>
      <w:pPr>
        <w:pStyle w:val="ListBullet"/>
        <w:spacing w:after="60"/>
      </w:pPr>
      <w:r>
        <w:rPr>
          <w:rFonts w:ascii="Calibri" w:hAnsi="Calibri"/>
          <w:sz w:val="21"/>
        </w:rPr>
        <w:t>Define exactly what is captured per request, model call, tool call, and session (see section 5).</w:t>
      </w:r>
    </w:p>
    <w:p>
      <w:pPr>
        <w:pStyle w:val="Heading3"/>
      </w:pPr>
      <w:r>
        <w:t>D. Evaluation framework  (priority — runs early and continuously)</w:t>
      </w:r>
    </w:p>
    <w:p>
      <w:pPr>
        <w:spacing w:after="60" w:before="0"/>
      </w:pPr>
      <w:r>
        <w:rPr>
          <w:rFonts w:ascii="Calibri" w:hAnsi="Calibri"/>
          <w:b w:val="0"/>
          <w:i/>
          <w:color w:val="505A6A"/>
          <w:sz w:val="21"/>
        </w:rPr>
        <w:t>Measure quality and stop bad changes.</w:t>
      </w:r>
    </w:p>
    <w:p>
      <w:pPr>
        <w:pStyle w:val="ListBullet"/>
        <w:spacing w:after="60"/>
      </w:pPr>
      <w:r>
        <w:rPr>
          <w:rFonts w:ascii="Calibri" w:hAnsi="Calibri"/>
          <w:sz w:val="21"/>
        </w:rPr>
        <w:t>Build golden datasets per use case and per program (Telesales and WCC differ).</w:t>
      </w:r>
    </w:p>
    <w:p>
      <w:pPr>
        <w:pStyle w:val="ListBullet"/>
        <w:spacing w:after="60"/>
      </w:pPr>
      <w:r>
        <w:rPr>
          <w:rFonts w:ascii="Calibri" w:hAnsi="Calibri"/>
          <w:sz w:val="21"/>
        </w:rPr>
        <w:t>Implement evaluators: Ragas and DeepEval for retrieval and writing quality; custom Python for tool selection and scoring.</w:t>
      </w:r>
    </w:p>
    <w:p>
      <w:pPr>
        <w:pStyle w:val="ListBullet"/>
        <w:spacing w:after="60"/>
      </w:pPr>
      <w:r>
        <w:rPr>
          <w:rFonts w:ascii="Calibri" w:hAnsi="Calibri"/>
          <w:sz w:val="21"/>
        </w:rPr>
        <w:t>Wire an automated quality gate into the release pipeline; add online sampling and human review (see section 6).</w:t>
      </w:r>
    </w:p>
    <w:p>
      <w:pPr>
        <w:pStyle w:val="Heading3"/>
      </w:pPr>
      <w:r>
        <w:t>E. Prompt &amp; model management</w:t>
      </w:r>
    </w:p>
    <w:p>
      <w:pPr>
        <w:spacing w:after="60" w:before="0"/>
      </w:pPr>
      <w:r>
        <w:rPr>
          <w:rFonts w:ascii="Calibri" w:hAnsi="Calibri"/>
          <w:b w:val="0"/>
          <w:i/>
          <w:color w:val="505A6A"/>
          <w:sz w:val="21"/>
        </w:rPr>
        <w:t>Treat prompts and model choices as reviewed, testable configuration.</w:t>
      </w:r>
    </w:p>
    <w:p>
      <w:pPr>
        <w:pStyle w:val="ListBullet"/>
        <w:spacing w:after="60"/>
      </w:pPr>
      <w:r>
        <w:rPr>
          <w:rFonts w:ascii="Calibri" w:hAnsi="Calibri"/>
          <w:sz w:val="21"/>
        </w:rPr>
        <w:t>Move prompts to Git with a runtime registry (labels for production and staging).</w:t>
      </w:r>
    </w:p>
    <w:p>
      <w:pPr>
        <w:pStyle w:val="ListBullet"/>
        <w:spacing w:after="60"/>
      </w:pPr>
      <w:r>
        <w:rPr>
          <w:rFonts w:ascii="Calibri" w:hAnsi="Calibri"/>
          <w:sz w:val="21"/>
        </w:rPr>
        <w:t>Introduce model task-aliases so no model name is hard-coded; any change goes through the quality gate.</w:t>
      </w:r>
    </w:p>
    <w:p>
      <w:pPr>
        <w:pStyle w:val="Heading3"/>
      </w:pPr>
      <w:r>
        <w:t>F. CI/CD &amp; release</w:t>
      </w:r>
    </w:p>
    <w:p>
      <w:pPr>
        <w:spacing w:after="60" w:before="0"/>
      </w:pPr>
      <w:r>
        <w:rPr>
          <w:rFonts w:ascii="Calibri" w:hAnsi="Calibri"/>
          <w:b w:val="0"/>
          <w:i/>
          <w:color w:val="505A6A"/>
          <w:sz w:val="21"/>
        </w:rPr>
        <w:t>Ship changes safely and reversibly.</w:t>
      </w:r>
    </w:p>
    <w:p>
      <w:pPr>
        <w:pStyle w:val="ListBullet"/>
        <w:spacing w:after="60"/>
      </w:pPr>
      <w:r>
        <w:rPr>
          <w:rFonts w:ascii="Calibri" w:hAnsi="Calibri"/>
          <w:sz w:val="21"/>
        </w:rPr>
        <w:t>GitHub Actions pipelines with federated login to Azure (no stored keys).</w:t>
      </w:r>
    </w:p>
    <w:p>
      <w:pPr>
        <w:pStyle w:val="ListBullet"/>
        <w:spacing w:after="60"/>
      </w:pPr>
      <w:r>
        <w:rPr>
          <w:rFonts w:ascii="Calibri" w:hAnsi="Calibri"/>
          <w:sz w:val="21"/>
        </w:rPr>
        <w:t>Gated environments (dev, test, production); gradual (canary) release; automatic rollback.</w:t>
      </w:r>
    </w:p>
    <w:p>
      <w:pPr>
        <w:pStyle w:val="Heading3"/>
      </w:pPr>
      <w:r>
        <w:t>G. Data &amp; knowledge pipelines</w:t>
      </w:r>
    </w:p>
    <w:p>
      <w:pPr>
        <w:spacing w:after="60" w:before="0"/>
      </w:pPr>
      <w:r>
        <w:rPr>
          <w:rFonts w:ascii="Calibri" w:hAnsi="Calibri"/>
          <w:b w:val="0"/>
          <w:i/>
          <w:color w:val="505A6A"/>
          <w:sz w:val="21"/>
        </w:rPr>
        <w:t>Feed answers from our own data, kept fresh.</w:t>
      </w:r>
    </w:p>
    <w:p>
      <w:pPr>
        <w:pStyle w:val="ListBullet"/>
        <w:spacing w:after="60"/>
      </w:pPr>
      <w:r>
        <w:rPr>
          <w:rFonts w:ascii="Calibri" w:hAnsi="Calibri"/>
          <w:sz w:val="21"/>
        </w:rPr>
        <w:t>Hiring retrieval ingestion (job descriptions, rubrics, policy).</w:t>
      </w:r>
    </w:p>
    <w:p>
      <w:pPr>
        <w:pStyle w:val="ListBullet"/>
        <w:spacing w:after="60"/>
      </w:pPr>
      <w:r>
        <w:rPr>
          <w:rFonts w:ascii="Calibri" w:hAnsi="Calibri"/>
          <w:sz w:val="21"/>
        </w:rPr>
        <w:t>APIX transcript and metadata flow; scheduled and change-driven refresh.</w:t>
      </w:r>
    </w:p>
    <w:p>
      <w:pPr>
        <w:pStyle w:val="Heading3"/>
      </w:pPr>
      <w:r>
        <w:t>H. Guardrails &amp; governance</w:t>
      </w:r>
    </w:p>
    <w:p>
      <w:pPr>
        <w:spacing w:after="60" w:before="0"/>
      </w:pPr>
      <w:r>
        <w:rPr>
          <w:rFonts w:ascii="Calibri" w:hAnsi="Calibri"/>
          <w:b w:val="0"/>
          <w:i/>
          <w:color w:val="505A6A"/>
          <w:sz w:val="21"/>
        </w:rPr>
        <w:t>Keep it safe, compliant, and fair.</w:t>
      </w:r>
    </w:p>
    <w:p>
      <w:pPr>
        <w:pStyle w:val="ListBullet"/>
        <w:spacing w:after="60"/>
      </w:pPr>
      <w:r>
        <w:rPr>
          <w:rFonts w:ascii="Calibri" w:hAnsi="Calibri"/>
          <w:sz w:val="21"/>
        </w:rPr>
        <w:t>Content Safety and personal-data (PII) handling; fairness checks for hiring ranking and APIX consistency.</w:t>
      </w:r>
    </w:p>
    <w:p>
      <w:pPr>
        <w:pStyle w:val="ListBullet"/>
        <w:spacing w:after="60"/>
      </w:pPr>
      <w:r>
        <w:rPr>
          <w:rFonts w:ascii="Calibri" w:hAnsi="Calibri"/>
          <w:sz w:val="21"/>
        </w:rPr>
        <w:t>Human-in-the-loop for consequential outputs.</w:t>
      </w:r>
    </w:p>
    <w:p>
      <w:pPr>
        <w:pStyle w:val="Heading3"/>
      </w:pPr>
      <w:r>
        <w:t>I. Feedback &amp; improvement loop</w:t>
      </w:r>
    </w:p>
    <w:p>
      <w:pPr>
        <w:spacing w:after="60" w:before="0"/>
      </w:pPr>
      <w:r>
        <w:rPr>
          <w:rFonts w:ascii="Calibri" w:hAnsi="Calibri"/>
          <w:b w:val="0"/>
          <w:i/>
          <w:color w:val="505A6A"/>
          <w:sz w:val="21"/>
        </w:rPr>
        <w:t>Turn real usage into steady improvement.</w:t>
      </w:r>
    </w:p>
    <w:p>
      <w:pPr>
        <w:pStyle w:val="ListBullet"/>
        <w:spacing w:after="60"/>
      </w:pPr>
      <w:r>
        <w:rPr>
          <w:rFonts w:ascii="Calibri" w:hAnsi="Calibri"/>
          <w:sz w:val="21"/>
        </w:rPr>
        <w:t>Capture coach and recruiter feedback; analytics dashboards.</w:t>
      </w:r>
    </w:p>
    <w:p>
      <w:pPr>
        <w:pStyle w:val="ListBullet"/>
        <w:spacing w:after="60"/>
      </w:pPr>
      <w:r>
        <w:rPr>
          <w:rFonts w:ascii="Calibri" w:hAnsi="Calibri"/>
          <w:sz w:val="21"/>
        </w:rPr>
        <w:t>Triage weak results, add them to the golden datasets, fix, re-evaluate, and ship.</w:t>
      </w:r>
    </w:p>
    <w:p>
      <w:pPr>
        <w:spacing w:after="120" w:before="0"/>
      </w:pPr>
      <w:r>
        <w:rPr>
          <w:rFonts w:ascii="Calibri" w:hAnsi="Calibri"/>
          <w:b/>
          <w:i w:val="0"/>
          <w:color w:val="1F3A5F"/>
          <w:sz w:val="21"/>
        </w:rPr>
        <w:t>Sequencing: A–C are foundational; D (evaluation) starts early and runs throughout; E–I layer in as we go.</w:t>
      </w:r>
    </w:p>
    <w:p>
      <w:pPr>
        <w:pStyle w:val="Heading1"/>
      </w:pPr>
      <w:r>
        <w:t>5. How Observability Works</w:t>
      </w:r>
    </w:p>
    <w:p>
      <w:pPr>
        <w:spacing w:after="120" w:before="0"/>
      </w:pPr>
      <w:r>
        <w:rPr>
          <w:rFonts w:ascii="Calibri" w:hAnsi="Calibri"/>
          <w:b w:val="0"/>
          <w:i w:val="0"/>
          <w:sz w:val="21"/>
        </w:rPr>
        <w:t>A request is a trace. Everything that happens inside it is a nested span (a step with its own recorded detail). For a pipeline, the trace looks like this:</w:t>
      </w:r>
    </w:p>
    <w:p>
      <w:pPr>
        <w:spacing w:after="120" w:before="40"/>
        <w:shd w:val="clear" w:fill="F2F4F7"/>
      </w:pPr>
      <w:r>
        <w:rPr>
          <w:rFonts w:ascii="Consolas" w:hAnsi="Consolas"/>
          <w:color w:val="222A36"/>
          <w:sz w:val="17"/>
        </w:rPr>
        <w:t>Request (trace)  ── one call analysed / one candidate screened</w:t>
      </w:r>
      <w:r>
        <w:rPr>
          <w:rFonts w:ascii="Consolas" w:hAnsi="Consolas"/>
          <w:color w:val="222A36"/>
          <w:sz w:val="17"/>
        </w:rPr>
        <w:br/>
        <w:t xml:space="preserve">  └─ Agent 1 (span)  ── e.g. dimension analysis / résumé rank</w:t>
      </w:r>
      <w:r>
        <w:rPr>
          <w:rFonts w:ascii="Consolas" w:hAnsi="Consolas"/>
          <w:color w:val="222A36"/>
          <w:sz w:val="17"/>
        </w:rPr>
        <w:br/>
        <w:t xml:space="preserve">       ├─ Model call (span)</w:t>
      </w:r>
      <w:r>
        <w:rPr>
          <w:rFonts w:ascii="Consolas" w:hAnsi="Consolas"/>
          <w:color w:val="222A36"/>
          <w:sz w:val="17"/>
        </w:rPr>
        <w:br/>
        <w:t xml:space="preserve">       └─ Tool call (span)</w:t>
      </w:r>
      <w:r>
        <w:rPr>
          <w:rFonts w:ascii="Consolas" w:hAnsi="Consolas"/>
          <w:color w:val="222A36"/>
          <w:sz w:val="17"/>
        </w:rPr>
        <w:br/>
        <w:t xml:space="preserve">  └─ Agent 2 (span)  ── e.g. scoring / screening</w:t>
      </w:r>
      <w:r>
        <w:rPr>
          <w:rFonts w:ascii="Consolas" w:hAnsi="Consolas"/>
          <w:color w:val="222A36"/>
          <w:sz w:val="17"/>
        </w:rPr>
        <w:br/>
        <w:t xml:space="preserve">  └─ Final output</w:t>
      </w:r>
    </w:p>
    <w:p>
      <w:pPr>
        <w:spacing w:after="120" w:before="0"/>
      </w:pPr>
      <w:r>
        <w:rPr>
          <w:rFonts w:ascii="Calibri" w:hAnsi="Calibri"/>
          <w:b w:val="0"/>
          <w:i w:val="0"/>
          <w:sz w:val="21"/>
        </w:rPr>
        <w:t>Each span records its own inputs, outputs, timing and cost, and rolls up to its parent — so the total time and cost of the whole request add up automatically. One trace id ties it all together, so a bad answer can be followed back to the exact step.</w:t>
      </w:r>
    </w:p>
    <w:p>
      <w:pPr>
        <w:pStyle w:val="Heading2"/>
      </w:pPr>
      <w:r>
        <w:t>What we capture at each level</w:t>
      </w:r>
    </w:p>
    <w:tbl>
      <w:tblPr>
        <w:tblStyle w:val="TableGrid"/>
        <w:tblW w:type="auto" w:w="0"/>
        <w:jc w:val="center"/>
        <w:tblLook w:firstColumn="1" w:firstRow="1" w:lastColumn="0" w:lastRow="0" w:noHBand="0" w:noVBand="1" w:val="04A0"/>
      </w:tblPr>
      <w:tblGrid>
        <w:gridCol w:w="4680"/>
        <w:gridCol w:w="4680"/>
      </w:tblGrid>
      <w:tr>
        <w:tc>
          <w:tcPr>
            <w:tcW w:type="dxa" w:w="2160"/>
            <w:shd w:val="clear" w:fill="1F3A5F"/>
          </w:tcPr>
          <w:p>
            <w:pPr>
              <w:spacing w:after="40" w:before="40"/>
            </w:pPr>
            <w:r>
              <w:rPr>
                <w:rFonts w:ascii="Calibri" w:hAnsi="Calibri"/>
                <w:b/>
                <w:color w:val="FFFFFF"/>
                <w:sz w:val="19"/>
              </w:rPr>
              <w:t>Level</w:t>
            </w:r>
          </w:p>
        </w:tc>
        <w:tc>
          <w:tcPr>
            <w:tcW w:type="dxa" w:w="7056"/>
            <w:shd w:val="clear" w:fill="1F3A5F"/>
          </w:tcPr>
          <w:p>
            <w:pPr>
              <w:spacing w:after="40" w:before="40"/>
            </w:pPr>
            <w:r>
              <w:rPr>
                <w:rFonts w:ascii="Calibri" w:hAnsi="Calibri"/>
                <w:b/>
                <w:color w:val="FFFFFF"/>
                <w:sz w:val="19"/>
              </w:rPr>
              <w:t>What we record</w:t>
            </w:r>
          </w:p>
        </w:tc>
      </w:tr>
      <w:tr>
        <w:tc>
          <w:tcPr>
            <w:tcW w:type="dxa" w:w="2160"/>
          </w:tcPr>
          <w:p>
            <w:pPr>
              <w:spacing w:after="40" w:before="40"/>
            </w:pPr>
            <w:r>
              <w:rPr>
                <w:rFonts w:ascii="Calibri" w:hAnsi="Calibri"/>
                <w:b/>
                <w:color w:val="1F3A5F"/>
                <w:sz w:val="18"/>
              </w:rPr>
              <w:t>Request (trace)</w:t>
            </w:r>
          </w:p>
        </w:tc>
        <w:tc>
          <w:tcPr>
            <w:tcW w:type="dxa" w:w="7056"/>
          </w:tcPr>
          <w:p>
            <w:pPr>
              <w:spacing w:after="40" w:before="40"/>
            </w:pPr>
            <w:r>
              <w:rPr>
                <w:rFonts w:ascii="Calibri" w:hAnsi="Calibri"/>
                <w:sz w:val="18"/>
              </w:rPr>
              <w:t>use case, program, input id (call/candidate), final output ref, status, total latency, total tokens, total cost, whether a human intervened</w:t>
            </w:r>
          </w:p>
        </w:tc>
      </w:tr>
      <w:tr>
        <w:tc>
          <w:tcPr>
            <w:tcW w:type="dxa" w:w="2160"/>
            <w:shd w:val="clear" w:fill="EEF1F7"/>
          </w:tcPr>
          <w:p>
            <w:pPr>
              <w:spacing w:after="40" w:before="40"/>
            </w:pPr>
            <w:r>
              <w:rPr>
                <w:rFonts w:ascii="Calibri" w:hAnsi="Calibri"/>
                <w:b/>
                <w:color w:val="1F3A5F"/>
                <w:sz w:val="18"/>
              </w:rPr>
              <w:t>Agent step (span)</w:t>
            </w:r>
          </w:p>
        </w:tc>
        <w:tc>
          <w:tcPr>
            <w:tcW w:type="dxa" w:w="7056"/>
            <w:shd w:val="clear" w:fill="EEF1F7"/>
          </w:tcPr>
          <w:p>
            <w:pPr>
              <w:spacing w:after="40" w:before="40"/>
            </w:pPr>
            <w:r>
              <w:rPr>
                <w:rFonts w:ascii="Calibri" w:hAnsi="Calibri"/>
                <w:sz w:val="18"/>
              </w:rPr>
              <w:t>agent name and version, its input and output, which model(s) and tool(s) it used, step latency, tokens, cost, and which step it handed off to</w:t>
            </w:r>
          </w:p>
        </w:tc>
      </w:tr>
      <w:tr>
        <w:tc>
          <w:tcPr>
            <w:tcW w:type="dxa" w:w="2160"/>
          </w:tcPr>
          <w:p>
            <w:pPr>
              <w:spacing w:after="40" w:before="40"/>
            </w:pPr>
            <w:r>
              <w:rPr>
                <w:rFonts w:ascii="Calibri" w:hAnsi="Calibri"/>
                <w:b/>
                <w:color w:val="1F3A5F"/>
                <w:sz w:val="18"/>
              </w:rPr>
              <w:t>Model call (span)</w:t>
            </w:r>
          </w:p>
        </w:tc>
        <w:tc>
          <w:tcPr>
            <w:tcW w:type="dxa" w:w="7056"/>
          </w:tcPr>
          <w:p>
            <w:pPr>
              <w:spacing w:after="40" w:before="40"/>
            </w:pPr>
            <w:r>
              <w:rPr>
                <w:rFonts w:ascii="Calibri" w:hAnsi="Calibri"/>
                <w:sz w:val="18"/>
              </w:rPr>
              <w:t>model name and version, prompt id and version, the prompt and the answer (hashed if it contains personal data), tokens in/out, cost, latency, temperature, finish reason, cache hit</w:t>
            </w:r>
          </w:p>
        </w:tc>
      </w:tr>
      <w:tr>
        <w:tc>
          <w:tcPr>
            <w:tcW w:type="dxa" w:w="2160"/>
            <w:shd w:val="clear" w:fill="EEF1F7"/>
          </w:tcPr>
          <w:p>
            <w:pPr>
              <w:spacing w:after="40" w:before="40"/>
            </w:pPr>
            <w:r>
              <w:rPr>
                <w:rFonts w:ascii="Calibri" w:hAnsi="Calibri"/>
                <w:b/>
                <w:color w:val="1F3A5F"/>
                <w:sz w:val="18"/>
              </w:rPr>
              <w:t>Tool call (span)</w:t>
            </w:r>
          </w:p>
        </w:tc>
        <w:tc>
          <w:tcPr>
            <w:tcW w:type="dxa" w:w="7056"/>
            <w:shd w:val="clear" w:fill="EEF1F7"/>
          </w:tcPr>
          <w:p>
            <w:pPr>
              <w:spacing w:after="40" w:before="40"/>
            </w:pPr>
            <w:r>
              <w:rPr>
                <w:rFonts w:ascii="Calibri" w:hAnsi="Calibri"/>
                <w:sz w:val="18"/>
              </w:rPr>
              <w:t>tool name, which MCP server, the inputs, the result, success or error, latency — and the expected tool and whether the correct tool was chosen (this feeds tool-selection evaluation)</w:t>
            </w:r>
          </w:p>
        </w:tc>
      </w:tr>
      <w:tr>
        <w:tc>
          <w:tcPr>
            <w:tcW w:type="dxa" w:w="2160"/>
          </w:tcPr>
          <w:p>
            <w:pPr>
              <w:spacing w:after="40" w:before="40"/>
            </w:pPr>
            <w:r>
              <w:rPr>
                <w:rFonts w:ascii="Calibri" w:hAnsi="Calibri"/>
                <w:b/>
                <w:color w:val="1F3A5F"/>
                <w:sz w:val="18"/>
              </w:rPr>
              <w:t>Session</w:t>
            </w:r>
          </w:p>
        </w:tc>
        <w:tc>
          <w:tcPr>
            <w:tcW w:type="dxa" w:w="7056"/>
          </w:tcPr>
          <w:p>
            <w:pPr>
              <w:spacing w:after="40" w:before="40"/>
            </w:pPr>
            <w:r>
              <w:rPr>
                <w:rFonts w:ascii="Calibri" w:hAnsi="Calibri"/>
                <w:sz w:val="18"/>
              </w:rPr>
              <w:t>for multi-turn chats (e.g. Hiring screening): links the turns, conversation id, user id (hashed), number of turns, outcome</w:t>
            </w:r>
          </w:p>
        </w:tc>
      </w:tr>
      <w:tr>
        <w:tc>
          <w:tcPr>
            <w:tcW w:type="dxa" w:w="2160"/>
            <w:shd w:val="clear" w:fill="EEF1F7"/>
          </w:tcPr>
          <w:p>
            <w:pPr>
              <w:spacing w:after="40" w:before="40"/>
            </w:pPr>
            <w:r>
              <w:rPr>
                <w:rFonts w:ascii="Calibri" w:hAnsi="Calibri"/>
                <w:b/>
                <w:color w:val="1F3A5F"/>
                <w:sz w:val="18"/>
              </w:rPr>
              <w:t>Feedback</w:t>
            </w:r>
          </w:p>
        </w:tc>
        <w:tc>
          <w:tcPr>
            <w:tcW w:type="dxa" w:w="7056"/>
            <w:shd w:val="clear" w:fill="EEF1F7"/>
          </w:tcPr>
          <w:p>
            <w:pPr>
              <w:spacing w:after="40" w:before="40"/>
            </w:pPr>
            <w:r>
              <w:rPr>
                <w:rFonts w:ascii="Calibri" w:hAnsi="Calibri"/>
                <w:sz w:val="18"/>
              </w:rPr>
              <w:t>thumbs up/down with a reason, coach edits to a report, recruiter overrides — linked back to the trace id</w:t>
            </w:r>
          </w:p>
        </w:tc>
      </w:tr>
    </w:tbl>
    <w:p>
      <w:pPr>
        <w:spacing w:after="80" w:before="0"/>
      </w:pPr>
    </w:p>
    <w:p>
      <w:pPr>
        <w:spacing w:after="120" w:before="0"/>
      </w:pPr>
      <w:r>
        <w:rPr>
          <w:rFonts w:ascii="Calibri" w:hAnsi="Calibri"/>
          <w:b w:val="0"/>
          <w:i w:val="0"/>
          <w:sz w:val="21"/>
        </w:rPr>
        <w:t>This directly answers the four questions raised: what is tracked for every request (the trace row), how model calls are tracked (the model-call span), how tool calls are tracked (the tool-call span, including the correct-tool flag), and how agent sessions are monitored (the session id linking the agent spans).</w:t>
      </w:r>
    </w:p>
    <w:p>
      <w:pPr>
        <w:pStyle w:val="Heading2"/>
      </w:pPr>
      <w:r>
        <w:t>How it is built on Azure</w:t>
      </w:r>
    </w:p>
    <w:p>
      <w:pPr>
        <w:pStyle w:val="ListBullet"/>
        <w:spacing w:after="60"/>
      </w:pPr>
      <w:r>
        <w:rPr>
          <w:rFonts w:ascii="Calibri" w:hAnsi="Calibri"/>
          <w:b/>
          <w:sz w:val="21"/>
        </w:rPr>
        <w:t xml:space="preserve">Standard — </w:t>
      </w:r>
      <w:r>
        <w:rPr>
          <w:rFonts w:ascii="Calibri" w:hAnsi="Calibri"/>
          <w:sz w:val="21"/>
        </w:rPr>
        <w:t>instrumented with OpenTelemetry (an open standard) using its Generative AI conventions.</w:t>
      </w:r>
    </w:p>
    <w:p>
      <w:pPr>
        <w:pStyle w:val="ListBullet"/>
        <w:spacing w:after="60"/>
      </w:pPr>
      <w:r>
        <w:rPr>
          <w:rFonts w:ascii="Calibri" w:hAnsi="Calibri"/>
          <w:b/>
          <w:sz w:val="21"/>
        </w:rPr>
        <w:t xml:space="preserve">Record of truth — </w:t>
      </w:r>
      <w:r>
        <w:rPr>
          <w:rFonts w:ascii="Calibri" w:hAnsi="Calibri"/>
          <w:sz w:val="21"/>
        </w:rPr>
        <w:t>Azure Application Insights + Log Analytics as the system of record (data stays in our tenant).</w:t>
      </w:r>
    </w:p>
    <w:p>
      <w:pPr>
        <w:pStyle w:val="ListBullet"/>
        <w:spacing w:after="60"/>
      </w:pPr>
      <w:r>
        <w:rPr>
          <w:rFonts w:ascii="Calibri" w:hAnsi="Calibri"/>
          <w:b/>
          <w:sz w:val="21"/>
        </w:rPr>
        <w:t xml:space="preserve">LLM lens — </w:t>
      </w:r>
      <w:r>
        <w:rPr>
          <w:rFonts w:ascii="Calibri" w:hAnsi="Calibri"/>
          <w:sz w:val="21"/>
        </w:rPr>
        <w:t>self-hosted Langfuse (on Azure Container Apps + Azure Database for PostgreSQL) for the LLM-specific view — cost per model, prompt versions, per-trace scores.</w:t>
      </w:r>
    </w:p>
    <w:p>
      <w:pPr>
        <w:pStyle w:val="ListBullet"/>
        <w:spacing w:after="60"/>
      </w:pPr>
      <w:r>
        <w:rPr>
          <w:rFonts w:ascii="Calibri" w:hAnsi="Calibri"/>
          <w:b/>
          <w:sz w:val="21"/>
        </w:rPr>
        <w:t xml:space="preserve">Eval link — </w:t>
      </w:r>
      <w:r>
        <w:rPr>
          <w:rFonts w:ascii="Calibri" w:hAnsi="Calibri"/>
          <w:sz w:val="21"/>
        </w:rPr>
        <w:t>Azure AI Foundry tracing links evaluation scores back to the exact trace.</w:t>
      </w:r>
    </w:p>
    <w:p>
      <w:pPr>
        <w:spacing w:after="120" w:before="0"/>
      </w:pPr>
      <w:r>
        <w:rPr>
          <w:rFonts w:ascii="Calibri" w:hAnsi="Calibri"/>
          <w:b w:val="0"/>
          <w:i/>
          <w:color w:val="505A6A"/>
          <w:sz w:val="21"/>
        </w:rPr>
        <w:t>Personal data (candidate or customer information) in prompts is hashed or redacted before it is stored in traces.</w:t>
      </w:r>
    </w:p>
    <w:p>
      <w:pPr>
        <w:pStyle w:val="Heading1"/>
      </w:pPr>
      <w:r>
        <w:t>6. How Evaluation Works</w:t>
      </w:r>
    </w:p>
    <w:p>
      <w:pPr>
        <w:spacing w:after="120" w:before="0"/>
      </w:pPr>
      <w:r>
        <w:rPr>
          <w:rFonts w:ascii="Calibri" w:hAnsi="Calibri"/>
          <w:b w:val="0"/>
          <w:i w:val="0"/>
          <w:sz w:val="21"/>
        </w:rPr>
        <w:t>This is where we will spend the most attention. LLM output is not deterministic — the same input can produce different wording, and a fluent answer can still be wrong. So we do not check output == expected; we run a set of test cases on every change and score the output on several dimensions.</w:t>
      </w:r>
    </w:p>
    <w:p>
      <w:pPr>
        <w:pStyle w:val="Heading2"/>
      </w:pPr>
      <w:r>
        <w:t>6.1 Metric groups</w:t>
      </w:r>
    </w:p>
    <w:p>
      <w:pPr>
        <w:spacing w:after="120" w:before="0"/>
      </w:pPr>
      <w:r>
        <w:rPr>
          <w:rFonts w:ascii="Calibri" w:hAnsi="Calibri"/>
          <w:b w:val="0"/>
          <w:i w:val="0"/>
          <w:sz w:val="21"/>
        </w:rPr>
        <w:t>We group metrics by what is being judged, so use cases beyond retrieval are still covered.</w:t>
      </w:r>
    </w:p>
    <w:tbl>
      <w:tblPr>
        <w:tblStyle w:val="TableGrid"/>
        <w:tblW w:type="auto" w:w="0"/>
        <w:jc w:val="center"/>
        <w:tblLook w:firstColumn="1" w:firstRow="1" w:lastColumn="0" w:lastRow="0" w:noHBand="0" w:noVBand="1" w:val="04A0"/>
      </w:tblPr>
      <w:tblGrid>
        <w:gridCol w:w="3120"/>
        <w:gridCol w:w="3120"/>
        <w:gridCol w:w="3120"/>
      </w:tblGrid>
      <w:tr>
        <w:tc>
          <w:tcPr>
            <w:tcW w:type="dxa" w:w="2736"/>
            <w:shd w:val="clear" w:fill="1F3A5F"/>
          </w:tcPr>
          <w:p>
            <w:pPr>
              <w:spacing w:after="40" w:before="40"/>
            </w:pPr>
            <w:r>
              <w:rPr>
                <w:rFonts w:ascii="Calibri" w:hAnsi="Calibri"/>
                <w:b/>
                <w:color w:val="FFFFFF"/>
                <w:sz w:val="19"/>
              </w:rPr>
              <w:t>Group</w:t>
            </w:r>
          </w:p>
        </w:tc>
        <w:tc>
          <w:tcPr>
            <w:tcW w:type="dxa" w:w="4176"/>
            <w:shd w:val="clear" w:fill="1F3A5F"/>
          </w:tcPr>
          <w:p>
            <w:pPr>
              <w:spacing w:after="40" w:before="40"/>
            </w:pPr>
            <w:r>
              <w:rPr>
                <w:rFonts w:ascii="Calibri" w:hAnsi="Calibri"/>
                <w:b/>
                <w:color w:val="FFFFFF"/>
                <w:sz w:val="19"/>
              </w:rPr>
              <w:t>Example metrics</w:t>
            </w:r>
          </w:p>
        </w:tc>
        <w:tc>
          <w:tcPr>
            <w:tcW w:type="dxa" w:w="2304"/>
            <w:shd w:val="clear" w:fill="1F3A5F"/>
          </w:tcPr>
          <w:p>
            <w:pPr>
              <w:spacing w:after="40" w:before="40"/>
            </w:pPr>
            <w:r>
              <w:rPr>
                <w:rFonts w:ascii="Calibri" w:hAnsi="Calibri"/>
                <w:b/>
                <w:color w:val="FFFFFF"/>
                <w:sz w:val="19"/>
              </w:rPr>
              <w:t>Judges…</w:t>
            </w:r>
          </w:p>
        </w:tc>
      </w:tr>
      <w:tr>
        <w:tc>
          <w:tcPr>
            <w:tcW w:type="dxa" w:w="2736"/>
          </w:tcPr>
          <w:p>
            <w:pPr>
              <w:spacing w:after="40" w:before="40"/>
            </w:pPr>
            <w:r>
              <w:rPr>
                <w:rFonts w:ascii="Calibri" w:hAnsi="Calibri"/>
                <w:b/>
                <w:color w:val="1F3A5F"/>
                <w:sz w:val="19"/>
              </w:rPr>
              <w:t>Retrieval / RAG quality</w:t>
            </w:r>
          </w:p>
        </w:tc>
        <w:tc>
          <w:tcPr>
            <w:tcW w:type="dxa" w:w="4176"/>
          </w:tcPr>
          <w:p>
            <w:pPr>
              <w:spacing w:after="40" w:before="40"/>
            </w:pPr>
            <w:r>
              <w:rPr>
                <w:rFonts w:ascii="Calibri" w:hAnsi="Calibri"/>
                <w:sz w:val="19"/>
              </w:rPr>
              <w:t>groundedness, context relevance, retrieval precision/recall</w:t>
            </w:r>
          </w:p>
        </w:tc>
        <w:tc>
          <w:tcPr>
            <w:tcW w:type="dxa" w:w="2304"/>
          </w:tcPr>
          <w:p>
            <w:pPr>
              <w:spacing w:after="40" w:before="40"/>
            </w:pPr>
            <w:r>
              <w:rPr>
                <w:rFonts w:ascii="Calibri" w:hAnsi="Calibri"/>
                <w:sz w:val="19"/>
              </w:rPr>
              <w:t>is it backed by our data?</w:t>
            </w:r>
          </w:p>
        </w:tc>
      </w:tr>
      <w:tr>
        <w:tc>
          <w:tcPr>
            <w:tcW w:type="dxa" w:w="2736"/>
            <w:shd w:val="clear" w:fill="EEF1F7"/>
          </w:tcPr>
          <w:p>
            <w:pPr>
              <w:spacing w:after="40" w:before="40"/>
            </w:pPr>
            <w:r>
              <w:rPr>
                <w:rFonts w:ascii="Calibri" w:hAnsi="Calibri"/>
                <w:b/>
                <w:color w:val="1F3A5F"/>
                <w:sz w:val="19"/>
              </w:rPr>
              <w:t>Generation / writing quality</w:t>
            </w:r>
          </w:p>
        </w:tc>
        <w:tc>
          <w:tcPr>
            <w:tcW w:type="dxa" w:w="4176"/>
            <w:shd w:val="clear" w:fill="EEF1F7"/>
          </w:tcPr>
          <w:p>
            <w:pPr>
              <w:spacing w:after="40" w:before="40"/>
            </w:pPr>
            <w:r>
              <w:rPr>
                <w:rFonts w:ascii="Calibri" w:hAnsi="Calibri"/>
                <w:sz w:val="19"/>
              </w:rPr>
              <w:t>coherence, tone, completeness</w:t>
            </w:r>
          </w:p>
        </w:tc>
        <w:tc>
          <w:tcPr>
            <w:tcW w:type="dxa" w:w="2304"/>
            <w:shd w:val="clear" w:fill="EEF1F7"/>
          </w:tcPr>
          <w:p>
            <w:pPr>
              <w:spacing w:after="40" w:before="40"/>
            </w:pPr>
            <w:r>
              <w:rPr>
                <w:rFonts w:ascii="Calibri" w:hAnsi="Calibri"/>
                <w:sz w:val="19"/>
              </w:rPr>
              <w:t>how well it reads</w:t>
            </w:r>
          </w:p>
        </w:tc>
      </w:tr>
      <w:tr>
        <w:tc>
          <w:tcPr>
            <w:tcW w:type="dxa" w:w="2736"/>
          </w:tcPr>
          <w:p>
            <w:pPr>
              <w:spacing w:after="40" w:before="40"/>
            </w:pPr>
            <w:r>
              <w:rPr>
                <w:rFonts w:ascii="Calibri" w:hAnsi="Calibri"/>
                <w:b/>
                <w:color w:val="1F3A5F"/>
                <w:sz w:val="19"/>
              </w:rPr>
              <w:t>Task execution / agentic</w:t>
            </w:r>
          </w:p>
        </w:tc>
        <w:tc>
          <w:tcPr>
            <w:tcW w:type="dxa" w:w="4176"/>
          </w:tcPr>
          <w:p>
            <w:pPr>
              <w:spacing w:after="40" w:before="40"/>
            </w:pPr>
            <w:r>
              <w:rPr>
                <w:rFonts w:ascii="Calibri" w:hAnsi="Calibri"/>
                <w:sz w:val="19"/>
              </w:rPr>
              <w:t>tool-selection accuracy, correct action, steps taken</w:t>
            </w:r>
          </w:p>
        </w:tc>
        <w:tc>
          <w:tcPr>
            <w:tcW w:type="dxa" w:w="2304"/>
          </w:tcPr>
          <w:p>
            <w:pPr>
              <w:spacing w:after="40" w:before="40"/>
            </w:pPr>
            <w:r>
              <w:rPr>
                <w:rFonts w:ascii="Calibri" w:hAnsi="Calibri"/>
                <w:sz w:val="19"/>
              </w:rPr>
              <w:t>whether it did the right thing</w:t>
            </w:r>
          </w:p>
        </w:tc>
      </w:tr>
      <w:tr>
        <w:tc>
          <w:tcPr>
            <w:tcW w:type="dxa" w:w="2736"/>
            <w:shd w:val="clear" w:fill="EEF1F7"/>
          </w:tcPr>
          <w:p>
            <w:pPr>
              <w:spacing w:after="40" w:before="40"/>
            </w:pPr>
            <w:r>
              <w:rPr>
                <w:rFonts w:ascii="Calibri" w:hAnsi="Calibri"/>
                <w:b/>
                <w:color w:val="1F3A5F"/>
                <w:sz w:val="19"/>
              </w:rPr>
              <w:t>Safety / compliance / fairness</w:t>
            </w:r>
          </w:p>
        </w:tc>
        <w:tc>
          <w:tcPr>
            <w:tcW w:type="dxa" w:w="4176"/>
            <w:shd w:val="clear" w:fill="EEF1F7"/>
          </w:tcPr>
          <w:p>
            <w:pPr>
              <w:spacing w:after="40" w:before="40"/>
            </w:pPr>
            <w:r>
              <w:rPr>
                <w:rFonts w:ascii="Calibri" w:hAnsi="Calibri"/>
                <w:sz w:val="19"/>
              </w:rPr>
              <w:t>unsafe-content rate, PII leakage, bias</w:t>
            </w:r>
          </w:p>
        </w:tc>
        <w:tc>
          <w:tcPr>
            <w:tcW w:type="dxa" w:w="2304"/>
            <w:shd w:val="clear" w:fill="EEF1F7"/>
          </w:tcPr>
          <w:p>
            <w:pPr>
              <w:spacing w:after="40" w:before="40"/>
            </w:pPr>
            <w:r>
              <w:rPr>
                <w:rFonts w:ascii="Calibri" w:hAnsi="Calibri"/>
                <w:sz w:val="19"/>
              </w:rPr>
              <w:t>is it safe and fair?</w:t>
            </w:r>
          </w:p>
        </w:tc>
      </w:tr>
      <w:tr>
        <w:tc>
          <w:tcPr>
            <w:tcW w:type="dxa" w:w="2736"/>
          </w:tcPr>
          <w:p>
            <w:pPr>
              <w:spacing w:after="40" w:before="40"/>
            </w:pPr>
            <w:r>
              <w:rPr>
                <w:rFonts w:ascii="Calibri" w:hAnsi="Calibri"/>
                <w:b/>
                <w:color w:val="1F3A5F"/>
                <w:sz w:val="19"/>
              </w:rPr>
              <w:t>Operational</w:t>
            </w:r>
          </w:p>
        </w:tc>
        <w:tc>
          <w:tcPr>
            <w:tcW w:type="dxa" w:w="4176"/>
          </w:tcPr>
          <w:p>
            <w:pPr>
              <w:spacing w:after="40" w:before="40"/>
            </w:pPr>
            <w:r>
              <w:rPr>
                <w:rFonts w:ascii="Calibri" w:hAnsi="Calibri"/>
                <w:sz w:val="19"/>
              </w:rPr>
              <w:t>latency, cost, tokens per request</w:t>
            </w:r>
          </w:p>
        </w:tc>
        <w:tc>
          <w:tcPr>
            <w:tcW w:type="dxa" w:w="2304"/>
          </w:tcPr>
          <w:p>
            <w:pPr>
              <w:spacing w:after="40" w:before="40"/>
            </w:pPr>
            <w:r>
              <w:rPr>
                <w:rFonts w:ascii="Calibri" w:hAnsi="Calibri"/>
                <w:sz w:val="19"/>
              </w:rPr>
              <w:t>is it fast and affordable?</w:t>
            </w:r>
          </w:p>
        </w:tc>
      </w:tr>
    </w:tbl>
    <w:p>
      <w:pPr>
        <w:spacing w:after="80" w:before="0"/>
      </w:pPr>
    </w:p>
    <w:p>
      <w:pPr>
        <w:spacing w:after="120" w:before="0"/>
      </w:pPr>
      <w:r>
        <w:rPr>
          <w:rFonts w:ascii="Calibri" w:hAnsi="Calibri"/>
          <w:b w:val="0"/>
          <w:i w:val="0"/>
          <w:sz w:val="21"/>
        </w:rPr>
        <w:t>Why writing quality and task execution are separate groups: writing quality judges how the answer reads; task execution judges whether the system did the right thing — for example, whether it called the correct tool. These are independent: an answer can read well and still take the wrong action. Some metrics overlap (coherence could sit under retrieval or writing); we assign each metric to one group so we do not double-count.</w:t>
      </w:r>
    </w:p>
    <w:p>
      <w:pPr>
        <w:pStyle w:val="Heading2"/>
      </w:pPr>
      <w:r>
        <w:t>6.2 Tool-selection evaluation</w:t>
      </w:r>
    </w:p>
    <w:p>
      <w:pPr>
        <w:spacing w:after="120" w:before="0"/>
      </w:pPr>
      <w:r>
        <w:rPr>
          <w:rFonts w:ascii="Calibri" w:hAnsi="Calibri"/>
          <w:b w:val="0"/>
          <w:i w:val="0"/>
          <w:sz w:val="21"/>
        </w:rPr>
        <w:t>When an MCP tool server exposes several tools, choosing the wrong tool but still returning an answer is unreliable. We test this directly. For each test case we know the correct tool (and inputs). We run the agent, read the tool it actually chose from the trace, and compare.</w:t>
      </w:r>
    </w:p>
    <w:p>
      <w:pPr>
        <w:spacing w:after="120" w:before="0"/>
      </w:pPr>
      <w:r>
        <w:rPr>
          <w:rFonts w:ascii="Calibri" w:hAnsi="Calibri"/>
          <w:b w:val="0"/>
          <w:i w:val="0"/>
          <w:sz w:val="21"/>
        </w:rPr>
        <w:t>We measure: tool-selection accuracy; per-tool precision and recall; wrong-tool rate; calling a tool when none was needed; missing a tool it should have used; and argument correctness (right tool, but were the inputs right?). Retrieval frameworks like Ragas and DeepEval do not cover this, so it is a small custom Python check:</w:t>
      </w:r>
    </w:p>
    <w:p>
      <w:pPr>
        <w:spacing w:after="120" w:before="40"/>
        <w:shd w:val="clear" w:fill="F2F4F7"/>
      </w:pPr>
      <w:r>
        <w:rPr>
          <w:rFonts w:ascii="Consolas" w:hAnsi="Consolas"/>
          <w:color w:val="222A36"/>
          <w:sz w:val="17"/>
        </w:rPr>
        <w:t>for case in golden_tool_cases:            # each has input + expected_tool (+ expected_args)</w:t>
      </w:r>
      <w:r>
        <w:rPr>
          <w:rFonts w:ascii="Consolas" w:hAnsi="Consolas"/>
          <w:color w:val="222A36"/>
          <w:sz w:val="17"/>
        </w:rPr>
        <w:br/>
        <w:t xml:space="preserve">    trace = run_agent(case.input)</w:t>
      </w:r>
      <w:r>
        <w:rPr>
          <w:rFonts w:ascii="Consolas" w:hAnsi="Consolas"/>
          <w:color w:val="222A36"/>
          <w:sz w:val="17"/>
        </w:rPr>
        <w:br/>
        <w:t xml:space="preserve">    chosen = trace.tool_calls[0].name      # what the agent actually called</w:t>
      </w:r>
      <w:r>
        <w:rPr>
          <w:rFonts w:ascii="Consolas" w:hAnsi="Consolas"/>
          <w:color w:val="222A36"/>
          <w:sz w:val="17"/>
        </w:rPr>
        <w:br/>
        <w:t xml:space="preserve">    args_ok = compare_args(trace.tool_calls[0].args, case.expected_args)</w:t>
      </w:r>
      <w:r>
        <w:rPr>
          <w:rFonts w:ascii="Consolas" w:hAnsi="Consolas"/>
          <w:color w:val="222A36"/>
          <w:sz w:val="17"/>
        </w:rPr>
        <w:br/>
        <w:t xml:space="preserve">    record(correct = (chosen == case.expected_tool), args_ok = args_ok)</w:t>
      </w:r>
      <w:r>
        <w:rPr>
          <w:rFonts w:ascii="Consolas" w:hAnsi="Consolas"/>
          <w:color w:val="222A36"/>
          <w:sz w:val="17"/>
        </w:rPr>
        <w:br/>
        <w:t># report accuracy, per-tool precision/recall, wrong-tool / missing-tool / unnecessary-call rates</w:t>
      </w:r>
    </w:p>
    <w:p>
      <w:pPr>
        <w:pStyle w:val="Heading2"/>
      </w:pPr>
      <w:r>
        <w:t>6.3 The tools we use</w:t>
      </w:r>
    </w:p>
    <w:p>
      <w:pPr>
        <w:spacing w:after="120" w:before="0"/>
      </w:pPr>
      <w:r>
        <w:rPr>
          <w:rFonts w:ascii="Calibri" w:hAnsi="Calibri"/>
          <w:b w:val="0"/>
          <w:i w:val="0"/>
          <w:sz w:val="21"/>
        </w:rPr>
        <w:t>No single tool does everything. We recommend a mix.</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448"/>
            <w:shd w:val="clear" w:fill="1F3A5F"/>
          </w:tcPr>
          <w:p>
            <w:pPr>
              <w:spacing w:after="40" w:before="40"/>
            </w:pPr>
            <w:r>
              <w:rPr>
                <w:rFonts w:ascii="Calibri" w:hAnsi="Calibri"/>
                <w:b/>
                <w:color w:val="FFFFFF"/>
                <w:sz w:val="19"/>
              </w:rPr>
              <w:t>Tool</w:t>
            </w:r>
          </w:p>
        </w:tc>
        <w:tc>
          <w:tcPr>
            <w:tcW w:type="dxa" w:w="3600"/>
            <w:shd w:val="clear" w:fill="1F3A5F"/>
          </w:tcPr>
          <w:p>
            <w:pPr>
              <w:spacing w:after="40" w:before="40"/>
            </w:pPr>
            <w:r>
              <w:rPr>
                <w:rFonts w:ascii="Calibri" w:hAnsi="Calibri"/>
                <w:b/>
                <w:color w:val="FFFFFF"/>
                <w:sz w:val="19"/>
              </w:rPr>
              <w:t>Covers</w:t>
            </w:r>
          </w:p>
        </w:tc>
        <w:tc>
          <w:tcPr>
            <w:tcW w:type="dxa" w:w="1584"/>
            <w:shd w:val="clear" w:fill="1F3A5F"/>
          </w:tcPr>
          <w:p>
            <w:pPr>
              <w:spacing w:after="40" w:before="40"/>
            </w:pPr>
            <w:r>
              <w:rPr>
                <w:rFonts w:ascii="Calibri" w:hAnsi="Calibri"/>
                <w:b/>
                <w:color w:val="FFFFFF"/>
                <w:sz w:val="19"/>
              </w:rPr>
              <w:t>Open source?</w:t>
            </w:r>
          </w:p>
        </w:tc>
        <w:tc>
          <w:tcPr>
            <w:tcW w:type="dxa" w:w="2736"/>
            <w:shd w:val="clear" w:fill="1F3A5F"/>
          </w:tcPr>
          <w:p>
            <w:pPr>
              <w:spacing w:after="40" w:before="40"/>
            </w:pPr>
            <w:r>
              <w:rPr>
                <w:rFonts w:ascii="Calibri" w:hAnsi="Calibri"/>
                <w:b/>
                <w:color w:val="FFFFFF"/>
                <w:sz w:val="19"/>
              </w:rPr>
              <w:t>Use it for</w:t>
            </w:r>
          </w:p>
        </w:tc>
      </w:tr>
      <w:tr>
        <w:tc>
          <w:tcPr>
            <w:tcW w:type="dxa" w:w="2448"/>
          </w:tcPr>
          <w:p>
            <w:pPr>
              <w:spacing w:after="40" w:before="40"/>
            </w:pPr>
            <w:r>
              <w:rPr>
                <w:rFonts w:ascii="Calibri" w:hAnsi="Calibri"/>
                <w:b/>
                <w:color w:val="1F3A5F"/>
                <w:sz w:val="17"/>
              </w:rPr>
              <w:t>Ragas</w:t>
            </w:r>
          </w:p>
        </w:tc>
        <w:tc>
          <w:tcPr>
            <w:tcW w:type="dxa" w:w="3600"/>
          </w:tcPr>
          <w:p>
            <w:pPr>
              <w:spacing w:after="40" w:before="40"/>
            </w:pPr>
            <w:r>
              <w:rPr>
                <w:rFonts w:ascii="Calibri" w:hAnsi="Calibri"/>
                <w:sz w:val="17"/>
              </w:rPr>
              <w:t>RAG metrics (groundedness, relevance)</w:t>
            </w:r>
          </w:p>
        </w:tc>
        <w:tc>
          <w:tcPr>
            <w:tcW w:type="dxa" w:w="1584"/>
          </w:tcPr>
          <w:p>
            <w:pPr>
              <w:spacing w:after="40" w:before="40"/>
            </w:pPr>
            <w:r>
              <w:rPr>
                <w:rFonts w:ascii="Calibri" w:hAnsi="Calibri"/>
                <w:sz w:val="17"/>
              </w:rPr>
              <w:t>Yes</w:t>
            </w:r>
          </w:p>
        </w:tc>
        <w:tc>
          <w:tcPr>
            <w:tcW w:type="dxa" w:w="2736"/>
          </w:tcPr>
          <w:p>
            <w:pPr>
              <w:spacing w:after="40" w:before="40"/>
            </w:pPr>
            <w:r>
              <w:rPr>
                <w:rFonts w:ascii="Calibri" w:hAnsi="Calibri"/>
                <w:sz w:val="17"/>
              </w:rPr>
              <w:t>APIX groundedness, Hiring retrieval</w:t>
            </w:r>
          </w:p>
        </w:tc>
      </w:tr>
      <w:tr>
        <w:tc>
          <w:tcPr>
            <w:tcW w:type="dxa" w:w="2448"/>
            <w:shd w:val="clear" w:fill="EEF1F7"/>
          </w:tcPr>
          <w:p>
            <w:pPr>
              <w:spacing w:after="40" w:before="40"/>
            </w:pPr>
            <w:r>
              <w:rPr>
                <w:rFonts w:ascii="Calibri" w:hAnsi="Calibri"/>
                <w:b/>
                <w:color w:val="1F3A5F"/>
                <w:sz w:val="17"/>
              </w:rPr>
              <w:t>DeepEval</w:t>
            </w:r>
          </w:p>
        </w:tc>
        <w:tc>
          <w:tcPr>
            <w:tcW w:type="dxa" w:w="3600"/>
            <w:shd w:val="clear" w:fill="EEF1F7"/>
          </w:tcPr>
          <w:p>
            <w:pPr>
              <w:spacing w:after="40" w:before="40"/>
            </w:pPr>
            <w:r>
              <w:rPr>
                <w:rFonts w:ascii="Calibri" w:hAnsi="Calibri"/>
                <w:sz w:val="17"/>
              </w:rPr>
              <w:t>broad LLM eval, custom metrics, CI-friendly</w:t>
            </w:r>
          </w:p>
        </w:tc>
        <w:tc>
          <w:tcPr>
            <w:tcW w:type="dxa" w:w="1584"/>
            <w:shd w:val="clear" w:fill="EEF1F7"/>
          </w:tcPr>
          <w:p>
            <w:pPr>
              <w:spacing w:after="40" w:before="40"/>
            </w:pPr>
            <w:r>
              <w:rPr>
                <w:rFonts w:ascii="Calibri" w:hAnsi="Calibri"/>
                <w:sz w:val="17"/>
              </w:rPr>
              <w:t>Yes</w:t>
            </w:r>
          </w:p>
        </w:tc>
        <w:tc>
          <w:tcPr>
            <w:tcW w:type="dxa" w:w="2736"/>
            <w:shd w:val="clear" w:fill="EEF1F7"/>
          </w:tcPr>
          <w:p>
            <w:pPr>
              <w:spacing w:after="40" w:before="40"/>
            </w:pPr>
            <w:r>
              <w:rPr>
                <w:rFonts w:ascii="Calibri" w:hAnsi="Calibri"/>
                <w:sz w:val="17"/>
              </w:rPr>
              <w:t>the quality gate, writing quality</w:t>
            </w:r>
          </w:p>
        </w:tc>
      </w:tr>
      <w:tr>
        <w:tc>
          <w:tcPr>
            <w:tcW w:type="dxa" w:w="2448"/>
          </w:tcPr>
          <w:p>
            <w:pPr>
              <w:spacing w:after="40" w:before="40"/>
            </w:pPr>
            <w:r>
              <w:rPr>
                <w:rFonts w:ascii="Calibri" w:hAnsi="Calibri"/>
                <w:b/>
                <w:color w:val="1F3A5F"/>
                <w:sz w:val="17"/>
              </w:rPr>
              <w:t>Custom Python</w:t>
            </w:r>
          </w:p>
        </w:tc>
        <w:tc>
          <w:tcPr>
            <w:tcW w:type="dxa" w:w="3600"/>
          </w:tcPr>
          <w:p>
            <w:pPr>
              <w:spacing w:after="40" w:before="40"/>
            </w:pPr>
            <w:r>
              <w:rPr>
                <w:rFonts w:ascii="Calibri" w:hAnsi="Calibri"/>
                <w:sz w:val="17"/>
              </w:rPr>
              <w:t>tool selection, scoring vs labels, extraction</w:t>
            </w:r>
          </w:p>
        </w:tc>
        <w:tc>
          <w:tcPr>
            <w:tcW w:type="dxa" w:w="1584"/>
          </w:tcPr>
          <w:p>
            <w:pPr>
              <w:spacing w:after="40" w:before="40"/>
            </w:pPr>
            <w:r>
              <w:rPr>
                <w:rFonts w:ascii="Calibri" w:hAnsi="Calibri"/>
                <w:sz w:val="17"/>
              </w:rPr>
              <w:t>Yes (our code)</w:t>
            </w:r>
          </w:p>
        </w:tc>
        <w:tc>
          <w:tcPr>
            <w:tcW w:type="dxa" w:w="2736"/>
          </w:tcPr>
          <w:p>
            <w:pPr>
              <w:spacing w:after="40" w:before="40"/>
            </w:pPr>
            <w:r>
              <w:rPr>
                <w:rFonts w:ascii="Calibri" w:hAnsi="Calibri"/>
                <w:sz w:val="17"/>
              </w:rPr>
              <w:t>agent and tool behaviour</w:t>
            </w:r>
          </w:p>
        </w:tc>
      </w:tr>
      <w:tr>
        <w:tc>
          <w:tcPr>
            <w:tcW w:type="dxa" w:w="2448"/>
            <w:shd w:val="clear" w:fill="EEF1F7"/>
          </w:tcPr>
          <w:p>
            <w:pPr>
              <w:spacing w:after="40" w:before="40"/>
            </w:pPr>
            <w:r>
              <w:rPr>
                <w:rFonts w:ascii="Calibri" w:hAnsi="Calibri"/>
                <w:b/>
                <w:color w:val="1F3A5F"/>
                <w:sz w:val="17"/>
              </w:rPr>
              <w:t>LLM-as-judge (rubric)</w:t>
            </w:r>
          </w:p>
        </w:tc>
        <w:tc>
          <w:tcPr>
            <w:tcW w:type="dxa" w:w="3600"/>
            <w:shd w:val="clear" w:fill="EEF1F7"/>
          </w:tcPr>
          <w:p>
            <w:pPr>
              <w:spacing w:after="40" w:before="40"/>
            </w:pPr>
            <w:r>
              <w:rPr>
                <w:rFonts w:ascii="Calibri" w:hAnsi="Calibri"/>
                <w:sz w:val="17"/>
              </w:rPr>
              <w:t>subjective quality</w:t>
            </w:r>
          </w:p>
        </w:tc>
        <w:tc>
          <w:tcPr>
            <w:tcW w:type="dxa" w:w="1584"/>
            <w:shd w:val="clear" w:fill="EEF1F7"/>
          </w:tcPr>
          <w:p>
            <w:pPr>
              <w:spacing w:after="40" w:before="40"/>
            </w:pPr>
            <w:r>
              <w:rPr>
                <w:rFonts w:ascii="Calibri" w:hAnsi="Calibri"/>
                <w:sz w:val="17"/>
              </w:rPr>
              <w:t>depends</w:t>
            </w:r>
          </w:p>
        </w:tc>
        <w:tc>
          <w:tcPr>
            <w:tcW w:type="dxa" w:w="2736"/>
            <w:shd w:val="clear" w:fill="EEF1F7"/>
          </w:tcPr>
          <w:p>
            <w:pPr>
              <w:spacing w:after="40" w:before="40"/>
            </w:pPr>
            <w:r>
              <w:rPr>
                <w:rFonts w:ascii="Calibri" w:hAnsi="Calibri"/>
                <w:sz w:val="17"/>
              </w:rPr>
              <w:t>coaching usefulness, summaries</w:t>
            </w:r>
          </w:p>
        </w:tc>
      </w:tr>
      <w:tr>
        <w:tc>
          <w:tcPr>
            <w:tcW w:type="dxa" w:w="2448"/>
          </w:tcPr>
          <w:p>
            <w:pPr>
              <w:spacing w:after="40" w:before="40"/>
            </w:pPr>
            <w:r>
              <w:rPr>
                <w:rFonts w:ascii="Calibri" w:hAnsi="Calibri"/>
                <w:b/>
                <w:color w:val="1F3A5F"/>
                <w:sz w:val="17"/>
              </w:rPr>
              <w:t>Azure AI Foundry evaluations</w:t>
            </w:r>
          </w:p>
        </w:tc>
        <w:tc>
          <w:tcPr>
            <w:tcW w:type="dxa" w:w="3600"/>
          </w:tcPr>
          <w:p>
            <w:pPr>
              <w:spacing w:after="40" w:before="40"/>
            </w:pPr>
            <w:r>
              <w:rPr>
                <w:rFonts w:ascii="Calibri" w:hAnsi="Calibri"/>
                <w:sz w:val="17"/>
              </w:rPr>
              <w:t>built-in + custom, links to traces</w:t>
            </w:r>
          </w:p>
        </w:tc>
        <w:tc>
          <w:tcPr>
            <w:tcW w:type="dxa" w:w="1584"/>
          </w:tcPr>
          <w:p>
            <w:pPr>
              <w:spacing w:after="40" w:before="40"/>
            </w:pPr>
            <w:r>
              <w:rPr>
                <w:rFonts w:ascii="Calibri" w:hAnsi="Calibri"/>
                <w:sz w:val="17"/>
              </w:rPr>
              <w:t>No (Azure)</w:t>
            </w:r>
          </w:p>
        </w:tc>
        <w:tc>
          <w:tcPr>
            <w:tcW w:type="dxa" w:w="2736"/>
          </w:tcPr>
          <w:p>
            <w:pPr>
              <w:spacing w:after="40" w:before="40"/>
            </w:pPr>
            <w:r>
              <w:rPr>
                <w:rFonts w:ascii="Calibri" w:hAnsi="Calibri"/>
                <w:sz w:val="17"/>
              </w:rPr>
              <w:t>staying inside Azure</w:t>
            </w:r>
          </w:p>
        </w:tc>
      </w:tr>
      <w:tr>
        <w:tc>
          <w:tcPr>
            <w:tcW w:type="dxa" w:w="2448"/>
            <w:shd w:val="clear" w:fill="EEF1F7"/>
          </w:tcPr>
          <w:p>
            <w:pPr>
              <w:spacing w:after="40" w:before="40"/>
            </w:pPr>
            <w:r>
              <w:rPr>
                <w:rFonts w:ascii="Calibri" w:hAnsi="Calibri"/>
                <w:b/>
                <w:color w:val="1F3A5F"/>
                <w:sz w:val="17"/>
              </w:rPr>
              <w:t>promptfoo</w:t>
            </w:r>
          </w:p>
        </w:tc>
        <w:tc>
          <w:tcPr>
            <w:tcW w:type="dxa" w:w="3600"/>
            <w:shd w:val="clear" w:fill="EEF1F7"/>
          </w:tcPr>
          <w:p>
            <w:pPr>
              <w:spacing w:after="40" w:before="40"/>
            </w:pPr>
            <w:r>
              <w:rPr>
                <w:rFonts w:ascii="Calibri" w:hAnsi="Calibri"/>
                <w:sz w:val="17"/>
              </w:rPr>
              <w:t>config-driven checks, red-team</w:t>
            </w:r>
          </w:p>
        </w:tc>
        <w:tc>
          <w:tcPr>
            <w:tcW w:type="dxa" w:w="1584"/>
            <w:shd w:val="clear" w:fill="EEF1F7"/>
          </w:tcPr>
          <w:p>
            <w:pPr>
              <w:spacing w:after="40" w:before="40"/>
            </w:pPr>
            <w:r>
              <w:rPr>
                <w:rFonts w:ascii="Calibri" w:hAnsi="Calibri"/>
                <w:sz w:val="17"/>
              </w:rPr>
              <w:t>Yes</w:t>
            </w:r>
          </w:p>
        </w:tc>
        <w:tc>
          <w:tcPr>
            <w:tcW w:type="dxa" w:w="2736"/>
            <w:shd w:val="clear" w:fill="EEF1F7"/>
          </w:tcPr>
          <w:p>
            <w:pPr>
              <w:spacing w:after="40" w:before="40"/>
            </w:pPr>
            <w:r>
              <w:rPr>
                <w:rFonts w:ascii="Calibri" w:hAnsi="Calibri"/>
                <w:sz w:val="17"/>
              </w:rPr>
              <w:t>fast checks in CI</w:t>
            </w:r>
          </w:p>
        </w:tc>
      </w:tr>
      <w:tr>
        <w:tc>
          <w:tcPr>
            <w:tcW w:type="dxa" w:w="2448"/>
          </w:tcPr>
          <w:p>
            <w:pPr>
              <w:spacing w:after="40" w:before="40"/>
            </w:pPr>
            <w:r>
              <w:rPr>
                <w:rFonts w:ascii="Calibri" w:hAnsi="Calibri"/>
                <w:b/>
                <w:color w:val="1F3A5F"/>
                <w:sz w:val="17"/>
              </w:rPr>
              <w:t>LangSmith</w:t>
            </w:r>
          </w:p>
        </w:tc>
        <w:tc>
          <w:tcPr>
            <w:tcW w:type="dxa" w:w="3600"/>
          </w:tcPr>
          <w:p>
            <w:pPr>
              <w:spacing w:after="40" w:before="40"/>
            </w:pPr>
            <w:r>
              <w:rPr>
                <w:rFonts w:ascii="Calibri" w:hAnsi="Calibri"/>
                <w:sz w:val="17"/>
              </w:rPr>
              <w:t>evaluation + observability platform</w:t>
            </w:r>
          </w:p>
        </w:tc>
        <w:tc>
          <w:tcPr>
            <w:tcW w:type="dxa" w:w="1584"/>
          </w:tcPr>
          <w:p>
            <w:pPr>
              <w:spacing w:after="40" w:before="40"/>
            </w:pPr>
            <w:r>
              <w:rPr>
                <w:rFonts w:ascii="Calibri" w:hAnsi="Calibri"/>
                <w:sz w:val="17"/>
              </w:rPr>
              <w:t>No — licensed</w:t>
            </w:r>
          </w:p>
        </w:tc>
        <w:tc>
          <w:tcPr>
            <w:tcW w:type="dxa" w:w="2736"/>
          </w:tcPr>
          <w:p>
            <w:pPr>
              <w:spacing w:after="40" w:before="40"/>
            </w:pPr>
            <w:r>
              <w:rPr>
                <w:rFonts w:ascii="Calibri" w:hAnsi="Calibri"/>
                <w:sz w:val="17"/>
              </w:rPr>
              <w:t>only if we standardise on it (cost)</w:t>
            </w:r>
          </w:p>
        </w:tc>
      </w:tr>
    </w:tbl>
    <w:p>
      <w:pPr>
        <w:spacing w:after="80" w:before="0"/>
      </w:pPr>
    </w:p>
    <w:p>
      <w:pPr>
        <w:pStyle w:val="Heading2"/>
      </w:pPr>
      <w:r>
        <w:t>6.4 How and when it runs</w:t>
      </w:r>
    </w:p>
    <w:p>
      <w:pPr>
        <w:pStyle w:val="ListBullet"/>
        <w:spacing w:after="60"/>
      </w:pPr>
      <w:r>
        <w:rPr>
          <w:rFonts w:ascii="Calibri" w:hAnsi="Calibri"/>
          <w:b/>
          <w:sz w:val="21"/>
        </w:rPr>
        <w:t xml:space="preserve">Offline (quality gate) — </w:t>
      </w:r>
      <w:r>
        <w:rPr>
          <w:rFonts w:ascii="Calibri" w:hAnsi="Calibri"/>
          <w:sz w:val="21"/>
        </w:rPr>
        <w:t>golden datasets per use case and per program; runs on every change and blocks a release if quality drops past a threshold.</w:t>
      </w:r>
    </w:p>
    <w:p>
      <w:pPr>
        <w:pStyle w:val="ListBullet"/>
        <w:spacing w:after="60"/>
      </w:pPr>
      <w:r>
        <w:rPr>
          <w:rFonts w:ascii="Calibri" w:hAnsi="Calibri"/>
          <w:b/>
          <w:sz w:val="21"/>
        </w:rPr>
        <w:t xml:space="preserve">Online (production) — </w:t>
      </w:r>
      <w:r>
        <w:rPr>
          <w:rFonts w:ascii="Calibri" w:hAnsi="Calibri"/>
          <w:sz w:val="21"/>
        </w:rPr>
        <w:t>sample a share of live traffic, score it in the background, and alert if quality drifts.</w:t>
      </w:r>
    </w:p>
    <w:p>
      <w:pPr>
        <w:pStyle w:val="ListBullet"/>
        <w:spacing w:after="60"/>
      </w:pPr>
      <w:r>
        <w:rPr>
          <w:rFonts w:ascii="Calibri" w:hAnsi="Calibri"/>
          <w:b/>
          <w:sz w:val="21"/>
        </w:rPr>
        <w:t xml:space="preserve">Human review — </w:t>
      </w:r>
      <w:r>
        <w:rPr>
          <w:rFonts w:ascii="Calibri" w:hAnsi="Calibri"/>
          <w:sz w:val="21"/>
        </w:rPr>
        <w:t>coaches and recruiters give feedback; experts review a sample; findings become new test cases.</w:t>
      </w:r>
    </w:p>
    <w:p>
      <w:pPr>
        <w:spacing w:after="120" w:before="0"/>
      </w:pPr>
      <w:r>
        <w:rPr>
          <w:rFonts w:ascii="Calibri" w:hAnsi="Calibri"/>
          <w:b/>
          <w:i w:val="0"/>
          <w:color w:val="1F3A5F"/>
          <w:sz w:val="21"/>
        </w:rPr>
        <w:t>We evaluate each pipeline step and the final output. A pipeline can look fine end-to-end while one step quietly gets worse — checking both catches that.</w:t>
      </w:r>
    </w:p>
    <w:p>
      <w:pPr>
        <w:pStyle w:val="Heading2"/>
      </w:pPr>
      <w:r>
        <w:t>6.5 Golden datasets</w:t>
      </w:r>
    </w:p>
    <w:p>
      <w:pPr>
        <w:spacing w:after="120" w:before="0"/>
      </w:pPr>
      <w:r>
        <w:rPr>
          <w:rFonts w:ascii="Calibri" w:hAnsi="Calibri"/>
          <w:b w:val="0"/>
          <w:i w:val="0"/>
          <w:sz w:val="21"/>
        </w:rPr>
        <w:t>A golden dataset is a saved, versioned set of test cases: an input (plus any context), the expected answer or a grading rule, and metadata (intent, program, source). They come from three places — experts write realistic cases, we mine anonymised real traffic from the traces, and we generate synthetic cases that a person reviews. Start with roughly 50–200 per use case and program, and grow the set from production feedback. Example record:</w:t>
      </w:r>
    </w:p>
    <w:p>
      <w:pPr>
        <w:spacing w:after="120" w:before="40"/>
        <w:shd w:val="clear" w:fill="F2F4F7"/>
      </w:pPr>
      <w:r>
        <w:rPr>
          <w:rFonts w:ascii="Consolas" w:hAnsi="Consolas"/>
          <w:color w:val="222A36"/>
          <w:sz w:val="17"/>
        </w:rPr>
        <w:t>{</w:t>
      </w:r>
      <w:r>
        <w:rPr>
          <w:rFonts w:ascii="Consolas" w:hAnsi="Consolas"/>
          <w:color w:val="222A36"/>
          <w:sz w:val="17"/>
        </w:rPr>
        <w:br/>
        <w:t xml:space="preserve">  "id": "apix-telesales-014",</w:t>
      </w:r>
      <w:r>
        <w:rPr>
          <w:rFonts w:ascii="Consolas" w:hAnsi="Consolas"/>
          <w:color w:val="222A36"/>
          <w:sz w:val="17"/>
        </w:rPr>
        <w:br/>
        <w:t xml:space="preserve">  "input": {"transcript_id": "c-88421", "program": "telesales"},</w:t>
      </w:r>
      <w:r>
        <w:rPr>
          <w:rFonts w:ascii="Consolas" w:hAnsi="Consolas"/>
          <w:color w:val="222A36"/>
          <w:sz w:val="17"/>
        </w:rPr>
        <w:br/>
        <w:t xml:space="preserve">  "grading_criteria": {</w:t>
      </w:r>
      <w:r>
        <w:rPr>
          <w:rFonts w:ascii="Consolas" w:hAnsi="Consolas"/>
          <w:color w:val="222A36"/>
          <w:sz w:val="17"/>
        </w:rPr>
        <w:br/>
        <w:t xml:space="preserve">    "must_cite_evidence": true,</w:t>
      </w:r>
      <w:r>
        <w:rPr>
          <w:rFonts w:ascii="Consolas" w:hAnsi="Consolas"/>
          <w:color w:val="222A36"/>
          <w:sz w:val="17"/>
        </w:rPr>
        <w:br/>
        <w:t xml:space="preserve">    "expected_score_band": [70, 85],</w:t>
      </w:r>
      <w:r>
        <w:rPr>
          <w:rFonts w:ascii="Consolas" w:hAnsi="Consolas"/>
          <w:color w:val="222A36"/>
          <w:sz w:val="17"/>
        </w:rPr>
        <w:br/>
        <w:t xml:space="preserve">    "must_flag": ["missed_upsell"]</w:t>
      </w:r>
      <w:r>
        <w:rPr>
          <w:rFonts w:ascii="Consolas" w:hAnsi="Consolas"/>
          <w:color w:val="222A36"/>
          <w:sz w:val="17"/>
        </w:rPr>
        <w:br/>
        <w:t xml:space="preserve">  },</w:t>
      </w:r>
      <w:r>
        <w:rPr>
          <w:rFonts w:ascii="Consolas" w:hAnsi="Consolas"/>
          <w:color w:val="222A36"/>
          <w:sz w:val="17"/>
        </w:rPr>
        <w:br/>
        <w:t xml:space="preserve">  "metadata": {"program": "telesales", "source": "sme_authored"}</w:t>
      </w:r>
      <w:r>
        <w:rPr>
          <w:rFonts w:ascii="Consolas" w:hAnsi="Consolas"/>
          <w:color w:val="222A36"/>
          <w:sz w:val="17"/>
        </w:rPr>
        <w:br/>
        <w:t>}</w:t>
      </w:r>
    </w:p>
    <w:p>
      <w:pPr>
        <w:pStyle w:val="Heading1"/>
      </w:pPr>
      <w:r>
        <w:t>7. Infrastructure &amp; Azure Hosting (Proposed)</w:t>
      </w:r>
    </w:p>
    <w:p>
      <w:pPr>
        <w:spacing w:after="120" w:before="0"/>
      </w:pPr>
      <w:r>
        <w:rPr>
          <w:rFonts w:ascii="Calibri" w:hAnsi="Calibri"/>
          <w:b w:val="0"/>
          <w:i w:val="0"/>
          <w:sz w:val="21"/>
        </w:rPr>
        <w:t>This is the target setup. Sequencing is covered in section 4; no dates are proposed here.</w:t>
      </w:r>
    </w:p>
    <w:p>
      <w:pPr>
        <w:pStyle w:val="Heading2"/>
      </w:pPr>
      <w:r>
        <w:t>Hosting the pipelines</w:t>
      </w:r>
    </w:p>
    <w:tbl>
      <w:tblPr>
        <w:tblStyle w:val="TableGrid"/>
        <w:tblW w:type="auto" w:w="0"/>
        <w:jc w:val="center"/>
        <w:tblLook w:firstColumn="1" w:firstRow="1" w:lastColumn="0" w:lastRow="0" w:noHBand="0" w:noVBand="1" w:val="04A0"/>
      </w:tblPr>
      <w:tblGrid>
        <w:gridCol w:w="3120"/>
        <w:gridCol w:w="3120"/>
        <w:gridCol w:w="3120"/>
      </w:tblGrid>
      <w:tr>
        <w:tc>
          <w:tcPr>
            <w:tcW w:type="dxa" w:w="3456"/>
            <w:shd w:val="clear" w:fill="1F3A5F"/>
          </w:tcPr>
          <w:p>
            <w:pPr>
              <w:spacing w:after="40" w:before="40"/>
            </w:pPr>
            <w:r>
              <w:rPr>
                <w:rFonts w:ascii="Calibri" w:hAnsi="Calibri"/>
                <w:b/>
                <w:color w:val="FFFFFF"/>
                <w:sz w:val="19"/>
              </w:rPr>
              <w:t>Option</w:t>
            </w:r>
          </w:p>
        </w:tc>
        <w:tc>
          <w:tcPr>
            <w:tcW w:type="dxa" w:w="3744"/>
            <w:shd w:val="clear" w:fill="1F3A5F"/>
          </w:tcPr>
          <w:p>
            <w:pPr>
              <w:spacing w:after="40" w:before="40"/>
            </w:pPr>
            <w:r>
              <w:rPr>
                <w:rFonts w:ascii="Calibri" w:hAnsi="Calibri"/>
                <w:b/>
                <w:color w:val="FFFFFF"/>
                <w:sz w:val="19"/>
              </w:rPr>
              <w:t>Fit</w:t>
            </w:r>
          </w:p>
        </w:tc>
        <w:tc>
          <w:tcPr>
            <w:tcW w:type="dxa" w:w="2016"/>
            <w:shd w:val="clear" w:fill="1F3A5F"/>
          </w:tcPr>
          <w:p>
            <w:pPr>
              <w:spacing w:after="40" w:before="40"/>
            </w:pPr>
            <w:r>
              <w:rPr>
                <w:rFonts w:ascii="Calibri" w:hAnsi="Calibri"/>
                <w:b/>
                <w:color w:val="FFFFFF"/>
                <w:sz w:val="19"/>
              </w:rPr>
              <w:t>Note</w:t>
            </w:r>
          </w:p>
        </w:tc>
      </w:tr>
      <w:tr>
        <w:tc>
          <w:tcPr>
            <w:tcW w:type="dxa" w:w="3456"/>
          </w:tcPr>
          <w:p>
            <w:pPr>
              <w:spacing w:after="40" w:before="40"/>
            </w:pPr>
            <w:r>
              <w:rPr>
                <w:rFonts w:ascii="Calibri" w:hAnsi="Calibri"/>
                <w:b/>
                <w:color w:val="1F3A5F"/>
                <w:sz w:val="19"/>
              </w:rPr>
              <w:t>Azure Container Apps (recommended)</w:t>
            </w:r>
          </w:p>
        </w:tc>
        <w:tc>
          <w:tcPr>
            <w:tcW w:type="dxa" w:w="3744"/>
          </w:tcPr>
          <w:p>
            <w:pPr>
              <w:spacing w:after="40" w:before="40"/>
            </w:pPr>
            <w:r>
              <w:rPr>
                <w:rFonts w:ascii="Calibri" w:hAnsi="Calibri"/>
                <w:sz w:val="19"/>
              </w:rPr>
              <w:t>each pipeline step as a service; scales to zero</w:t>
            </w:r>
          </w:p>
        </w:tc>
        <w:tc>
          <w:tcPr>
            <w:tcW w:type="dxa" w:w="2016"/>
          </w:tcPr>
          <w:p>
            <w:pPr>
              <w:spacing w:after="40" w:before="40"/>
            </w:pPr>
            <w:r>
              <w:rPr>
                <w:rFonts w:ascii="Calibri" w:hAnsi="Calibri"/>
                <w:sz w:val="19"/>
              </w:rPr>
              <w:t>best general fit for pipeline services</w:t>
            </w:r>
          </w:p>
        </w:tc>
      </w:tr>
      <w:tr>
        <w:tc>
          <w:tcPr>
            <w:tcW w:type="dxa" w:w="3456"/>
            <w:shd w:val="clear" w:fill="EEF1F7"/>
          </w:tcPr>
          <w:p>
            <w:pPr>
              <w:spacing w:after="40" w:before="40"/>
            </w:pPr>
            <w:r>
              <w:rPr>
                <w:rFonts w:ascii="Calibri" w:hAnsi="Calibri"/>
                <w:b/>
                <w:color w:val="1F3A5F"/>
                <w:sz w:val="19"/>
              </w:rPr>
              <w:t>Azure Functions</w:t>
            </w:r>
          </w:p>
        </w:tc>
        <w:tc>
          <w:tcPr>
            <w:tcW w:type="dxa" w:w="3744"/>
            <w:shd w:val="clear" w:fill="EEF1F7"/>
          </w:tcPr>
          <w:p>
            <w:pPr>
              <w:spacing w:after="40" w:before="40"/>
            </w:pPr>
            <w:r>
              <w:rPr>
                <w:rFonts w:ascii="Calibri" w:hAnsi="Calibri"/>
                <w:sz w:val="19"/>
              </w:rPr>
              <w:t>event-driven triggers (new transcript, new candidate)</w:t>
            </w:r>
          </w:p>
        </w:tc>
        <w:tc>
          <w:tcPr>
            <w:tcW w:type="dxa" w:w="2016"/>
            <w:shd w:val="clear" w:fill="EEF1F7"/>
          </w:tcPr>
          <w:p>
            <w:pPr>
              <w:spacing w:after="40" w:before="40"/>
            </w:pPr>
            <w:r>
              <w:rPr>
                <w:rFonts w:ascii="Calibri" w:hAnsi="Calibri"/>
                <w:sz w:val="19"/>
              </w:rPr>
              <w:t>good for APIX batch/event jobs</w:t>
            </w:r>
          </w:p>
        </w:tc>
      </w:tr>
      <w:tr>
        <w:tc>
          <w:tcPr>
            <w:tcW w:type="dxa" w:w="3456"/>
          </w:tcPr>
          <w:p>
            <w:pPr>
              <w:spacing w:after="40" w:before="40"/>
            </w:pPr>
            <w:r>
              <w:rPr>
                <w:rFonts w:ascii="Calibri" w:hAnsi="Calibri"/>
                <w:b/>
                <w:color w:val="1F3A5F"/>
                <w:sz w:val="19"/>
              </w:rPr>
              <w:t>Foundry Agent Service</w:t>
            </w:r>
          </w:p>
        </w:tc>
        <w:tc>
          <w:tcPr>
            <w:tcW w:type="dxa" w:w="3744"/>
          </w:tcPr>
          <w:p>
            <w:pPr>
              <w:spacing w:after="40" w:before="40"/>
            </w:pPr>
            <w:r>
              <w:rPr>
                <w:rFonts w:ascii="Calibri" w:hAnsi="Calibri"/>
                <w:sz w:val="19"/>
              </w:rPr>
              <w:t>managed hosted agents; less to run</w:t>
            </w:r>
          </w:p>
        </w:tc>
        <w:tc>
          <w:tcPr>
            <w:tcW w:type="dxa" w:w="2016"/>
          </w:tcPr>
          <w:p>
            <w:pPr>
              <w:spacing w:after="40" w:before="40"/>
            </w:pPr>
            <w:r>
              <w:rPr>
                <w:rFonts w:ascii="Calibri" w:hAnsi="Calibri"/>
                <w:sz w:val="19"/>
              </w:rPr>
              <w:t>consider as it matures</w:t>
            </w:r>
          </w:p>
        </w:tc>
      </w:tr>
    </w:tbl>
    <w:p>
      <w:pPr>
        <w:spacing w:after="80" w:before="0"/>
      </w:pPr>
    </w:p>
    <w:p>
      <w:pPr>
        <w:spacing w:after="120" w:before="0"/>
      </w:pPr>
      <w:r>
        <w:rPr>
          <w:rFonts w:ascii="Calibri" w:hAnsi="Calibri"/>
          <w:b w:val="0"/>
          <w:i w:val="0"/>
          <w:sz w:val="21"/>
        </w:rPr>
        <w:t>Recommendation: Azure Container Apps for the pipeline services, with Azure Functions for event triggers. Foundry Agent Service can be adopted later for hosted agents.</w:t>
      </w:r>
    </w:p>
    <w:p>
      <w:pPr>
        <w:pStyle w:val="Heading2"/>
      </w:pPr>
      <w:r>
        <w:t>The shared platform (bill of services)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fill="1F3A5F"/>
          </w:tcPr>
          <w:p>
            <w:pPr>
              <w:spacing w:after="40" w:before="40"/>
            </w:pPr>
            <w:r>
              <w:rPr>
                <w:rFonts w:ascii="Calibri" w:hAnsi="Calibri"/>
                <w:b/>
                <w:color w:val="FFFFFF"/>
                <w:sz w:val="19"/>
              </w:rPr>
              <w:t>Layer</w:t>
            </w:r>
          </w:p>
        </w:tc>
        <w:tc>
          <w:tcPr>
            <w:tcW w:type="dxa" w:w="3744"/>
            <w:shd w:val="clear" w:fill="1F3A5F"/>
          </w:tcPr>
          <w:p>
            <w:pPr>
              <w:spacing w:after="40" w:before="40"/>
            </w:pPr>
            <w:r>
              <w:rPr>
                <w:rFonts w:ascii="Calibri" w:hAnsi="Calibri"/>
                <w:b/>
                <w:color w:val="FFFFFF"/>
                <w:sz w:val="19"/>
              </w:rPr>
              <w:t>Azure service</w:t>
            </w:r>
          </w:p>
        </w:tc>
        <w:tc>
          <w:tcPr>
            <w:tcW w:type="dxa" w:w="3312"/>
            <w:shd w:val="clear" w:fill="1F3A5F"/>
          </w:tcPr>
          <w:p>
            <w:pPr>
              <w:spacing w:after="40" w:before="40"/>
            </w:pPr>
            <w:r>
              <w:rPr>
                <w:rFonts w:ascii="Calibri" w:hAnsi="Calibri"/>
                <w:b/>
                <w:color w:val="FFFFFF"/>
                <w:sz w:val="19"/>
              </w:rPr>
              <w:t>Purpose</w:t>
            </w:r>
          </w:p>
        </w:tc>
      </w:tr>
      <w:tr>
        <w:tc>
          <w:tcPr>
            <w:tcW w:type="dxa" w:w="2160"/>
          </w:tcPr>
          <w:p>
            <w:pPr>
              <w:spacing w:after="40" w:before="40"/>
            </w:pPr>
            <w:r>
              <w:rPr>
                <w:rFonts w:ascii="Calibri" w:hAnsi="Calibri"/>
                <w:b/>
                <w:color w:val="1F3A5F"/>
                <w:sz w:val="17"/>
              </w:rPr>
              <w:t>Models / AI</w:t>
            </w:r>
          </w:p>
        </w:tc>
        <w:tc>
          <w:tcPr>
            <w:tcW w:type="dxa" w:w="3744"/>
          </w:tcPr>
          <w:p>
            <w:pPr>
              <w:spacing w:after="40" w:before="40"/>
            </w:pPr>
            <w:r>
              <w:rPr>
                <w:rFonts w:ascii="Calibri" w:hAnsi="Calibri"/>
                <w:sz w:val="17"/>
              </w:rPr>
              <w:t>Azure OpenAI, Content Safety</w:t>
            </w:r>
          </w:p>
        </w:tc>
        <w:tc>
          <w:tcPr>
            <w:tcW w:type="dxa" w:w="3312"/>
          </w:tcPr>
          <w:p>
            <w:pPr>
              <w:spacing w:after="40" w:before="40"/>
            </w:pPr>
            <w:r>
              <w:rPr>
                <w:rFonts w:ascii="Calibri" w:hAnsi="Calibri"/>
                <w:sz w:val="17"/>
              </w:rPr>
              <w:t>the models; safety checks</w:t>
            </w:r>
          </w:p>
        </w:tc>
      </w:tr>
      <w:tr>
        <w:tc>
          <w:tcPr>
            <w:tcW w:type="dxa" w:w="2160"/>
            <w:shd w:val="clear" w:fill="EEF1F7"/>
          </w:tcPr>
          <w:p>
            <w:pPr>
              <w:spacing w:after="40" w:before="40"/>
            </w:pPr>
            <w:r>
              <w:rPr>
                <w:rFonts w:ascii="Calibri" w:hAnsi="Calibri"/>
                <w:b/>
                <w:color w:val="1F3A5F"/>
                <w:sz w:val="17"/>
              </w:rPr>
              <w:t>Knowledge / RAG</w:t>
            </w:r>
          </w:p>
        </w:tc>
        <w:tc>
          <w:tcPr>
            <w:tcW w:type="dxa" w:w="3744"/>
            <w:shd w:val="clear" w:fill="EEF1F7"/>
          </w:tcPr>
          <w:p>
            <w:pPr>
              <w:spacing w:after="40" w:before="40"/>
            </w:pPr>
            <w:r>
              <w:rPr>
                <w:rFonts w:ascii="Calibri" w:hAnsi="Calibri"/>
                <w:sz w:val="17"/>
              </w:rPr>
              <w:t>Azure AI Search</w:t>
            </w:r>
          </w:p>
        </w:tc>
        <w:tc>
          <w:tcPr>
            <w:tcW w:type="dxa" w:w="3312"/>
            <w:shd w:val="clear" w:fill="EEF1F7"/>
          </w:tcPr>
          <w:p>
            <w:pPr>
              <w:spacing w:after="40" w:before="40"/>
            </w:pPr>
            <w:r>
              <w:rPr>
                <w:rFonts w:ascii="Calibri" w:hAnsi="Calibri"/>
                <w:sz w:val="17"/>
              </w:rPr>
              <w:t>retrieval for Hiring; optional transcript search</w:t>
            </w:r>
          </w:p>
        </w:tc>
      </w:tr>
      <w:tr>
        <w:tc>
          <w:tcPr>
            <w:tcW w:type="dxa" w:w="2160"/>
          </w:tcPr>
          <w:p>
            <w:pPr>
              <w:spacing w:after="40" w:before="40"/>
            </w:pPr>
            <w:r>
              <w:rPr>
                <w:rFonts w:ascii="Calibri" w:hAnsi="Calibri"/>
                <w:b/>
                <w:color w:val="1F3A5F"/>
                <w:sz w:val="17"/>
              </w:rPr>
              <w:t>Data / state</w:t>
            </w:r>
          </w:p>
        </w:tc>
        <w:tc>
          <w:tcPr>
            <w:tcW w:type="dxa" w:w="3744"/>
          </w:tcPr>
          <w:p>
            <w:pPr>
              <w:spacing w:after="40" w:before="40"/>
            </w:pPr>
            <w:r>
              <w:rPr>
                <w:rFonts w:ascii="Calibri" w:hAnsi="Calibri"/>
                <w:sz w:val="17"/>
              </w:rPr>
              <w:t>Cosmos DB / Azure SQL, Blob Storage</w:t>
            </w:r>
          </w:p>
        </w:tc>
        <w:tc>
          <w:tcPr>
            <w:tcW w:type="dxa" w:w="3312"/>
          </w:tcPr>
          <w:p>
            <w:pPr>
              <w:spacing w:after="40" w:before="40"/>
            </w:pPr>
            <w:r>
              <w:rPr>
                <w:rFonts w:ascii="Calibri" w:hAnsi="Calibri"/>
                <w:sz w:val="17"/>
              </w:rPr>
              <w:t>agent state, APIX scores, transcripts, datasets</w:t>
            </w:r>
          </w:p>
        </w:tc>
      </w:tr>
      <w:tr>
        <w:tc>
          <w:tcPr>
            <w:tcW w:type="dxa" w:w="2160"/>
            <w:shd w:val="clear" w:fill="EEF1F7"/>
          </w:tcPr>
          <w:p>
            <w:pPr>
              <w:spacing w:after="40" w:before="40"/>
            </w:pPr>
            <w:r>
              <w:rPr>
                <w:rFonts w:ascii="Calibri" w:hAnsi="Calibri"/>
                <w:b/>
                <w:color w:val="1F3A5F"/>
                <w:sz w:val="17"/>
              </w:rPr>
              <w:t>Analytics (later)</w:t>
            </w:r>
          </w:p>
        </w:tc>
        <w:tc>
          <w:tcPr>
            <w:tcW w:type="dxa" w:w="3744"/>
            <w:shd w:val="clear" w:fill="EEF1F7"/>
          </w:tcPr>
          <w:p>
            <w:pPr>
              <w:spacing w:after="40" w:before="40"/>
            </w:pPr>
            <w:r>
              <w:rPr>
                <w:rFonts w:ascii="Calibri" w:hAnsi="Calibri"/>
                <w:sz w:val="17"/>
              </w:rPr>
              <w:t>Microsoft Fabric / OneLake</w:t>
            </w:r>
          </w:p>
        </w:tc>
        <w:tc>
          <w:tcPr>
            <w:tcW w:type="dxa" w:w="3312"/>
            <w:shd w:val="clear" w:fill="EEF1F7"/>
          </w:tcPr>
          <w:p>
            <w:pPr>
              <w:spacing w:after="40" w:before="40"/>
            </w:pPr>
            <w:r>
              <w:rPr>
                <w:rFonts w:ascii="Calibri" w:hAnsi="Calibri"/>
                <w:sz w:val="17"/>
              </w:rPr>
              <w:t>telemetry lake, dashboards, training-data curation</w:t>
            </w:r>
          </w:p>
        </w:tc>
      </w:tr>
      <w:tr>
        <w:tc>
          <w:tcPr>
            <w:tcW w:type="dxa" w:w="2160"/>
          </w:tcPr>
          <w:p>
            <w:pPr>
              <w:spacing w:after="40" w:before="40"/>
            </w:pPr>
            <w:r>
              <w:rPr>
                <w:rFonts w:ascii="Calibri" w:hAnsi="Calibri"/>
                <w:b/>
                <w:color w:val="1F3A5F"/>
                <w:sz w:val="17"/>
              </w:rPr>
              <w:t>Gateway / compute</w:t>
            </w:r>
          </w:p>
        </w:tc>
        <w:tc>
          <w:tcPr>
            <w:tcW w:type="dxa" w:w="3744"/>
          </w:tcPr>
          <w:p>
            <w:pPr>
              <w:spacing w:after="40" w:before="40"/>
            </w:pPr>
            <w:r>
              <w:rPr>
                <w:rFonts w:ascii="Calibri" w:hAnsi="Calibri"/>
                <w:sz w:val="17"/>
              </w:rPr>
              <w:t>API Management, Container Apps, Functions</w:t>
            </w:r>
          </w:p>
        </w:tc>
        <w:tc>
          <w:tcPr>
            <w:tcW w:type="dxa" w:w="3312"/>
          </w:tcPr>
          <w:p>
            <w:pPr>
              <w:spacing w:after="40" w:before="40"/>
            </w:pPr>
            <w:r>
              <w:rPr>
                <w:rFonts w:ascii="Calibri" w:hAnsi="Calibri"/>
                <w:sz w:val="17"/>
              </w:rPr>
              <w:t>one entry point; run the services</w:t>
            </w:r>
          </w:p>
        </w:tc>
      </w:tr>
      <w:tr>
        <w:tc>
          <w:tcPr>
            <w:tcW w:type="dxa" w:w="2160"/>
            <w:shd w:val="clear" w:fill="EEF1F7"/>
          </w:tcPr>
          <w:p>
            <w:pPr>
              <w:spacing w:after="40" w:before="40"/>
            </w:pPr>
            <w:r>
              <w:rPr>
                <w:rFonts w:ascii="Calibri" w:hAnsi="Calibri"/>
                <w:b/>
                <w:color w:val="1F3A5F"/>
                <w:sz w:val="17"/>
              </w:rPr>
              <w:t>Observability</w:t>
            </w:r>
          </w:p>
        </w:tc>
        <w:tc>
          <w:tcPr>
            <w:tcW w:type="dxa" w:w="3744"/>
            <w:shd w:val="clear" w:fill="EEF1F7"/>
          </w:tcPr>
          <w:p>
            <w:pPr>
              <w:spacing w:after="40" w:before="40"/>
            </w:pPr>
            <w:r>
              <w:rPr>
                <w:rFonts w:ascii="Calibri" w:hAnsi="Calibri"/>
                <w:sz w:val="17"/>
              </w:rPr>
              <w:t>Azure Monitor, Application Insights, self-hosted Langfuse</w:t>
            </w:r>
          </w:p>
        </w:tc>
        <w:tc>
          <w:tcPr>
            <w:tcW w:type="dxa" w:w="3312"/>
            <w:shd w:val="clear" w:fill="EEF1F7"/>
          </w:tcPr>
          <w:p>
            <w:pPr>
              <w:spacing w:after="40" w:before="40"/>
            </w:pPr>
            <w:r>
              <w:rPr>
                <w:rFonts w:ascii="Calibri" w:hAnsi="Calibri"/>
                <w:sz w:val="17"/>
              </w:rPr>
              <w:t>tracing, dashboards, LLM-specific view</w:t>
            </w:r>
          </w:p>
        </w:tc>
      </w:tr>
      <w:tr>
        <w:tc>
          <w:tcPr>
            <w:tcW w:type="dxa" w:w="2160"/>
          </w:tcPr>
          <w:p>
            <w:pPr>
              <w:spacing w:after="40" w:before="40"/>
            </w:pPr>
            <w:r>
              <w:rPr>
                <w:rFonts w:ascii="Calibri" w:hAnsi="Calibri"/>
                <w:b/>
                <w:color w:val="1F3A5F"/>
                <w:sz w:val="17"/>
              </w:rPr>
              <w:t>Web app (APIX)</w:t>
            </w:r>
          </w:p>
        </w:tc>
        <w:tc>
          <w:tcPr>
            <w:tcW w:type="dxa" w:w="3744"/>
          </w:tcPr>
          <w:p>
            <w:pPr>
              <w:spacing w:after="40" w:before="40"/>
            </w:pPr>
            <w:r>
              <w:rPr>
                <w:rFonts w:ascii="Calibri" w:hAnsi="Calibri"/>
                <w:sz w:val="17"/>
              </w:rPr>
              <w:t>App Service / Static Web Apps</w:t>
            </w:r>
          </w:p>
        </w:tc>
        <w:tc>
          <w:tcPr>
            <w:tcW w:type="dxa" w:w="3312"/>
          </w:tcPr>
          <w:p>
            <w:pPr>
              <w:spacing w:after="40" w:before="40"/>
            </w:pPr>
            <w:r>
              <w:rPr>
                <w:rFonts w:ascii="Calibri" w:hAnsi="Calibri"/>
                <w:sz w:val="17"/>
              </w:rPr>
              <w:t>the dashboard front end</w:t>
            </w:r>
          </w:p>
        </w:tc>
      </w:tr>
      <w:tr>
        <w:tc>
          <w:tcPr>
            <w:tcW w:type="dxa" w:w="2160"/>
            <w:shd w:val="clear" w:fill="EEF1F7"/>
          </w:tcPr>
          <w:p>
            <w:pPr>
              <w:spacing w:after="40" w:before="40"/>
            </w:pPr>
            <w:r>
              <w:rPr>
                <w:rFonts w:ascii="Calibri" w:hAnsi="Calibri"/>
                <w:b/>
                <w:color w:val="1F3A5F"/>
                <w:sz w:val="17"/>
              </w:rPr>
              <w:t>Security / identity</w:t>
            </w:r>
          </w:p>
        </w:tc>
        <w:tc>
          <w:tcPr>
            <w:tcW w:type="dxa" w:w="3744"/>
            <w:shd w:val="clear" w:fill="EEF1F7"/>
          </w:tcPr>
          <w:p>
            <w:pPr>
              <w:spacing w:after="40" w:before="40"/>
            </w:pPr>
            <w:r>
              <w:rPr>
                <w:rFonts w:ascii="Calibri" w:hAnsi="Calibri"/>
                <w:sz w:val="17"/>
              </w:rPr>
              <w:t>Entra ID, Key Vault, Private Endpoints, Purview, Defender</w:t>
            </w:r>
          </w:p>
        </w:tc>
        <w:tc>
          <w:tcPr>
            <w:tcW w:type="dxa" w:w="3312"/>
            <w:shd w:val="clear" w:fill="EEF1F7"/>
          </w:tcPr>
          <w:p>
            <w:pPr>
              <w:spacing w:after="40" w:before="40"/>
            </w:pPr>
            <w:r>
              <w:rPr>
                <w:rFonts w:ascii="Calibri" w:hAnsi="Calibri"/>
                <w:sz w:val="17"/>
              </w:rPr>
              <w:t>identity, secrets, network, governance</w:t>
            </w:r>
          </w:p>
        </w:tc>
      </w:tr>
      <w:tr>
        <w:tc>
          <w:tcPr>
            <w:tcW w:type="dxa" w:w="2160"/>
          </w:tcPr>
          <w:p>
            <w:pPr>
              <w:spacing w:after="40" w:before="40"/>
            </w:pPr>
            <w:r>
              <w:rPr>
                <w:rFonts w:ascii="Calibri" w:hAnsi="Calibri"/>
                <w:b/>
                <w:color w:val="1F3A5F"/>
                <w:sz w:val="17"/>
              </w:rPr>
              <w:t>CI/CD</w:t>
            </w:r>
          </w:p>
        </w:tc>
        <w:tc>
          <w:tcPr>
            <w:tcW w:type="dxa" w:w="3744"/>
          </w:tcPr>
          <w:p>
            <w:pPr>
              <w:spacing w:after="40" w:before="40"/>
            </w:pPr>
            <w:r>
              <w:rPr>
                <w:rFonts w:ascii="Calibri" w:hAnsi="Calibri"/>
                <w:sz w:val="17"/>
              </w:rPr>
              <w:t>GitHub + GitHub Actions (federated login)</w:t>
            </w:r>
          </w:p>
        </w:tc>
        <w:tc>
          <w:tcPr>
            <w:tcW w:type="dxa" w:w="3312"/>
          </w:tcPr>
          <w:p>
            <w:pPr>
              <w:spacing w:after="40" w:before="40"/>
            </w:pPr>
            <w:r>
              <w:rPr>
                <w:rFonts w:ascii="Calibri" w:hAnsi="Calibri"/>
                <w:sz w:val="17"/>
              </w:rPr>
              <w:t>test and release automatically</w:t>
            </w:r>
          </w:p>
        </w:tc>
      </w:tr>
    </w:tbl>
    <w:p>
      <w:pPr>
        <w:spacing w:after="80" w:before="0"/>
      </w:pPr>
    </w:p>
    <w:p>
      <w:pPr>
        <w:spacing w:after="120" w:before="0"/>
      </w:pPr>
      <w:r>
        <w:rPr>
          <w:rFonts w:ascii="Calibri" w:hAnsi="Calibri"/>
          <w:b w:val="0"/>
          <w:i w:val="0"/>
          <w:sz w:val="21"/>
        </w:rPr>
        <w:t>Environments: separate dev, test and production on a landing zone. Shared platform vs per-use-case: everything above is built once and shared; per use case we add only the prompts, agents, tools, and golden datasets.</w:t>
      </w:r>
    </w:p>
    <w:p>
      <w:pPr>
        <w:pStyle w:val="Heading1"/>
      </w:pPr>
      <w:r>
        <w:t>8. What We Need to Proceed</w:t>
      </w:r>
    </w:p>
    <w:p>
      <w:pPr>
        <w:spacing w:after="120" w:before="0"/>
      </w:pPr>
      <w:r>
        <w:rPr>
          <w:rFonts w:ascii="Calibri" w:hAnsi="Calibri"/>
          <w:b w:val="0"/>
          <w:i w:val="0"/>
          <w:sz w:val="21"/>
        </w:rPr>
        <w:t>No dates yet — this is what unblocks the work when we are ready:</w:t>
      </w:r>
    </w:p>
    <w:p>
      <w:pPr>
        <w:pStyle w:val="ListBullet"/>
        <w:spacing w:after="60"/>
      </w:pPr>
      <w:r>
        <w:rPr>
          <w:rFonts w:ascii="Calibri" w:hAnsi="Calibri"/>
          <w:sz w:val="21"/>
        </w:rPr>
        <w:t>access to review the APIX and Hiring pipelines with the product team (to confirm the as-is).</w:t>
      </w:r>
    </w:p>
    <w:p>
      <w:pPr>
        <w:pStyle w:val="ListBullet"/>
        <w:spacing w:after="60"/>
      </w:pPr>
      <w:r>
        <w:rPr>
          <w:rFonts w:ascii="Calibri" w:hAnsi="Calibri"/>
          <w:sz w:val="21"/>
        </w:rPr>
        <w:t>Azure subscription access and model quota.</w:t>
      </w:r>
    </w:p>
    <w:p>
      <w:pPr>
        <w:pStyle w:val="ListBullet"/>
        <w:spacing w:after="60"/>
      </w:pPr>
      <w:r>
        <w:rPr>
          <w:rFonts w:ascii="Calibri" w:hAnsi="Calibri"/>
          <w:sz w:val="21"/>
        </w:rPr>
        <w:t>access to the relevant data sources (transcripts, job descriptions, rubrics).</w:t>
      </w:r>
    </w:p>
    <w:p>
      <w:pPr>
        <w:pStyle w:val="ListBullet"/>
        <w:spacing w:after="60"/>
      </w:pPr>
      <w:r>
        <w:rPr>
          <w:rFonts w:ascii="Calibri" w:hAnsi="Calibri"/>
          <w:sz w:val="21"/>
        </w:rPr>
        <w:t>subject-matter expert time to help build the first golden datasets.</w:t>
      </w:r>
    </w:p>
    <w:p>
      <w:pPr>
        <w:spacing w:after="120" w:before="0"/>
      </w:pPr>
    </w:p>
    <w:p>
      <w:pPr>
        <w:spacing w:after="120" w:before="0"/>
        <w:jc w:val="center"/>
      </w:pPr>
      <w:r>
        <w:rPr>
          <w:rFonts w:ascii="Calibri" w:hAnsi="Calibri"/>
          <w:b w:val="0"/>
          <w:i/>
          <w:color w:val="505A6A"/>
          <w:sz w:val="19"/>
        </w:rPr>
        <w:t>Prepared for internal review. Feedback and refinement welcome — this is a starting point for the approach, not a final plan.</w:t>
      </w:r>
    </w:p>
    <w:sectPr w:rsidR="00FC693F" w:rsidRPr="0006063C" w:rsidSect="00034616">
      <w:footerReference w:type="default" r:id="rId9"/>
      <w:pgSz w:w="12240" w:h="15840"/>
      <w:pgMar w:top="1296"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05A6A"/>
        <w:sz w:val="16"/>
      </w:rPr>
      <w:t>LLMOps Approach — APIX &amp; Hiring Intelligence  ·  Working draft for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Calibri" w:hAnsi="Calibri"/>
      <w:color w:val="2228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2F5C9E"/>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E7A7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