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03EB451A" wp14:textId="7B48DB42">
      <w:pPr>
        <w:pStyle w:val="Title"/>
      </w:pPr>
      <w:r w:rsidR="66D3D763">
        <w:rPr/>
        <w:t xml:space="preserve">Azure Multi-Agent </w:t>
      </w:r>
      <w:r w:rsidR="66D3D763">
        <w:rPr/>
        <w:t>LLMOps</w:t>
      </w:r>
      <w:r w:rsidR="66D3D763">
        <w:rPr/>
        <w:t xml:space="preserve"> Architecture</w:t>
      </w:r>
    </w:p>
    <w:p xmlns:wp14="http://schemas.microsoft.com/office/word/2010/wordml" w:rsidP="66D3D763" w14:paraId="2664F4B3" wp14:textId="6DEB72F3">
      <w:pPr/>
      <w:r w:rsidR="66D3D763">
        <w:rPr/>
        <w:t xml:space="preserve">This document describes how to design, build, deploy, </w:t>
      </w:r>
      <w:r w:rsidR="66D3D763">
        <w:rPr/>
        <w:t>govern</w:t>
      </w:r>
      <w:r w:rsidR="66D3D763">
        <w:rPr/>
        <w:t xml:space="preserve"> and </w:t>
      </w:r>
      <w:r w:rsidR="66D3D763">
        <w:rPr/>
        <w:t>operate</w:t>
      </w:r>
      <w:r w:rsidR="66D3D763">
        <w:rPr/>
        <w:t xml:space="preserve"> a multi-agent AI platform on Microsoft Azure using Azure AI Foundry, Azure AI Agent Service, Azure OpenAI, Azure AI Search</w:t>
      </w:r>
      <w:r w:rsidR="25D3D1B7">
        <w:rPr/>
        <w:t xml:space="preserve"> </w:t>
      </w:r>
      <w:r w:rsidR="66D3D763">
        <w:rPr/>
        <w:t xml:space="preserve">and Azure DevOps/GitHub. The document focuses on agent orchestration, RAG, </w:t>
      </w:r>
      <w:r w:rsidR="66D3D763">
        <w:rPr/>
        <w:t>LLMOps</w:t>
      </w:r>
      <w:r w:rsidR="66D3D763">
        <w:rPr/>
        <w:t xml:space="preserve">, observability, evaluation, </w:t>
      </w:r>
      <w:r w:rsidR="66D3D763">
        <w:rPr/>
        <w:t>guardrails</w:t>
      </w:r>
      <w:r w:rsidR="66D3D763">
        <w:rPr/>
        <w:t xml:space="preserve"> and CI/CD.</w:t>
      </w:r>
    </w:p>
    <w:p xmlns:wp14="http://schemas.microsoft.com/office/word/2010/wordml" w14:paraId="1C51BB59" wp14:textId="77777777">
      <w:pPr>
        <w:pStyle w:val="Heading1"/>
      </w:pPr>
      <w:r>
        <w:t>Business Objectives</w:t>
      </w:r>
    </w:p>
    <w:p xmlns:wp14="http://schemas.microsoft.com/office/word/2010/wordml" w14:paraId="6DE10B08" wp14:textId="77777777">
      <w:r w:rsidR="66D3D763">
        <w:rPr/>
        <w:t>Support multiple collaborating agents, improve response quality through specialization, reduce hallucinations using RAG, implement governance, enable continuous deployment, provide operational visibility and support enterprise scale.</w:t>
      </w:r>
    </w:p>
    <w:p w:rsidR="66D3D763" w:rsidRDefault="66D3D763" w14:paraId="504BC119" w14:textId="6ACED921"/>
    <w:p w:rsidR="537CC336" w:rsidP="66D3D763" w:rsidRDefault="537CC336" w14:paraId="66A142AE" w14:textId="4663AAFC">
      <w:pPr>
        <w:pStyle w:val="Heading1"/>
      </w:pPr>
      <w:r w:rsidR="537CC336">
        <w:rPr/>
        <w:t>Complete Azure LLMops Flow</w:t>
      </w:r>
    </w:p>
    <w:p w:rsidR="66D3D763" w:rsidP="66D3D763" w:rsidRDefault="66D3D763" w14:paraId="475684E0" w14:textId="587D8D2D">
      <w:pPr>
        <w:pStyle w:val="Normal"/>
      </w:pPr>
    </w:p>
    <w:p w:rsidR="537CC336" w:rsidP="66D3D763" w:rsidRDefault="537CC336" w14:paraId="4C8019D2" w14:textId="1C7C69B9">
      <w:pPr>
        <w:pStyle w:val="Normal"/>
      </w:pPr>
      <w:r w:rsidRPr="66D3D763" w:rsidR="537CC336">
        <w:rPr>
          <w:rFonts w:ascii="Segoe UI" w:hAnsi="Segoe UI" w:eastAsia="Segoe UI" w:cs="Segoe UI"/>
          <w:b w:val="0"/>
          <w:bCs w:val="0"/>
          <w:i w:val="0"/>
          <w:iCs w:val="0"/>
          <w:caps w:val="0"/>
          <w:smallCaps w:val="0"/>
          <w:noProof w:val="0"/>
          <w:color w:val="1F2328"/>
          <w:sz w:val="24"/>
          <w:szCs w:val="24"/>
          <w:lang w:val="en-US"/>
        </w:rPr>
        <w:t>This section details the reference architecture for LLMOps</w:t>
      </w:r>
      <w:r>
        <w:br/>
      </w:r>
      <w:r w:rsidR="537CC336">
        <w:drawing>
          <wp:inline wp14:editId="3F6E4229" wp14:anchorId="1AB828E2">
            <wp:extent cx="5486400" cy="3839906"/>
            <wp:effectExtent l="0" t="0" r="0" b="0"/>
            <wp:docPr id="1459350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7868776" name="Picture 597868776"/>
                    <pic:cNvPicPr/>
                  </pic:nvPicPr>
                  <pic:blipFill>
                    <a:blip xmlns:r="http://schemas.openxmlformats.org/officeDocument/2006/relationships" r:embed="rId91294787">
                      <a:extLst>
                        <a:ext uri="{28A0092B-C50C-407E-A947-70E740481C1C}">
                          <a14:useLocalDpi xmlns:a14="http://schemas.microsoft.com/office/drawing/2010/main"/>
                        </a:ext>
                      </a:extLst>
                    </a:blip>
                    <a:stretch>
                      <a:fillRect/>
                    </a:stretch>
                  </pic:blipFill>
                  <pic:spPr>
                    <a:xfrm rot="0">
                      <a:off x="0" y="0"/>
                      <a:ext cx="5486400" cy="3839906"/>
                    </a:xfrm>
                    <a:prstGeom prst="rect">
                      <a:avLst/>
                    </a:prstGeom>
                  </pic:spPr>
                </pic:pic>
              </a:graphicData>
            </a:graphic>
          </wp:inline>
        </w:drawing>
      </w:r>
    </w:p>
    <w:p w:rsidR="66D3D763" w:rsidRDefault="66D3D763" w14:paraId="5D052056" w14:textId="3B23527E"/>
    <w:p xmlns:wp14="http://schemas.microsoft.com/office/word/2010/wordml" w14:paraId="0F9EA502" wp14:textId="77777777">
      <w:pPr>
        <w:pStyle w:val="Heading1"/>
      </w:pPr>
      <w:r>
        <w:t>Azure AI Foundry Platform</w:t>
      </w:r>
    </w:p>
    <w:p xmlns:wp14="http://schemas.microsoft.com/office/word/2010/wordml" w14:paraId="267A374B" wp14:textId="77777777">
      <w:r>
        <w:t>Azure AI Foundry serves as the central platform for agent authoring, model management, evaluations, tracing, deployment and governance. Agent definitions, evaluations and deployment configurations are managed centrally.</w:t>
      </w:r>
    </w:p>
    <w:p xmlns:wp14="http://schemas.microsoft.com/office/word/2010/wordml" w14:paraId="6B7CED2F" wp14:textId="77777777">
      <w:pPr>
        <w:pStyle w:val="Heading1"/>
      </w:pPr>
      <w:r w:rsidR="66D3D763">
        <w:rPr/>
        <w:t>Multi-Agent Orchestration</w:t>
      </w:r>
    </w:p>
    <w:p w:rsidR="4C3B5D33" w:rsidP="66D3D763" w:rsidRDefault="4C3B5D33" w14:paraId="62881D57" w14:textId="78CFECD1">
      <w:pPr>
        <w:pStyle w:val="Normal"/>
      </w:pPr>
      <w:r w:rsidRPr="66D3D763" w:rsidR="4C3B5D33">
        <w:rPr>
          <w:rFonts w:ascii="Cambria" w:hAnsi="Cambria" w:eastAsia="Cambria" w:cs="Cambria"/>
          <w:noProof w:val="0"/>
          <w:sz w:val="22"/>
          <w:szCs w:val="22"/>
          <w:lang w:val="en-US"/>
        </w:rPr>
        <w:t xml:space="preserve">Multi-Agent </w:t>
      </w:r>
      <w:r w:rsidRPr="66D3D763" w:rsidR="4C3B5D33">
        <w:rPr>
          <w:rFonts w:ascii="Cambria" w:hAnsi="Cambria" w:eastAsia="Cambria" w:cs="Cambria"/>
          <w:noProof w:val="0"/>
          <w:sz w:val="22"/>
          <w:szCs w:val="22"/>
          <w:lang w:val="en-US"/>
        </w:rPr>
        <w:t>Workflows :These</w:t>
      </w:r>
      <w:r w:rsidRPr="66D3D763" w:rsidR="4C3B5D33">
        <w:rPr>
          <w:rFonts w:ascii="Cambria" w:hAnsi="Cambria" w:eastAsia="Cambria" w:cs="Cambria"/>
          <w:noProof w:val="0"/>
          <w:sz w:val="22"/>
          <w:szCs w:val="22"/>
          <w:lang w:val="en-US"/>
        </w:rPr>
        <w:t xml:space="preserve"> systems follow pre-defined collab oration patterns where each agent has clearly specified roles, responsibilities, and handoff points. The orchestration logic is explicitly programmed, creating predictable and repeatable processes. For example, a document processing workflow might have agents that specialize in text extraction, analysis, and formatting, working in a predetermined sequence with defined inputs and outputs for each stage. </w:t>
      </w:r>
    </w:p>
    <w:p w:rsidR="4C3B5D33" w:rsidP="66D3D763" w:rsidRDefault="4C3B5D33" w14:paraId="600A0A0D" w14:textId="75D187C7">
      <w:pPr>
        <w:pStyle w:val="Normal"/>
      </w:pPr>
      <w:r w:rsidRPr="66D3D763" w:rsidR="4C3B5D33">
        <w:rPr>
          <w:rFonts w:ascii="Cambria" w:hAnsi="Cambria" w:eastAsia="Cambria" w:cs="Cambria"/>
          <w:noProof w:val="0"/>
          <w:sz w:val="22"/>
          <w:szCs w:val="22"/>
          <w:lang w:val="en-US"/>
        </w:rPr>
        <w:t xml:space="preserve">Autonomous Multi-Agent Orchestration </w:t>
      </w:r>
      <w:r w:rsidRPr="66D3D763" w:rsidR="6F7BC749">
        <w:rPr>
          <w:rFonts w:ascii="Cambria" w:hAnsi="Cambria" w:eastAsia="Cambria" w:cs="Cambria"/>
          <w:noProof w:val="0"/>
          <w:sz w:val="22"/>
          <w:szCs w:val="22"/>
          <w:lang w:val="en-US"/>
        </w:rPr>
        <w:t>:</w:t>
      </w:r>
      <w:r w:rsidRPr="66D3D763" w:rsidR="4C3B5D33">
        <w:rPr>
          <w:rFonts w:ascii="Cambria" w:hAnsi="Cambria" w:eastAsia="Cambria" w:cs="Cambria"/>
          <w:noProof w:val="0"/>
          <w:sz w:val="22"/>
          <w:szCs w:val="22"/>
          <w:lang w:val="en-US"/>
        </w:rPr>
        <w:t xml:space="preserve">These systems use AI models to drive orchestration decisions, allowing agents to dynamically negotiate responsibilities and adapt their collaboration based on task requirements and intermediate results. The orchestration </w:t>
      </w:r>
      <w:r w:rsidRPr="66D3D763" w:rsidR="4C3B5D33">
        <w:rPr>
          <w:rFonts w:ascii="Cambria" w:hAnsi="Cambria" w:eastAsia="Cambria" w:cs="Cambria"/>
          <w:noProof w:val="0"/>
          <w:sz w:val="22"/>
          <w:szCs w:val="22"/>
          <w:lang w:val="en-US"/>
        </w:rPr>
        <w:t>emerges</w:t>
      </w:r>
      <w:r w:rsidRPr="66D3D763" w:rsidR="4C3B5D33">
        <w:rPr>
          <w:rFonts w:ascii="Cambria" w:hAnsi="Cambria" w:eastAsia="Cambria" w:cs="Cambria"/>
          <w:noProof w:val="0"/>
          <w:sz w:val="22"/>
          <w:szCs w:val="22"/>
          <w:lang w:val="en-US"/>
        </w:rPr>
        <w:t xml:space="preserve"> from agent interactions rather than being pre-programmed. This approach is particularly valuable for complex tasks </w:t>
      </w:r>
      <w:r w:rsidRPr="66D3D763" w:rsidR="240BF7FA">
        <w:rPr>
          <w:rFonts w:ascii="Cambria" w:hAnsi="Cambria" w:eastAsia="Cambria" w:cs="Cambria"/>
          <w:noProof w:val="0"/>
          <w:sz w:val="22"/>
          <w:szCs w:val="22"/>
          <w:lang w:val="en-US"/>
        </w:rPr>
        <w:t>.</w:t>
      </w:r>
      <w:r w:rsidRPr="66D3D763" w:rsidR="4C3B5D33">
        <w:rPr>
          <w:rFonts w:ascii="Cambria" w:hAnsi="Cambria" w:eastAsia="Cambria" w:cs="Cambria"/>
          <w:noProof w:val="0"/>
          <w:sz w:val="22"/>
          <w:szCs w:val="22"/>
          <w:lang w:val="en-US"/>
        </w:rPr>
        <w:t xml:space="preserve"> The choice between these approaches directly </w:t>
      </w:r>
      <w:r w:rsidRPr="66D3D763" w:rsidR="4C3B5D33">
        <w:rPr>
          <w:rFonts w:ascii="Cambria" w:hAnsi="Cambria" w:eastAsia="Cambria" w:cs="Cambria"/>
          <w:noProof w:val="0"/>
          <w:sz w:val="22"/>
          <w:szCs w:val="22"/>
          <w:lang w:val="en-US"/>
        </w:rPr>
        <w:t>impacts</w:t>
      </w:r>
      <w:r w:rsidRPr="66D3D763" w:rsidR="4C3B5D33">
        <w:rPr>
          <w:rFonts w:ascii="Cambria" w:hAnsi="Cambria" w:eastAsia="Cambria" w:cs="Cambria"/>
          <w:noProof w:val="0"/>
          <w:sz w:val="22"/>
          <w:szCs w:val="22"/>
          <w:lang w:val="en-US"/>
        </w:rPr>
        <w:t xml:space="preserve"> system behavior: workflows provide predictability and reliability, while autonomous systems offer adaptability and innovation. </w:t>
      </w:r>
    </w:p>
    <w:p w:rsidR="66D3D763" w:rsidP="66D3D763" w:rsidRDefault="66D3D763" w14:paraId="08306082" w14:textId="1B06FCDD">
      <w:pPr>
        <w:pStyle w:val="Normal"/>
        <w:rPr>
          <w:rFonts w:ascii="Cambria" w:hAnsi="Cambria" w:eastAsia="Cambria" w:cs="Cambria"/>
          <w:noProof w:val="0"/>
          <w:sz w:val="22"/>
          <w:szCs w:val="22"/>
          <w:lang w:val="en-US"/>
        </w:rPr>
      </w:pPr>
    </w:p>
    <w:p w:rsidR="0D736DF0" w:rsidP="66D3D763" w:rsidRDefault="0D736DF0" w14:paraId="02C3A0B0" w14:textId="68604671">
      <w:pPr>
        <w:pStyle w:val="Heading1"/>
      </w:pPr>
      <w:r w:rsidR="0D736DF0">
        <w:rPr/>
        <w:t>Multi Agent System</w:t>
      </w:r>
    </w:p>
    <w:p w:rsidR="0D736DF0" w:rsidP="66D3D763" w:rsidRDefault="0D736DF0" w14:paraId="761E7257" w14:textId="3FC89D8F">
      <w:pPr>
        <w:shd w:val="clear" w:color="auto" w:fill="FFFFFF" w:themeFill="background1"/>
        <w:spacing w:before="0" w:beforeAutospacing="off" w:after="240" w:afterAutospacing="off"/>
      </w:pPr>
      <w:r w:rsidRPr="66D3D763" w:rsidR="0D736DF0">
        <w:rPr>
          <w:rFonts w:ascii="Segoe UI" w:hAnsi="Segoe UI" w:eastAsia="Segoe UI" w:cs="Segoe UI"/>
          <w:b w:val="0"/>
          <w:bCs w:val="0"/>
          <w:i w:val="0"/>
          <w:iCs w:val="0"/>
          <w:caps w:val="0"/>
          <w:smallCaps w:val="0"/>
          <w:noProof w:val="0"/>
          <w:color w:val="1F2328"/>
          <w:sz w:val="24"/>
          <w:szCs w:val="24"/>
          <w:lang w:val="en-US"/>
        </w:rPr>
        <w:t>The architecture below illustrates a  multi-agent system, supporting both local and remote agents through a central orchestration layer. The system integrates with knowledge bases and vector databases, and maintains context and state through a persistent storage layer. Integration with external tools is supported through an MCP (Model Context Protocol) server. This design ensures flexibility, extensibility, and strong control boundaries between components, allowing seamless onboarding of new models, tools, and communication patterns.</w:t>
      </w:r>
    </w:p>
    <w:p w:rsidR="66D3D763" w:rsidRDefault="66D3D763" w14:paraId="7BC34AC7" w14:textId="0F35F35A"/>
    <w:p w:rsidR="0D736DF0" w:rsidP="66D3D763" w:rsidRDefault="0D736DF0" w14:paraId="340AFF5A" w14:textId="68F93989">
      <w:pPr>
        <w:pStyle w:val="Normal"/>
        <w:shd w:val="clear" w:color="auto" w:fill="FFFFFF" w:themeFill="background1"/>
        <w:spacing w:before="360" w:beforeAutospacing="off" w:after="240" w:afterAutospacing="off"/>
      </w:pPr>
      <w:r w:rsidR="0D736DF0">
        <w:drawing>
          <wp:inline wp14:editId="043156B2" wp14:anchorId="61DF127A">
            <wp:extent cx="5486400" cy="4660899"/>
            <wp:effectExtent l="0" t="0" r="0" b="0"/>
            <wp:docPr id="18529199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6745681" name="Picture 396745681"/>
                    <pic:cNvPicPr/>
                  </pic:nvPicPr>
                  <pic:blipFill>
                    <a:blip xmlns:r="http://schemas.openxmlformats.org/officeDocument/2006/relationships" r:embed="rId783300634">
                      <a:extLst>
                        <a:ext uri="{28A0092B-C50C-407E-A947-70E740481C1C}">
                          <a14:useLocalDpi xmlns:a14="http://schemas.microsoft.com/office/drawing/2010/main"/>
                        </a:ext>
                      </a:extLst>
                    </a:blip>
                    <a:stretch>
                      <a:fillRect/>
                    </a:stretch>
                  </pic:blipFill>
                  <pic:spPr>
                    <a:xfrm rot="0">
                      <a:off x="0" y="0"/>
                      <a:ext cx="5486400" cy="4660899"/>
                    </a:xfrm>
                    <a:prstGeom prst="rect">
                      <a:avLst/>
                    </a:prstGeom>
                  </pic:spPr>
                </pic:pic>
              </a:graphicData>
            </a:graphic>
          </wp:inline>
        </w:drawing>
      </w:r>
      <w:r w:rsidRPr="66D3D763" w:rsidR="387C4533">
        <w:rPr>
          <w:rFonts w:ascii="Segoe UI" w:hAnsi="Segoe UI" w:eastAsia="Segoe UI" w:cs="Segoe UI"/>
          <w:b w:val="1"/>
          <w:bCs w:val="1"/>
          <w:i w:val="0"/>
          <w:iCs w:val="0"/>
          <w:caps w:val="0"/>
          <w:smallCaps w:val="0"/>
          <w:noProof w:val="0"/>
          <w:color w:val="1F2328"/>
          <w:sz w:val="24"/>
          <w:szCs w:val="24"/>
          <w:lang w:val="en-US"/>
        </w:rPr>
        <w:t>User Application</w:t>
      </w:r>
    </w:p>
    <w:p w:rsidR="387C4533" w:rsidP="66D3D763" w:rsidRDefault="387C4533" w14:paraId="23A7933F" w14:textId="22C48CFC">
      <w:pPr>
        <w:pStyle w:val="ListParagraph"/>
        <w:numPr>
          <w:ilvl w:val="0"/>
          <w:numId w:val="10"/>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1F2328"/>
          <w:sz w:val="24"/>
          <w:szCs w:val="24"/>
          <w:lang w:val="en-US"/>
        </w:rPr>
      </w:pPr>
      <w:r w:rsidRPr="66D3D763" w:rsidR="387C4533">
        <w:rPr>
          <w:rFonts w:ascii="Segoe UI" w:hAnsi="Segoe UI" w:eastAsia="Segoe UI" w:cs="Segoe UI"/>
          <w:b w:val="0"/>
          <w:bCs w:val="0"/>
          <w:i w:val="0"/>
          <w:iCs w:val="0"/>
          <w:caps w:val="0"/>
          <w:smallCaps w:val="0"/>
          <w:noProof w:val="0"/>
          <w:color w:val="1F2328"/>
          <w:sz w:val="24"/>
          <w:szCs w:val="24"/>
          <w:lang w:val="en-US"/>
        </w:rPr>
        <w:t>The interface layer that facilitates user interaction with the multi-agent system.</w:t>
      </w:r>
    </w:p>
    <w:p w:rsidR="387C4533" w:rsidP="66D3D763" w:rsidRDefault="387C4533" w14:paraId="331829F5" w14:textId="6FE754F8">
      <w:pPr>
        <w:pStyle w:val="ListParagraph"/>
        <w:numPr>
          <w:ilvl w:val="0"/>
          <w:numId w:val="10"/>
        </w:numPr>
        <w:shd w:val="clear" w:color="auto" w:fill="FFFFFF" w:themeFill="background1"/>
        <w:spacing w:before="60" w:beforeAutospacing="off" w:after="0" w:afterAutospacing="off"/>
        <w:rPr>
          <w:rFonts w:ascii="Segoe UI" w:hAnsi="Segoe UI" w:eastAsia="Segoe UI" w:cs="Segoe UI"/>
          <w:b w:val="0"/>
          <w:bCs w:val="0"/>
          <w:i w:val="0"/>
          <w:iCs w:val="0"/>
          <w:caps w:val="0"/>
          <w:smallCaps w:val="0"/>
          <w:noProof w:val="0"/>
          <w:color w:val="1F2328"/>
          <w:sz w:val="24"/>
          <w:szCs w:val="24"/>
          <w:lang w:val="en-US"/>
        </w:rPr>
      </w:pPr>
      <w:r w:rsidRPr="66D3D763" w:rsidR="387C4533">
        <w:rPr>
          <w:rFonts w:ascii="Segoe UI" w:hAnsi="Segoe UI" w:eastAsia="Segoe UI" w:cs="Segoe UI"/>
          <w:b w:val="0"/>
          <w:bCs w:val="0"/>
          <w:i w:val="0"/>
          <w:iCs w:val="0"/>
          <w:caps w:val="0"/>
          <w:smallCaps w:val="0"/>
          <w:noProof w:val="0"/>
          <w:color w:val="1F2328"/>
          <w:sz w:val="24"/>
          <w:szCs w:val="24"/>
          <w:lang w:val="en-US"/>
        </w:rPr>
        <w:t>It abstracts the complexity of the underlying architecture and provides a consistent, user-friendly experience.</w:t>
      </w:r>
    </w:p>
    <w:p w:rsidR="387C4533" w:rsidP="66D3D763" w:rsidRDefault="387C4533" w14:paraId="67E9D7E2" w14:textId="526C0FF6">
      <w:pPr>
        <w:shd w:val="clear" w:color="auto" w:fill="FFFFFF" w:themeFill="background1"/>
        <w:spacing w:before="0" w:beforeAutospacing="off" w:after="240" w:afterAutospacing="off"/>
      </w:pPr>
      <w:r w:rsidRPr="66D3D763" w:rsidR="387C4533">
        <w:rPr>
          <w:rFonts w:ascii="Segoe UI" w:hAnsi="Segoe UI" w:eastAsia="Segoe UI" w:cs="Segoe UI"/>
          <w:b w:val="1"/>
          <w:bCs w:val="1"/>
          <w:i w:val="0"/>
          <w:iCs w:val="0"/>
          <w:caps w:val="0"/>
          <w:smallCaps w:val="0"/>
          <w:noProof w:val="0"/>
          <w:color w:val="1F2328"/>
          <w:sz w:val="24"/>
          <w:szCs w:val="24"/>
          <w:lang w:val="en-US"/>
        </w:rPr>
        <w:t>How it works</w:t>
      </w:r>
      <w:r w:rsidRPr="66D3D763" w:rsidR="387C4533">
        <w:rPr>
          <w:rFonts w:ascii="Segoe UI" w:hAnsi="Segoe UI" w:eastAsia="Segoe UI" w:cs="Segoe UI"/>
          <w:b w:val="0"/>
          <w:bCs w:val="0"/>
          <w:i w:val="0"/>
          <w:iCs w:val="0"/>
          <w:caps w:val="0"/>
          <w:smallCaps w:val="0"/>
          <w:noProof w:val="0"/>
          <w:color w:val="1F2328"/>
          <w:sz w:val="24"/>
          <w:szCs w:val="24"/>
          <w:lang w:val="en-US"/>
        </w:rPr>
        <w:t>: Typically implemented as web applications, mobile apps, chat interfaces, APIs, or embedded widgets in other applications. It handles:</w:t>
      </w:r>
    </w:p>
    <w:p w:rsidR="387C4533" w:rsidP="66D3D763" w:rsidRDefault="387C4533" w14:paraId="44DCD16F" w14:textId="3667A3ED">
      <w:pPr>
        <w:pStyle w:val="ListParagraph"/>
        <w:numPr>
          <w:ilvl w:val="0"/>
          <w:numId w:val="11"/>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1F2328"/>
          <w:sz w:val="24"/>
          <w:szCs w:val="24"/>
          <w:lang w:val="en-US"/>
        </w:rPr>
      </w:pPr>
      <w:r w:rsidRPr="66D3D763" w:rsidR="387C4533">
        <w:rPr>
          <w:rFonts w:ascii="Segoe UI" w:hAnsi="Segoe UI" w:eastAsia="Segoe UI" w:cs="Segoe UI"/>
          <w:b w:val="0"/>
          <w:bCs w:val="0"/>
          <w:i w:val="0"/>
          <w:iCs w:val="0"/>
          <w:caps w:val="0"/>
          <w:smallCaps w:val="0"/>
          <w:noProof w:val="0"/>
          <w:color w:val="1F2328"/>
          <w:sz w:val="24"/>
          <w:szCs w:val="24"/>
          <w:lang w:val="en-US"/>
        </w:rPr>
        <w:t>User authentication and session management</w:t>
      </w:r>
    </w:p>
    <w:p w:rsidR="387C4533" w:rsidP="66D3D763" w:rsidRDefault="387C4533" w14:paraId="6A6502D7" w14:textId="33423A5A">
      <w:pPr>
        <w:pStyle w:val="ListParagraph"/>
        <w:numPr>
          <w:ilvl w:val="0"/>
          <w:numId w:val="11"/>
        </w:numPr>
        <w:shd w:val="clear" w:color="auto" w:fill="FFFFFF" w:themeFill="background1"/>
        <w:spacing w:before="60" w:beforeAutospacing="off" w:after="0" w:afterAutospacing="off"/>
        <w:rPr>
          <w:rFonts w:ascii="Segoe UI" w:hAnsi="Segoe UI" w:eastAsia="Segoe UI" w:cs="Segoe UI"/>
          <w:b w:val="0"/>
          <w:bCs w:val="0"/>
          <w:i w:val="0"/>
          <w:iCs w:val="0"/>
          <w:caps w:val="0"/>
          <w:smallCaps w:val="0"/>
          <w:noProof w:val="0"/>
          <w:color w:val="1F2328"/>
          <w:sz w:val="24"/>
          <w:szCs w:val="24"/>
          <w:lang w:val="en-US"/>
        </w:rPr>
      </w:pPr>
      <w:r w:rsidRPr="66D3D763" w:rsidR="387C4533">
        <w:rPr>
          <w:rFonts w:ascii="Segoe UI" w:hAnsi="Segoe UI" w:eastAsia="Segoe UI" w:cs="Segoe UI"/>
          <w:b w:val="0"/>
          <w:bCs w:val="0"/>
          <w:i w:val="0"/>
          <w:iCs w:val="0"/>
          <w:caps w:val="0"/>
          <w:smallCaps w:val="0"/>
          <w:noProof w:val="0"/>
          <w:color w:val="1F2328"/>
          <w:sz w:val="24"/>
          <w:szCs w:val="24"/>
          <w:lang w:val="en-US"/>
        </w:rPr>
        <w:t>Input formatting and validation</w:t>
      </w:r>
    </w:p>
    <w:p w:rsidR="387C4533" w:rsidP="66D3D763" w:rsidRDefault="387C4533" w14:paraId="3680A2E9" w14:textId="5D52A0ED">
      <w:pPr>
        <w:pStyle w:val="ListParagraph"/>
        <w:numPr>
          <w:ilvl w:val="0"/>
          <w:numId w:val="11"/>
        </w:numPr>
        <w:shd w:val="clear" w:color="auto" w:fill="FFFFFF" w:themeFill="background1"/>
        <w:spacing w:before="60" w:beforeAutospacing="off" w:after="0" w:afterAutospacing="off"/>
        <w:rPr>
          <w:rFonts w:ascii="Segoe UI" w:hAnsi="Segoe UI" w:eastAsia="Segoe UI" w:cs="Segoe UI"/>
          <w:b w:val="0"/>
          <w:bCs w:val="0"/>
          <w:i w:val="0"/>
          <w:iCs w:val="0"/>
          <w:caps w:val="0"/>
          <w:smallCaps w:val="0"/>
          <w:noProof w:val="0"/>
          <w:color w:val="1F2328"/>
          <w:sz w:val="24"/>
          <w:szCs w:val="24"/>
          <w:lang w:val="en-US"/>
        </w:rPr>
      </w:pPr>
      <w:r w:rsidRPr="66D3D763" w:rsidR="387C4533">
        <w:rPr>
          <w:rFonts w:ascii="Segoe UI" w:hAnsi="Segoe UI" w:eastAsia="Segoe UI" w:cs="Segoe UI"/>
          <w:b w:val="0"/>
          <w:bCs w:val="0"/>
          <w:i w:val="0"/>
          <w:iCs w:val="0"/>
          <w:caps w:val="0"/>
          <w:smallCaps w:val="0"/>
          <w:noProof w:val="0"/>
          <w:color w:val="1F2328"/>
          <w:sz w:val="24"/>
          <w:szCs w:val="24"/>
          <w:lang w:val="en-US"/>
        </w:rPr>
        <w:t>Response rendering and formatting</w:t>
      </w:r>
    </w:p>
    <w:p w:rsidR="387C4533" w:rsidP="66D3D763" w:rsidRDefault="387C4533" w14:paraId="4AED8070" w14:textId="304C0118">
      <w:pPr>
        <w:pStyle w:val="ListParagraph"/>
        <w:numPr>
          <w:ilvl w:val="0"/>
          <w:numId w:val="11"/>
        </w:numPr>
        <w:shd w:val="clear" w:color="auto" w:fill="FFFFFF" w:themeFill="background1"/>
        <w:spacing w:before="60" w:beforeAutospacing="off" w:after="0" w:afterAutospacing="off"/>
        <w:rPr>
          <w:rFonts w:ascii="Segoe UI" w:hAnsi="Segoe UI" w:eastAsia="Segoe UI" w:cs="Segoe UI"/>
          <w:b w:val="0"/>
          <w:bCs w:val="0"/>
          <w:i w:val="0"/>
          <w:iCs w:val="0"/>
          <w:caps w:val="0"/>
          <w:smallCaps w:val="0"/>
          <w:noProof w:val="0"/>
          <w:color w:val="1F2328"/>
          <w:sz w:val="24"/>
          <w:szCs w:val="24"/>
          <w:lang w:val="en-US"/>
        </w:rPr>
      </w:pPr>
      <w:r w:rsidRPr="66D3D763" w:rsidR="387C4533">
        <w:rPr>
          <w:rFonts w:ascii="Segoe UI" w:hAnsi="Segoe UI" w:eastAsia="Segoe UI" w:cs="Segoe UI"/>
          <w:b w:val="0"/>
          <w:bCs w:val="0"/>
          <w:i w:val="0"/>
          <w:iCs w:val="0"/>
          <w:caps w:val="0"/>
          <w:smallCaps w:val="0"/>
          <w:noProof w:val="0"/>
          <w:color w:val="1F2328"/>
          <w:sz w:val="24"/>
          <w:szCs w:val="24"/>
          <w:lang w:val="en-US"/>
        </w:rPr>
        <w:t>Error handling and user feedback</w:t>
      </w:r>
    </w:p>
    <w:p w:rsidR="387C4533" w:rsidP="66D3D763" w:rsidRDefault="387C4533" w14:paraId="27ADE28E" w14:textId="20F2F949">
      <w:pPr>
        <w:pStyle w:val="ListParagraph"/>
        <w:numPr>
          <w:ilvl w:val="0"/>
          <w:numId w:val="11"/>
        </w:numPr>
        <w:shd w:val="clear" w:color="auto" w:fill="FFFFFF" w:themeFill="background1"/>
        <w:spacing w:before="60" w:beforeAutospacing="off" w:after="0" w:afterAutospacing="off"/>
        <w:rPr>
          <w:rFonts w:ascii="Segoe UI" w:hAnsi="Segoe UI" w:eastAsia="Segoe UI" w:cs="Segoe UI"/>
          <w:b w:val="0"/>
          <w:bCs w:val="0"/>
          <w:i w:val="0"/>
          <w:iCs w:val="0"/>
          <w:caps w:val="0"/>
          <w:smallCaps w:val="0"/>
          <w:noProof w:val="0"/>
          <w:color w:val="1F2328"/>
          <w:sz w:val="24"/>
          <w:szCs w:val="24"/>
          <w:lang w:val="en-US"/>
        </w:rPr>
      </w:pPr>
      <w:r w:rsidRPr="66D3D763" w:rsidR="387C4533">
        <w:rPr>
          <w:rFonts w:ascii="Segoe UI" w:hAnsi="Segoe UI" w:eastAsia="Segoe UI" w:cs="Segoe UI"/>
          <w:b w:val="0"/>
          <w:bCs w:val="0"/>
          <w:i w:val="0"/>
          <w:iCs w:val="0"/>
          <w:caps w:val="0"/>
          <w:smallCaps w:val="0"/>
          <w:noProof w:val="0"/>
          <w:color w:val="1F2328"/>
          <w:sz w:val="24"/>
          <w:szCs w:val="24"/>
          <w:lang w:val="en-US"/>
        </w:rPr>
        <w:t>User preference management</w:t>
      </w:r>
    </w:p>
    <w:p w:rsidR="66D3D763" w:rsidP="66D3D763" w:rsidRDefault="66D3D763" w14:paraId="40191F5C" w14:textId="5764EDDA">
      <w:pPr>
        <w:pStyle w:val="Normal"/>
        <w:shd w:val="clear" w:color="auto" w:fill="FFFFFF" w:themeFill="background1"/>
        <w:spacing w:before="60" w:beforeAutospacing="off" w:after="0" w:afterAutospacing="off"/>
        <w:rPr>
          <w:rFonts w:ascii="Segoe UI" w:hAnsi="Segoe UI" w:eastAsia="Segoe UI" w:cs="Segoe UI"/>
          <w:b w:val="0"/>
          <w:bCs w:val="0"/>
          <w:i w:val="0"/>
          <w:iCs w:val="0"/>
          <w:caps w:val="0"/>
          <w:smallCaps w:val="0"/>
          <w:noProof w:val="0"/>
          <w:color w:val="1F2328"/>
          <w:sz w:val="24"/>
          <w:szCs w:val="24"/>
          <w:lang w:val="en-US"/>
        </w:rPr>
      </w:pPr>
    </w:p>
    <w:p w:rsidR="11EB59A8" w:rsidP="66D3D763" w:rsidRDefault="11EB59A8" w14:paraId="4A8769C1" w14:textId="7D2E4740">
      <w:pPr>
        <w:pStyle w:val="Normal"/>
        <w:shd w:val="clear" w:color="auto" w:fill="FFFFFF" w:themeFill="background1"/>
        <w:spacing w:before="60" w:beforeAutospacing="off" w:after="0" w:afterAutospacing="off"/>
      </w:pPr>
      <w:r w:rsidRPr="66D3D763" w:rsidR="11EB59A8">
        <w:rPr>
          <w:rFonts w:ascii="Segoe UI" w:hAnsi="Segoe UI" w:eastAsia="Segoe UI" w:cs="Segoe UI"/>
          <w:b w:val="0"/>
          <w:bCs w:val="0"/>
          <w:i w:val="0"/>
          <w:iCs w:val="0"/>
          <w:caps w:val="0"/>
          <w:smallCaps w:val="0"/>
          <w:noProof w:val="0"/>
          <w:color w:val="1F2328"/>
          <w:sz w:val="24"/>
          <w:szCs w:val="24"/>
          <w:lang w:val="en-US"/>
        </w:rPr>
        <w:t>Below shows the d</w:t>
      </w:r>
      <w:r w:rsidRPr="66D3D763" w:rsidR="11EB59A8">
        <w:rPr>
          <w:rFonts w:ascii="Segoe UI" w:hAnsi="Segoe UI" w:eastAsia="Segoe UI" w:cs="Segoe UI"/>
          <w:noProof w:val="0"/>
          <w:sz w:val="24"/>
          <w:szCs w:val="24"/>
          <w:lang w:val="en-US"/>
        </w:rPr>
        <w:t>ecision framework for choosing the right AI agent architecture based on task requirements,</w:t>
      </w:r>
    </w:p>
    <w:p w:rsidR="11EB59A8" w:rsidP="66D3D763" w:rsidRDefault="11EB59A8" w14:paraId="7060D6A1" w14:textId="0CB526EE">
      <w:pPr>
        <w:pStyle w:val="Normal"/>
        <w:shd w:val="clear" w:color="auto" w:fill="FFFFFF" w:themeFill="background1"/>
        <w:spacing w:before="60" w:beforeAutospacing="off" w:after="0" w:afterAutospacing="off"/>
      </w:pPr>
      <w:r w:rsidR="11EB59A8">
        <w:drawing>
          <wp:inline wp14:editId="0F62D313" wp14:anchorId="2E2967BE">
            <wp:extent cx="4650047" cy="3279923"/>
            <wp:effectExtent l="0" t="0" r="0" b="0"/>
            <wp:docPr id="6814754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1475462" name="Picture 681475462"/>
                    <pic:cNvPicPr/>
                  </pic:nvPicPr>
                  <pic:blipFill>
                    <a:blip xmlns:r="http://schemas.openxmlformats.org/officeDocument/2006/relationships" r:embed="rId1622657157">
                      <a:extLst>
                        <a:ext uri="{28A0092B-C50C-407E-A947-70E740481C1C}">
                          <a14:useLocalDpi xmlns:a14="http://schemas.microsoft.com/office/drawing/2010/main"/>
                        </a:ext>
                      </a:extLst>
                    </a:blip>
                    <a:stretch>
                      <a:fillRect/>
                    </a:stretch>
                  </pic:blipFill>
                  <pic:spPr>
                    <a:xfrm rot="0">
                      <a:off x="0" y="0"/>
                      <a:ext cx="4650047" cy="3279923"/>
                    </a:xfrm>
                    <a:prstGeom prst="rect">
                      <a:avLst/>
                    </a:prstGeom>
                  </pic:spPr>
                </pic:pic>
              </a:graphicData>
            </a:graphic>
          </wp:inline>
        </w:drawing>
      </w:r>
    </w:p>
    <w:p w:rsidR="66D3D763" w:rsidP="66D3D763" w:rsidRDefault="66D3D763" w14:paraId="65144B8C" w14:textId="46215552">
      <w:pPr>
        <w:pStyle w:val="Normal"/>
        <w:shd w:val="clear" w:color="auto" w:fill="FFFFFF" w:themeFill="background1"/>
        <w:spacing w:before="60" w:beforeAutospacing="off" w:after="0" w:afterAutospacing="off"/>
        <w:rPr>
          <w:rFonts w:ascii="Segoe UI" w:hAnsi="Segoe UI" w:eastAsia="Segoe UI" w:cs="Segoe UI"/>
          <w:b w:val="0"/>
          <w:bCs w:val="0"/>
          <w:i w:val="0"/>
          <w:iCs w:val="0"/>
          <w:caps w:val="0"/>
          <w:smallCaps w:val="0"/>
          <w:noProof w:val="0"/>
          <w:color w:val="1F2328"/>
          <w:sz w:val="24"/>
          <w:szCs w:val="24"/>
          <w:lang w:val="en-US"/>
        </w:rPr>
      </w:pPr>
    </w:p>
    <w:p w:rsidR="66D3D763" w:rsidP="66D3D763" w:rsidRDefault="66D3D763" w14:paraId="6BCB6000" w14:textId="45D8A9D2">
      <w:pPr>
        <w:pStyle w:val="Normal"/>
      </w:pPr>
    </w:p>
    <w:p xmlns:wp14="http://schemas.microsoft.com/office/word/2010/wordml" w14:paraId="69B8EA25" wp14:textId="77777777">
      <w:pPr>
        <w:pStyle w:val="Heading1"/>
      </w:pPr>
      <w:r w:rsidR="66D3D763">
        <w:rPr/>
        <w:t>Agent Collaboration</w:t>
      </w:r>
    </w:p>
    <w:p xmlns:wp14="http://schemas.microsoft.com/office/word/2010/wordml" w:rsidP="66D3D763" w14:paraId="599F9B8A" wp14:textId="52065167">
      <w:pPr>
        <w:pStyle w:val="Normal"/>
      </w:pPr>
      <w:hyperlink r:id="R2cdaa02ff730450f">
        <w:r w:rsidRPr="66D3D763" w:rsidR="6749C423">
          <w:rPr>
            <w:rStyle w:val="Hyperlink"/>
            <w:b w:val="0"/>
            <w:bCs w:val="0"/>
            <w:i w:val="0"/>
            <w:iCs w:val="0"/>
            <w:caps w:val="0"/>
            <w:smallCaps w:val="0"/>
            <w:strike w:val="0"/>
            <w:dstrike w:val="0"/>
            <w:noProof w:val="0"/>
            <w:color w:val="000000" w:themeColor="text1" w:themeTint="FF" w:themeShade="FF"/>
            <w:u w:val="none"/>
            <w:lang w:val="en-US"/>
          </w:rPr>
          <w:t>Agent collaboration in multistep workflows involves multiple autonomous agents working together to solve complex tasks. These agents may operate independently or with other agents by sharing information, dividing responsibilities, and collectively reasoning toward a goal. This approach differs from workflow agents, which centrally coordinate and delegate tasks to subordinate agents in a structured flow</w:t>
        </w:r>
      </w:hyperlink>
    </w:p>
    <w:p xmlns:wp14="http://schemas.microsoft.com/office/word/2010/wordml" w14:paraId="7049702B" wp14:textId="77777777">
      <w:pPr>
        <w:pStyle w:val="Heading1"/>
      </w:pPr>
      <w:r>
        <w:t>Enterprise RAG Architecture</w:t>
      </w:r>
    </w:p>
    <w:p xmlns:wp14="http://schemas.microsoft.com/office/word/2010/wordml" w14:paraId="78076868" wp14:textId="717E84C0">
      <w:r w:rsidR="66D3D763">
        <w:rPr/>
        <w:t xml:space="preserve">Enterprise documents are ingested, chunked, </w:t>
      </w:r>
      <w:r w:rsidR="66D3D763">
        <w:rPr/>
        <w:t>embedded</w:t>
      </w:r>
      <w:r w:rsidR="66D3D763">
        <w:rPr/>
        <w:t xml:space="preserve"> and indexed in Azure AI Search. Retrieval provides contextual grounding before generation. </w:t>
      </w:r>
    </w:p>
    <w:p xmlns:wp14="http://schemas.microsoft.com/office/word/2010/wordml" w14:paraId="3B9DB5A8" wp14:textId="77777777">
      <w:pPr>
        <w:pStyle w:val="Heading1"/>
      </w:pPr>
      <w:r>
        <w:t>Agent Authoring Standards</w:t>
      </w:r>
    </w:p>
    <w:p xmlns:wp14="http://schemas.microsoft.com/office/word/2010/wordml" w14:paraId="5B93E705" wp14:textId="77777777">
      <w:r>
        <w:t>Every agent includes business purpose, owner, model configuration, instructions, tools, memory strategy, knowledge sources, evaluation suite, guardrails, deployment targets and version history.</w:t>
      </w:r>
    </w:p>
    <w:p xmlns:wp14="http://schemas.microsoft.com/office/word/2010/wordml" w14:paraId="138A7683" wp14:textId="77777777">
      <w:pPr>
        <w:pStyle w:val="Heading1"/>
      </w:pPr>
      <w:r w:rsidR="66D3D763">
        <w:rPr/>
        <w:t>PromptOps</w:t>
      </w:r>
    </w:p>
    <w:p xmlns:wp14="http://schemas.microsoft.com/office/word/2010/wordml" w:rsidP="66D3D763" w14:paraId="5DD7E78E" wp14:textId="6511383A">
      <w:pPr>
        <w:spacing w:before="240" w:beforeAutospacing="off" w:after="240" w:afterAutospacing="off"/>
      </w:pPr>
      <w:r w:rsidRPr="66D3D763" w:rsidR="04513998">
        <w:rPr>
          <w:rFonts w:ascii="Cambria" w:hAnsi="Cambria" w:eastAsia="Cambria" w:cs="Cambria"/>
          <w:noProof w:val="0"/>
          <w:sz w:val="22"/>
          <w:szCs w:val="22"/>
          <w:lang w:val="en-US"/>
        </w:rPr>
        <w:t xml:space="preserve">This combines AI prompt management with operational excellence, integrating DevOps </w:t>
      </w:r>
      <w:r w:rsidR="66D3D763">
        <w:rPr/>
        <w:t xml:space="preserve">Prompts are treated as software assets. Version control, peer review, automated testing, </w:t>
      </w:r>
      <w:r w:rsidR="66D3D763">
        <w:rPr/>
        <w:t>a</w:t>
      </w:r>
      <w:r w:rsidR="66D3D763">
        <w:rPr/>
        <w:t>pprovals</w:t>
      </w:r>
      <w:r w:rsidR="66D3D763">
        <w:rPr/>
        <w:t xml:space="preserve"> </w:t>
      </w:r>
      <w:r w:rsidR="66D3D763">
        <w:rPr/>
        <w:t>and rollback are mandatory controls.</w:t>
      </w:r>
    </w:p>
    <w:p xmlns:wp14="http://schemas.microsoft.com/office/word/2010/wordml" w14:paraId="5B45E10E" wp14:textId="77777777">
      <w:pPr>
        <w:pStyle w:val="Heading1"/>
      </w:pPr>
      <w:r>
        <w:t>AgentOps</w:t>
      </w:r>
    </w:p>
    <w:p xmlns:wp14="http://schemas.microsoft.com/office/word/2010/wordml" w14:paraId="5C249A30" wp14:textId="77777777">
      <w:r>
        <w:t>Agent workflows, routing logic, transitions, tool integrations and memory strategies are versioned and independently deployable.</w:t>
      </w:r>
    </w:p>
    <w:p xmlns:wp14="http://schemas.microsoft.com/office/word/2010/wordml" w14:paraId="2D36CDE0" wp14:textId="77777777">
      <w:pPr>
        <w:pStyle w:val="Heading1"/>
      </w:pPr>
      <w:r>
        <w:t>EvaluationOps</w:t>
      </w:r>
    </w:p>
    <w:p xmlns:wp14="http://schemas.microsoft.com/office/word/2010/wordml" w14:paraId="2B40E1B1" wp14:textId="77777777">
      <w:r>
        <w:t>Evaluation measures groundedness, correctness, faithfulness, relevance, latency, cost, safety and workflow effectiveness. Golden datasets and benchmark datasets are executed automatically before promotion.</w:t>
      </w:r>
    </w:p>
    <w:p xmlns:wp14="http://schemas.microsoft.com/office/word/2010/wordml" w14:paraId="22AB3F23" wp14:textId="77777777">
      <w:pPr>
        <w:pStyle w:val="Heading1"/>
      </w:pPr>
      <w:r>
        <w:t>Observability</w:t>
      </w:r>
    </w:p>
    <w:p xmlns:wp14="http://schemas.microsoft.com/office/word/2010/wordml" w14:paraId="30E455F1" wp14:textId="77777777">
      <w:r>
        <w:t>Azure Monitor and Application Insights capture routing decisions, agent transitions, workflow execution, token consumption, latency, cost and business outcomes.</w:t>
      </w:r>
    </w:p>
    <w:p xmlns:wp14="http://schemas.microsoft.com/office/word/2010/wordml" w14:paraId="09911441" wp14:textId="77777777">
      <w:pPr>
        <w:pStyle w:val="Heading1"/>
      </w:pPr>
      <w:r>
        <w:t>Guardrails</w:t>
      </w:r>
    </w:p>
    <w:p xmlns:wp14="http://schemas.microsoft.com/office/word/2010/wordml" w14:paraId="72E51113" wp14:textId="77777777">
      <w:r>
        <w:t>Input and output guardrails protect against prompt injection, jailbreak attempts, unsafe content, hallucinations and data leakage. Validation agents perform policy checks before response delivery.</w:t>
      </w:r>
    </w:p>
    <w:p xmlns:wp14="http://schemas.microsoft.com/office/word/2010/wordml" w14:paraId="56CF731F" wp14:textId="77777777">
      <w:pPr>
        <w:pStyle w:val="Heading1"/>
      </w:pPr>
      <w:r>
        <w:t>CI/CD Architecture</w:t>
      </w:r>
    </w:p>
    <w:p xmlns:wp14="http://schemas.microsoft.com/office/word/2010/wordml" w14:paraId="20AB4360" wp14:textId="77777777">
      <w:r w:rsidR="66D3D763">
        <w:rPr/>
        <w:t>Developers commit changes into Git repositories. Pull requests trigger prompt validation, agent validation, workflow testing, security scanning and evaluation gates. Successful builds are promoted automatically.</w:t>
      </w:r>
    </w:p>
    <w:p w:rsidR="5702A703" w:rsidP="66D3D763" w:rsidRDefault="5702A703" w14:paraId="2EE7C0E6" w14:textId="5EC87FCD">
      <w:pPr>
        <w:spacing w:before="240" w:beforeAutospacing="off" w:after="240" w:afterAutospacing="off"/>
      </w:pPr>
      <w:r w:rsidRPr="66D3D763" w:rsidR="5702A703">
        <w:rPr>
          <w:rFonts w:ascii="Cambria" w:hAnsi="Cambria" w:eastAsia="Cambria" w:cs="Cambria"/>
          <w:noProof w:val="0"/>
          <w:sz w:val="22"/>
          <w:szCs w:val="22"/>
          <w:lang w:val="en-US"/>
        </w:rPr>
        <w:t xml:space="preserve">Azure Pipelines provides a baseline CI/CD architecture that automates code integration, testing, and deployment across environments, ensuring faster and more reliable releases. The architecture typically involves three main pipelines — PR, CI, and CD — integrated with Azure Repos, Azure Artifacts, Key Vault, and monitoring tools. </w:t>
      </w:r>
    </w:p>
    <w:p w:rsidR="5702A703" w:rsidP="66D3D763" w:rsidRDefault="5702A703" w14:paraId="3528DA4F" w14:textId="1D1EAFD7">
      <w:pPr>
        <w:spacing w:before="240" w:beforeAutospacing="off" w:after="240" w:afterAutospacing="off"/>
      </w:pPr>
      <w:r w:rsidRPr="66D3D763" w:rsidR="5702A703">
        <w:rPr>
          <w:rFonts w:ascii="Cambria" w:hAnsi="Cambria" w:eastAsia="Cambria" w:cs="Cambria"/>
          <w:b w:val="1"/>
          <w:bCs w:val="1"/>
          <w:noProof w:val="0"/>
          <w:sz w:val="22"/>
          <w:szCs w:val="22"/>
          <w:lang w:val="en-US"/>
        </w:rPr>
        <w:t>Workflow Breakdown</w:t>
      </w:r>
      <w:r w:rsidRPr="66D3D763" w:rsidR="5702A703">
        <w:rPr>
          <w:rFonts w:ascii="Cambria" w:hAnsi="Cambria" w:eastAsia="Cambria" w:cs="Cambria"/>
          <w:noProof w:val="0"/>
          <w:sz w:val="22"/>
          <w:szCs w:val="22"/>
          <w:lang w:val="en-US"/>
        </w:rPr>
        <w:t xml:space="preserve"> </w:t>
      </w:r>
    </w:p>
    <w:p w:rsidR="5702A703" w:rsidP="66D3D763" w:rsidRDefault="5702A703" w14:paraId="16F629A0" w14:textId="0EB69F94">
      <w:pPr>
        <w:spacing w:before="240" w:beforeAutospacing="off" w:after="240" w:afterAutospacing="off"/>
      </w:pPr>
      <w:r w:rsidRPr="66D3D763" w:rsidR="5702A703">
        <w:rPr>
          <w:rFonts w:ascii="Cambria" w:hAnsi="Cambria" w:eastAsia="Cambria" w:cs="Cambria"/>
          <w:noProof w:val="0"/>
          <w:sz w:val="22"/>
          <w:szCs w:val="22"/>
          <w:lang w:val="en-US"/>
        </w:rPr>
        <w:t xml:space="preserve">PR Pipeline – Triggered by a pull request to Azure Repos Git. Runs linting, static code analysis, unit tests, and dependency restores. If checks fail, the PR is blocked until fixed. </w:t>
      </w:r>
    </w:p>
    <w:p w:rsidR="5702A703" w:rsidP="66D3D763" w:rsidRDefault="5702A703" w14:paraId="2DE1B97A" w14:textId="548A2F83">
      <w:pPr>
        <w:spacing w:before="240" w:beforeAutospacing="off" w:after="240" w:afterAutospacing="off"/>
      </w:pPr>
      <w:r w:rsidRPr="66D3D763" w:rsidR="5702A703">
        <w:rPr>
          <w:rFonts w:ascii="Cambria" w:hAnsi="Cambria" w:eastAsia="Cambria" w:cs="Cambria"/>
          <w:noProof w:val="0"/>
          <w:sz w:val="22"/>
          <w:szCs w:val="22"/>
          <w:lang w:val="en-US"/>
        </w:rPr>
        <w:t xml:space="preserve">CI Pipeline – Triggered after merging to the main branch. Runs all PR checks plus integration tests and retrieves secrets from Azure Key Vault. Successful runs publish build artifacts to Azure Artifacts. </w:t>
      </w:r>
    </w:p>
    <w:p w:rsidR="5702A703" w:rsidP="66D3D763" w:rsidRDefault="5702A703" w14:paraId="5C343108" w14:textId="0FCCA5FD">
      <w:pPr>
        <w:spacing w:before="240" w:beforeAutospacing="off" w:after="240" w:afterAutospacing="off"/>
      </w:pPr>
      <w:r w:rsidRPr="66D3D763" w:rsidR="5702A703">
        <w:rPr>
          <w:rFonts w:ascii="Cambria" w:hAnsi="Cambria" w:eastAsia="Cambria" w:cs="Cambria"/>
          <w:noProof w:val="0"/>
          <w:sz w:val="22"/>
          <w:szCs w:val="22"/>
          <w:lang w:val="en-US"/>
        </w:rPr>
        <w:t xml:space="preserve">CD Pipeline – Triggered by artifact publication. Deploys to staging, runs acceptance tests, and optionally requires manual approval before deploying to production. Post-deployment smoke tests validate the release, with rollback on failure. </w:t>
      </w:r>
    </w:p>
    <w:p w:rsidR="5702A703" w:rsidP="66D3D763" w:rsidRDefault="5702A703" w14:paraId="692089FC" w14:textId="04EE5078">
      <w:pPr>
        <w:spacing w:before="240" w:beforeAutospacing="off" w:after="240" w:afterAutospacing="off"/>
        <w:rPr>
          <w:rFonts w:ascii="Cambria" w:hAnsi="Cambria" w:eastAsia="Cambria" w:cs="Cambria"/>
          <w:b w:val="1"/>
          <w:bCs w:val="1"/>
          <w:noProof w:val="0"/>
          <w:sz w:val="22"/>
          <w:szCs w:val="22"/>
          <w:lang w:val="en-US"/>
        </w:rPr>
      </w:pPr>
      <w:r w:rsidRPr="66D3D763" w:rsidR="5702A703">
        <w:rPr>
          <w:rFonts w:ascii="Cambria" w:hAnsi="Cambria" w:eastAsia="Cambria" w:cs="Cambria"/>
          <w:b w:val="1"/>
          <w:bCs w:val="1"/>
          <w:noProof w:val="0"/>
          <w:sz w:val="22"/>
          <w:szCs w:val="22"/>
          <w:lang w:val="en-US"/>
        </w:rPr>
        <w:t xml:space="preserve">Key Components </w:t>
      </w:r>
    </w:p>
    <w:p w:rsidR="5702A703" w:rsidP="66D3D763" w:rsidRDefault="5702A703" w14:paraId="70A99A0D" w14:textId="798DD8AC">
      <w:pPr>
        <w:spacing w:before="240" w:beforeAutospacing="off" w:after="240" w:afterAutospacing="off"/>
      </w:pPr>
      <w:r w:rsidRPr="66D3D763" w:rsidR="5702A703">
        <w:rPr>
          <w:rFonts w:ascii="Cambria" w:hAnsi="Cambria" w:eastAsia="Cambria" w:cs="Cambria"/>
          <w:noProof w:val="0"/>
          <w:sz w:val="22"/>
          <w:szCs w:val="22"/>
          <w:lang w:val="en-US"/>
        </w:rPr>
        <w:t xml:space="preserve">Azure Repos Git – Version control and collaboration. </w:t>
      </w:r>
    </w:p>
    <w:p w:rsidR="5702A703" w:rsidP="66D3D763" w:rsidRDefault="5702A703" w14:paraId="4888A62C" w14:textId="0CB822FC">
      <w:pPr>
        <w:spacing w:before="240" w:beforeAutospacing="off" w:after="240" w:afterAutospacing="off"/>
      </w:pPr>
      <w:r w:rsidRPr="66D3D763" w:rsidR="5702A703">
        <w:rPr>
          <w:rFonts w:ascii="Cambria" w:hAnsi="Cambria" w:eastAsia="Cambria" w:cs="Cambria"/>
          <w:noProof w:val="0"/>
          <w:sz w:val="22"/>
          <w:szCs w:val="22"/>
          <w:lang w:val="en-US"/>
        </w:rPr>
        <w:t xml:space="preserve">Azure Pipelines – Orchestrates build, test, and deployment. </w:t>
      </w:r>
    </w:p>
    <w:p w:rsidR="5702A703" w:rsidP="66D3D763" w:rsidRDefault="5702A703" w14:paraId="0DA32FBE" w14:textId="4C563C16">
      <w:pPr>
        <w:spacing w:before="240" w:beforeAutospacing="off" w:after="240" w:afterAutospacing="off"/>
      </w:pPr>
      <w:r w:rsidRPr="66D3D763" w:rsidR="5702A703">
        <w:rPr>
          <w:rFonts w:ascii="Cambria" w:hAnsi="Cambria" w:eastAsia="Cambria" w:cs="Cambria"/>
          <w:noProof w:val="0"/>
          <w:sz w:val="22"/>
          <w:szCs w:val="22"/>
          <w:lang w:val="en-US"/>
        </w:rPr>
        <w:t xml:space="preserve">Azure Artifacts – Stores and versions build outputs. </w:t>
      </w:r>
    </w:p>
    <w:p w:rsidR="5702A703" w:rsidP="66D3D763" w:rsidRDefault="5702A703" w14:paraId="14F855E9" w14:textId="66CD52AD">
      <w:pPr>
        <w:spacing w:before="240" w:beforeAutospacing="off" w:after="240" w:afterAutospacing="off"/>
      </w:pPr>
      <w:r w:rsidRPr="66D3D763" w:rsidR="5702A703">
        <w:rPr>
          <w:rFonts w:ascii="Cambria" w:hAnsi="Cambria" w:eastAsia="Cambria" w:cs="Cambria"/>
          <w:noProof w:val="0"/>
          <w:sz w:val="22"/>
          <w:szCs w:val="22"/>
          <w:lang w:val="en-US"/>
        </w:rPr>
        <w:t xml:space="preserve">Azure Key Vault – Securely manages secrets and keys. </w:t>
      </w:r>
    </w:p>
    <w:p w:rsidR="5702A703" w:rsidP="66D3D763" w:rsidRDefault="5702A703" w14:paraId="6427E085" w14:textId="224A607C">
      <w:pPr>
        <w:spacing w:before="240" w:beforeAutospacing="off" w:after="240" w:afterAutospacing="off"/>
      </w:pPr>
      <w:r w:rsidRPr="66D3D763" w:rsidR="5702A703">
        <w:rPr>
          <w:rFonts w:ascii="Cambria" w:hAnsi="Cambria" w:eastAsia="Cambria" w:cs="Cambria"/>
          <w:noProof w:val="0"/>
          <w:sz w:val="22"/>
          <w:szCs w:val="22"/>
          <w:lang w:val="en-US"/>
        </w:rPr>
        <w:t>Azure Monitor, Application Insights, Log Analytics – Provide observability, telemetry, and diagnostics.</w:t>
      </w:r>
    </w:p>
    <w:p xmlns:wp14="http://schemas.microsoft.com/office/word/2010/wordml" w14:paraId="2107A7F9" wp14:textId="77777777">
      <w:pPr>
        <w:pStyle w:val="Heading1"/>
      </w:pPr>
      <w:r>
        <w:t>Model Validation</w:t>
      </w:r>
    </w:p>
    <w:p xmlns:wp14="http://schemas.microsoft.com/office/word/2010/wordml" w14:paraId="1C083BF8" wp14:textId="77777777">
      <w:r>
        <w:t>Quality gates include functional testing, regression testing, benchmark testing, safety testing, latency validation and cost validation. Releases are approved only when thresholds are met.</w:t>
      </w:r>
    </w:p>
    <w:p xmlns:wp14="http://schemas.microsoft.com/office/word/2010/wordml" w14:paraId="7E033DB6" wp14:textId="77777777">
      <w:pPr>
        <w:pStyle w:val="Heading1"/>
      </w:pPr>
      <w:r>
        <w:t>Deployment Strategy</w:t>
      </w:r>
    </w:p>
    <w:p xmlns:wp14="http://schemas.microsoft.com/office/word/2010/wordml" w14:paraId="2526D46A" wp14:textId="77777777">
      <w:r>
        <w:t>Development, QA, UAT and Production environments are isolated. Blue-Green and Canary deployment patterns reduce risk and support rollback.</w:t>
      </w:r>
    </w:p>
    <w:p xmlns:wp14="http://schemas.microsoft.com/office/word/2010/wordml" w14:paraId="518C773E" wp14:textId="77777777">
      <w:pPr>
        <w:pStyle w:val="Heading1"/>
      </w:pPr>
      <w:r>
        <w:t>Security and Governance</w:t>
      </w:r>
    </w:p>
    <w:p xmlns:wp14="http://schemas.microsoft.com/office/word/2010/wordml" w14:paraId="4E1C4F15" wp14:textId="77777777">
      <w:r>
        <w:t>Microsoft Entra ID, RBAC, Managed Identity, Azure Key Vault, private networking, audit trails and approval workflows provide governance and compliance.</w:t>
      </w:r>
    </w:p>
    <w:p xmlns:wp14="http://schemas.microsoft.com/office/word/2010/wordml" w14:paraId="31AB2A2E" wp14:textId="77777777">
      <w:pPr>
        <w:pStyle w:val="Heading1"/>
      </w:pPr>
      <w:r>
        <w:t>Operating Model</w:t>
      </w:r>
    </w:p>
    <w:p xmlns:wp14="http://schemas.microsoft.com/office/word/2010/wordml" w14:paraId="5F9058E1" wp14:textId="77777777">
      <w:r>
        <w:t>Platform Engineering manages infrastructure. AI Engineering manages agents and prompts. Data Engineering manages RAG pipelines. Security and Governance teams provide oversight and approvals.</w:t>
      </w:r>
    </w:p>
    <w:p xmlns:wp14="http://schemas.microsoft.com/office/word/2010/wordml" w14:paraId="256F8895" wp14:textId="77777777">
      <w:pPr>
        <w:pStyle w:val="Heading1"/>
      </w:pPr>
      <w:r>
        <w:t>Implementation Roadmap</w:t>
      </w:r>
    </w:p>
    <w:p xmlns:wp14="http://schemas.microsoft.com/office/word/2010/wordml" w14:paraId="63D9AE5E" wp14:textId="53E93DFE">
      <w:r w:rsidR="66D3D763">
        <w:rPr/>
        <w:t xml:space="preserve">Phase 1 Foundation, </w:t>
      </w:r>
      <w:r>
        <w:br/>
      </w:r>
      <w:r w:rsidR="66D3D763">
        <w:rPr/>
        <w:t xml:space="preserve">Phase 2 Data and RAG, </w:t>
      </w:r>
      <w:r>
        <w:br/>
      </w:r>
      <w:r w:rsidR="66D3D763">
        <w:rPr/>
        <w:t xml:space="preserve">Phase 3 Multi-Agent Orchestration, </w:t>
      </w:r>
      <w:r>
        <w:br/>
      </w:r>
      <w:r w:rsidR="66D3D763">
        <w:rPr/>
        <w:t xml:space="preserve">Phase 4 </w:t>
      </w:r>
      <w:r w:rsidR="66D3D763">
        <w:rPr/>
        <w:t>LLMOps</w:t>
      </w:r>
      <w:r w:rsidR="66D3D763">
        <w:rPr/>
        <w:t xml:space="preserve"> Automation, </w:t>
      </w:r>
      <w:r>
        <w:br/>
      </w:r>
      <w:r w:rsidR="66D3D763">
        <w:rPr/>
        <w:t>Phase 5 Production Operations and Optimization.</w:t>
      </w:r>
    </w:p>
    <w:p xmlns:wp14="http://schemas.microsoft.com/office/word/2010/wordml" w14:paraId="28D8FE32" wp14:textId="77777777">
      <w:pPr>
        <w:pStyle w:val="Heading1"/>
      </w:pPr>
      <w:r>
        <w:t>Detailed Architecture Flow</w:t>
      </w:r>
    </w:p>
    <w:p xmlns:wp14="http://schemas.microsoft.com/office/word/2010/wordml" w14:paraId="6447B694" wp14:textId="6D9F3DF4">
      <w:r w:rsidR="66D3D763">
        <w:rPr/>
        <w:t xml:space="preserve">Enterprise Data Sources -&gt; Azure AI Search -&gt; Azure AI Foundry -&gt; </w:t>
      </w:r>
      <w:r>
        <w:br/>
      </w:r>
      <w:r w:rsidR="66D3D763">
        <w:rPr/>
        <w:t>Start Agent -&gt; Research/Analytics Agents -&gt;</w:t>
      </w:r>
      <w:r>
        <w:br/>
      </w:r>
      <w:r w:rsidR="66D3D763">
        <w:rPr/>
        <w:t xml:space="preserve"> Validation Agent -&gt;</w:t>
      </w:r>
      <w:r w:rsidR="66D3D763">
        <w:rPr/>
        <w:t xml:space="preserve"> Reporting Agent -&gt; </w:t>
      </w:r>
      <w:r>
        <w:br/>
      </w:r>
      <w:r w:rsidR="66D3D763">
        <w:rPr/>
        <w:t xml:space="preserve">End User. Cross-cutting capabilities: </w:t>
      </w:r>
      <w:r w:rsidR="66D3D763">
        <w:rPr/>
        <w:t>PromptOps</w:t>
      </w:r>
      <w:r w:rsidR="66D3D763">
        <w:rPr/>
        <w:t xml:space="preserve">, </w:t>
      </w:r>
      <w:r w:rsidR="66D3D763">
        <w:rPr/>
        <w:t>AgentOps</w:t>
      </w:r>
      <w:r w:rsidR="66D3D763">
        <w:rPr/>
        <w:t xml:space="preserve">, </w:t>
      </w:r>
      <w:r w:rsidR="66D3D763">
        <w:rPr/>
        <w:t>EvaluationOps</w:t>
      </w:r>
      <w:r w:rsidR="66D3D763">
        <w:rPr/>
        <w:t xml:space="preserve">, Observability, Security, </w:t>
      </w:r>
      <w:r w:rsidR="66D3D763">
        <w:rPr/>
        <w:t>Governance</w:t>
      </w:r>
      <w:r w:rsidR="66D3D763">
        <w:rPr/>
        <w:t xml:space="preserve"> and CI/CD</w:t>
      </w:r>
    </w:p>
    <w:p w:rsidR="66D3D763" w:rsidP="66D3D763" w:rsidRDefault="66D3D763" w14:paraId="400B5881" w14:textId="20297C3C">
      <w:pPr>
        <w:pStyle w:val="Normal"/>
      </w:pPr>
    </w:p>
    <w:p w:rsidR="66D3D763" w:rsidP="66D3D763" w:rsidRDefault="66D3D763" w14:paraId="2825534B" w14:textId="2202D4C9">
      <w:pPr>
        <w:pStyle w:val="Normal"/>
      </w:pPr>
    </w:p>
    <w:sectPr w:rsidRPr="0006063C" w:rsidR="00FC693F" w:rsidSect="00034616">
      <w:pgSz w:w="12240" w:h="15840" w:orient="portrait"/>
      <w:pgMar w:top="1440" w:right="1800" w:bottom="1440" w:left="1800" w:header="720" w:footer="720" w:gutter="0"/>
      <w:cols w:space="720"/>
      <w:docGrid w:linePitch="360"/>
      <w:headerReference w:type="default" r:id="R6c8897eab8ad47b2"/>
      <w:footerReference w:type="default" r:id="R0fee5fd5f9f447a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66D3D763" w:rsidTr="66D3D763" w14:paraId="62177BC9">
      <w:trPr>
        <w:trHeight w:val="300"/>
      </w:trPr>
      <w:tc>
        <w:tcPr>
          <w:tcW w:w="2880" w:type="dxa"/>
          <w:tcMar/>
        </w:tcPr>
        <w:p w:rsidR="66D3D763" w:rsidP="66D3D763" w:rsidRDefault="66D3D763" w14:paraId="727B3648" w14:textId="74B62798">
          <w:pPr>
            <w:pStyle w:val="Header"/>
            <w:bidi w:val="0"/>
            <w:ind w:left="-115"/>
            <w:jc w:val="left"/>
          </w:pPr>
        </w:p>
      </w:tc>
      <w:tc>
        <w:tcPr>
          <w:tcW w:w="2880" w:type="dxa"/>
          <w:tcMar/>
        </w:tcPr>
        <w:p w:rsidR="66D3D763" w:rsidP="66D3D763" w:rsidRDefault="66D3D763" w14:paraId="20381F15" w14:textId="266835AB">
          <w:pPr>
            <w:pStyle w:val="Header"/>
            <w:bidi w:val="0"/>
            <w:jc w:val="center"/>
          </w:pPr>
        </w:p>
      </w:tc>
      <w:tc>
        <w:tcPr>
          <w:tcW w:w="2880" w:type="dxa"/>
          <w:tcMar/>
        </w:tcPr>
        <w:p w:rsidR="66D3D763" w:rsidP="66D3D763" w:rsidRDefault="66D3D763" w14:paraId="12D57C4A" w14:textId="02DB22AE">
          <w:pPr>
            <w:pStyle w:val="Header"/>
            <w:bidi w:val="0"/>
            <w:ind w:right="-115"/>
            <w:jc w:val="right"/>
          </w:pPr>
        </w:p>
      </w:tc>
    </w:tr>
  </w:tbl>
  <w:p w:rsidR="66D3D763" w:rsidP="66D3D763" w:rsidRDefault="66D3D763" w14:paraId="6CC66DC8" w14:textId="417AF3F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66D3D763" w:rsidTr="66D3D763" w14:paraId="48730999">
      <w:trPr>
        <w:trHeight w:val="300"/>
      </w:trPr>
      <w:tc>
        <w:tcPr>
          <w:tcW w:w="2880" w:type="dxa"/>
          <w:tcMar/>
        </w:tcPr>
        <w:p w:rsidR="66D3D763" w:rsidP="66D3D763" w:rsidRDefault="66D3D763" w14:paraId="13BDFC83" w14:textId="37BF5A3A">
          <w:pPr>
            <w:pStyle w:val="Header"/>
            <w:bidi w:val="0"/>
            <w:ind w:left="-115"/>
            <w:jc w:val="left"/>
          </w:pPr>
        </w:p>
      </w:tc>
      <w:tc>
        <w:tcPr>
          <w:tcW w:w="2880" w:type="dxa"/>
          <w:tcMar/>
        </w:tcPr>
        <w:p w:rsidR="66D3D763" w:rsidP="66D3D763" w:rsidRDefault="66D3D763" w14:paraId="46151011" w14:textId="329BEFA1">
          <w:pPr>
            <w:pStyle w:val="Header"/>
            <w:bidi w:val="0"/>
            <w:jc w:val="center"/>
          </w:pPr>
        </w:p>
      </w:tc>
      <w:tc>
        <w:tcPr>
          <w:tcW w:w="2880" w:type="dxa"/>
          <w:tcMar/>
        </w:tcPr>
        <w:p w:rsidR="66D3D763" w:rsidP="66D3D763" w:rsidRDefault="66D3D763" w14:paraId="00F79747" w14:textId="638DF885">
          <w:pPr>
            <w:pStyle w:val="Header"/>
            <w:bidi w:val="0"/>
            <w:ind w:right="-115"/>
            <w:jc w:val="right"/>
          </w:pPr>
        </w:p>
      </w:tc>
    </w:tr>
  </w:tbl>
  <w:p w:rsidR="66D3D763" w:rsidP="66D3D763" w:rsidRDefault="66D3D763" w14:paraId="61B7E1A7" w14:textId="780DE0B6">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5536e1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725e5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2F6D3"/>
    <w:rsid w:val="00AA1D8D"/>
    <w:rsid w:val="00B47730"/>
    <w:rsid w:val="00CB0664"/>
    <w:rsid w:val="00FC693F"/>
    <w:rsid w:val="04513998"/>
    <w:rsid w:val="052278C9"/>
    <w:rsid w:val="0637EE41"/>
    <w:rsid w:val="0637EE41"/>
    <w:rsid w:val="0D736DF0"/>
    <w:rsid w:val="0D854BAE"/>
    <w:rsid w:val="11EB59A8"/>
    <w:rsid w:val="1408F09A"/>
    <w:rsid w:val="1408F09A"/>
    <w:rsid w:val="146491C2"/>
    <w:rsid w:val="18013165"/>
    <w:rsid w:val="215495A8"/>
    <w:rsid w:val="219B45E1"/>
    <w:rsid w:val="240BF7FA"/>
    <w:rsid w:val="25066F0B"/>
    <w:rsid w:val="25D3D1B7"/>
    <w:rsid w:val="2795157D"/>
    <w:rsid w:val="2A8AC820"/>
    <w:rsid w:val="2A8AC820"/>
    <w:rsid w:val="2A8C4C37"/>
    <w:rsid w:val="2A8C4C37"/>
    <w:rsid w:val="2D95ADE3"/>
    <w:rsid w:val="2DF6AF3A"/>
    <w:rsid w:val="30E998BD"/>
    <w:rsid w:val="35DC90FF"/>
    <w:rsid w:val="3713A724"/>
    <w:rsid w:val="387C4533"/>
    <w:rsid w:val="3BF6E53B"/>
    <w:rsid w:val="3DC3CF50"/>
    <w:rsid w:val="3E5A223A"/>
    <w:rsid w:val="3E8F8BA0"/>
    <w:rsid w:val="42A8B83B"/>
    <w:rsid w:val="4503D91F"/>
    <w:rsid w:val="4503D91F"/>
    <w:rsid w:val="450C249F"/>
    <w:rsid w:val="4C3B5D33"/>
    <w:rsid w:val="502DD0AD"/>
    <w:rsid w:val="5368B51E"/>
    <w:rsid w:val="537CC336"/>
    <w:rsid w:val="554FBAA3"/>
    <w:rsid w:val="5702A703"/>
    <w:rsid w:val="57FD369E"/>
    <w:rsid w:val="581E3AFC"/>
    <w:rsid w:val="5D2D7F9C"/>
    <w:rsid w:val="5DB05C59"/>
    <w:rsid w:val="61820ADE"/>
    <w:rsid w:val="6182F202"/>
    <w:rsid w:val="629EBE94"/>
    <w:rsid w:val="63B72E87"/>
    <w:rsid w:val="63B72E87"/>
    <w:rsid w:val="66D3D763"/>
    <w:rsid w:val="670DE90B"/>
    <w:rsid w:val="6749C423"/>
    <w:rsid w:val="6F7BC749"/>
    <w:rsid w:val="70BA6081"/>
    <w:rsid w:val="7753DA09"/>
    <w:rsid w:val="7A6D2B52"/>
    <w:rsid w:val="7BB1BECC"/>
    <w:rsid w:val="7BB1BECC"/>
    <w:rsid w:val="7CA43965"/>
    <w:rsid w:val="7CA43965"/>
    <w:rsid w:val="7F2A05AF"/>
    <w:rsid w:val="7F2A05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CE48630-9F49-49FF-9735-A6FB9404A5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66D3D763"/>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91294787" /><Relationship Type="http://schemas.openxmlformats.org/officeDocument/2006/relationships/image" Target="/media/image2.png" Id="rId783300634" /><Relationship Type="http://schemas.openxmlformats.org/officeDocument/2006/relationships/image" Target="/media/image3.png" Id="rId1622657157" /><Relationship Type="http://schemas.openxmlformats.org/officeDocument/2006/relationships/hyperlink" Target="https://www.bing.com/ck/a?!&amp;&amp;p=2afc6aa0f689598e6183d5cde02d5239b1d2fda52b5412d5aedde988020003eeJmltdHM9MTc4NDc2NDgwMA&amp;ptn=3&amp;ver=2&amp;hsh=4&amp;fclid=2d7e7318-bda7-65ac-3115-6434bc4664f4&amp;u=a1aHR0cHM6Ly93d3cuY29kZWJyaWRnZS50ZWNoL2FydGljbGVzL21hc3RlcmluZy1tdWx0aS1hZ2VudC1vcmNoZXN0cmF0aW9uLWNvb3JkaW5hdGlvbi1pcy10aGUtbmV3LXNjYWxlLWZyb250aWVy&amp;ntb=1" TargetMode="External" Id="R2cdaa02ff730450f" /><Relationship Type="http://schemas.openxmlformats.org/officeDocument/2006/relationships/header" Target="header.xml" Id="R6c8897eab8ad47b2" /><Relationship Type="http://schemas.openxmlformats.org/officeDocument/2006/relationships/footer" Target="footer.xml" Id="R0fee5fd5f9f447a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Sagar Pathur</dc:creator>
  <keywords/>
  <dc:description>generated by python-docx</dc:description>
  <lastModifiedBy>Sagar Pathur</lastModifiedBy>
  <revision>2</revision>
  <dcterms:created xsi:type="dcterms:W3CDTF">2026-07-23T10:42:14.7723215Z</dcterms:created>
  <dcterms:modified xsi:type="dcterms:W3CDTF">2026-07-23T12:42:56.0312762Z</dcterms:modified>
  <category/>
</coreProperties>
</file>