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 w:before="0"/>
      </w:pPr>
    </w:p>
    <w:p>
      <w:pPr>
        <w:spacing w:after="200" w:before="0"/>
        <w:jc w:val="center"/>
      </w:pPr>
      <w:r>
        <w:rPr>
          <w:rFonts w:ascii="Segoe UI" w:hAnsi="Segoe UI"/>
          <w:b/>
          <w:i w:val="0"/>
          <w:color w:val="007A7A"/>
          <w:sz w:val="24"/>
        </w:rPr>
        <w:t>ENTERPRISE PROPOSAL · 2026</w:t>
      </w:r>
    </w:p>
    <w:p>
      <w:pPr>
        <w:spacing w:after="80" w:before="0"/>
        <w:jc w:val="center"/>
      </w:pPr>
      <w:r>
        <w:rPr>
          <w:rFonts w:ascii="Segoe UI" w:hAnsi="Segoe UI"/>
          <w:b/>
          <w:i w:val="0"/>
          <w:color w:val="121F3D"/>
          <w:sz w:val="56"/>
        </w:rPr>
        <w:t>Enterprise GenAI Framework for AFNI</w:t>
      </w:r>
    </w:p>
    <w:p>
      <w:pPr>
        <w:spacing w:after="480" w:before="0"/>
        <w:jc w:val="center"/>
      </w:pPr>
      <w:r>
        <w:rPr>
          <w:rFonts w:ascii="Segoe UI" w:hAnsi="Segoe UI"/>
          <w:b w:val="0"/>
          <w:i/>
          <w:color w:val="505A6A"/>
          <w:sz w:val="30"/>
        </w:rPr>
        <w:t>Build the factory, not just the features</w:t>
      </w:r>
    </w:p>
    <w:p>
      <w:pPr>
        <w:spacing w:after="560" w:before="0"/>
        <w:jc w:val="center"/>
      </w:pPr>
      <w:r>
        <w:rPr>
          <w:rFonts w:ascii="Segoe UI" w:hAnsi="Segoe UI"/>
          <w:b w:val="0"/>
          <w:i w:val="0"/>
          <w:color w:val="333B49"/>
          <w:sz w:val="25"/>
        </w:rPr>
        <w:t>One governed, reusable platform to onboard any GenAI use case — proven first by Voice Agent, the Performance Intelligence Index, and Hiring Intelligence. Grounded in Microsoft Foundry, the Microsoft Agent Framework, the Model Router, and the MCP/A2A agent protocol stack.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6624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Owner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AFNI, Inc. — internal &amp; confidential</w:t>
            </w:r>
          </w:p>
        </w:tc>
      </w:tr>
      <w:tr>
        <w:tc>
          <w:tcPr>
            <w:tcW w:type="dxa" w:w="2592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Prepared by</w:t>
            </w:r>
          </w:p>
        </w:tc>
        <w:tc>
          <w:tcPr>
            <w:tcW w:type="dxa" w:w="6624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AFNI · Office of GenAI Architecture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Document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Enterprise GenAI Framework Proposal</w:t>
            </w:r>
          </w:p>
        </w:tc>
      </w:tr>
      <w:tr>
        <w:tc>
          <w:tcPr>
            <w:tcW w:type="dxa" w:w="2592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Version / Status</w:t>
            </w:r>
          </w:p>
        </w:tc>
        <w:tc>
          <w:tcPr>
            <w:tcW w:type="dxa" w:w="6624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v3.0 / Draft for review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Classification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Confidential — AFNI internal</w:t>
            </w:r>
          </w:p>
        </w:tc>
      </w:tr>
      <w:tr>
        <w:tc>
          <w:tcPr>
            <w:tcW w:type="dxa" w:w="2592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Date</w:t>
            </w:r>
          </w:p>
        </w:tc>
        <w:tc>
          <w:tcPr>
            <w:tcW w:type="dxa" w:w="6624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2026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1. Executive Summary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2. Business Context &amp; Opportunity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3. The Enterprise GenAI Framework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4. Design Principles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5. GenAI Pattern Catalog — Beyond Chatbots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6. Use-Case Onboarding — The Paved Road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7. Platform Architecture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8. Enterprise Multi-Agent Orchestration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9. Model Strategy &amp; the Model Router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10. Proof Point 1 — Voice Agent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11. Proof Point 2 — Performance Intelligence Index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12. Proof Point 3 — Hiring Intelligence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13. Security by Design — Zero Trust &amp; OWASP LLM Top 10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14. Data Platform at Scale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15. Performance &amp; Scalability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16. GenAIOps — CI/CD &amp; Validation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17. Evaluation Framework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18. Responsible AI &amp; Governance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19. Observability &amp; FinOps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20. Operating Model &amp; Team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21. Roadmap &amp; Maturity Model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22. Reference Tech Stack (Bill of Materials)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23. Business Case &amp; ROI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24. Risks &amp; Mitigations</w:t>
      </w:r>
    </w:p>
    <w:p>
      <w:pPr>
        <w:spacing w:after="60"/>
      </w:pPr>
      <w:r>
        <w:rPr>
          <w:rFonts w:ascii="Segoe UI" w:hAnsi="Segoe UI"/>
          <w:b/>
          <w:color w:val="1B3A6B"/>
          <w:sz w:val="22"/>
        </w:rPr>
        <w:t>25. Recommendation &amp; Next Steps</w:t>
      </w:r>
    </w:p>
    <w:p>
      <w:pPr>
        <w:spacing w:after="120" w:before="0"/>
      </w:pPr>
    </w:p>
    <w:p>
      <w:pPr>
        <w:spacing w:after="120" w:before="0"/>
      </w:pPr>
      <w:r>
        <w:rPr>
          <w:rFonts w:ascii="Segoe UI" w:hAnsi="Segoe UI"/>
          <w:b w:val="0"/>
          <w:i/>
          <w:color w:val="505A6A"/>
          <w:sz w:val="19"/>
        </w:rPr>
        <w:t>Note on sources: technology capabilities (Microsoft Foundry, Agent Service, Model Router, Microsoft Agent Framework, GPT-5.x, MCP/A2A, OWASP Top 10 for LLM Applications 2025) reflect publicly documented 2026 state. All ROI and performance figures are illustrative placeholders to be replaced with AFNI actuals during discovery.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This proposal asks AFNI to build not a set of AI features but the factory that produces them: an enterprise, reusable GenAI framework on Microsoft Foundry that lets AFNI onboard any GenAI use case quickly, safely and cost-effectively — and continuously adopt each new frontier model without rewrites. Only about 1% of enterprises describe their GenAI as mature; the differentiator is no longer a clever demo but the operating platform that turns demos into governed production systems.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The framework is proven immediately on three high-value initiatives, which become its first onboarded use cases: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Voice Agent — </w:t>
      </w:r>
      <w:r>
        <w:rPr>
          <w:rFonts w:ascii="Segoe UI" w:hAnsi="Segoe UI"/>
          <w:sz w:val="21"/>
        </w:rPr>
        <w:t>real-time, multi-agent voice automation and agent-assist across the contact center.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Performance Intelligence Index — </w:t>
      </w:r>
      <w:r>
        <w:rPr>
          <w:rFonts w:ascii="Segoe UI" w:hAnsi="Segoe UI"/>
          <w:sz w:val="21"/>
        </w:rPr>
        <w:t>an explainable composite performance score from 100% of interactions.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Hiring Intelligence — </w:t>
      </w:r>
      <w:r>
        <w:rPr>
          <w:rFonts w:ascii="Segoe UI" w:hAnsi="Segoe UI"/>
          <w:sz w:val="21"/>
        </w:rPr>
        <w:t>fair, high-volume recruitment where AI assists and humans decide.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EAF3F3"/>
          </w:tcPr>
          <w:p>
            <w:r>
              <w:rPr>
                <w:rFonts w:ascii="Segoe UI" w:hAnsi="Segoe UI"/>
                <w:b/>
                <w:color w:val="007A7A"/>
                <w:sz w:val="21"/>
              </w:rPr>
              <w:t xml:space="preserve">The core idea:  </w:t>
            </w:r>
            <w:r>
              <w:rPr>
                <w:rFonts w:ascii="Segoe UI" w:hAnsi="Segoe UI"/>
                <w:sz w:val="21"/>
              </w:rPr>
              <w:t>Build one secure, governed, reusable platform — the paved road — so the 4th, 10th and 40th use case reuse it. Time-to-value drops from quarters to weeks; security, evaluation, observability and cost control are inherited by default.</w:t>
            </w:r>
          </w:p>
        </w:tc>
      </w:tr>
    </w:tbl>
    <w:p>
      <w:pPr>
        <w:spacing w:after="80" w:before="0"/>
      </w:pPr>
    </w:p>
    <w:p>
      <w:pPr>
        <w:spacing w:after="120" w:before="0"/>
      </w:pPr>
      <w:r>
        <w:rPr>
          <w:rFonts w:ascii="Segoe UI" w:hAnsi="Segoe UI"/>
          <w:b/>
          <w:i w:val="0"/>
          <w:color w:val="121F3D"/>
          <w:sz w:val="21"/>
        </w:rPr>
        <w:t>The framework treats GenAI as far more than chatbots (agentic workflows, document intelligence, batch analytics, multimodal, decision support, real-time voice), is model-agnostic and frontier-ready via the Foundry Model Router and an evaluation harness, and is engineered to the highest enterprise standards for security (Zero Trust; the 2025 OWASP Top 10 for LLM Applications), data-at-scale, performance, and GenAIOps CI/CD with blocking validation gates. Recommendation: approve Phase 0 to stand up the platform and onboard the three proof points.</w:t>
      </w:r>
    </w:p>
    <w:p>
      <w:pPr>
        <w:pStyle w:val="Heading1"/>
      </w:pPr>
      <w:r>
        <w:t>2. Business Context &amp; Opportunity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AFNI is a global BPO and customer-engagement provider (founded 1936, HQ Bloomington IL; ~3,400+ staff across the US, Mexico and the Philippines plus AFNI@Home). Service lines: Acquisition &amp; Growth; Care &amp; Retention; Collections; P&amp;C Insurance including subrogation; under a Gainshare commercial model. Its economics turn on the cost and quality of high-volume voice and the cost and speed of high-volume hiring — both directly addressable by GenAI, and both reused many times across programs and geographies once a platform exists.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Strategic pressure</w:t>
            </w:r>
          </w:p>
        </w:tc>
        <w:tc>
          <w:tcPr>
            <w:tcW w:type="dxa" w:w="2880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Implication</w:t>
            </w:r>
          </w:p>
        </w:tc>
        <w:tc>
          <w:tcPr>
            <w:tcW w:type="dxa" w:w="3168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Framework response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AI-native competitors reset price/quality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Margin pressure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Reusable platform lowers unit cost per use case</w:t>
            </w:r>
          </w:p>
        </w:tc>
      </w:tr>
      <w:tr>
        <w:tc>
          <w:tcPr>
            <w:tcW w:type="dxa" w:w="345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Attrition &amp; ramp never stop</w:t>
            </w:r>
          </w:p>
        </w:tc>
        <w:tc>
          <w:tcPr>
            <w:tcW w:type="dxa" w:w="2880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Persistent hiring cost</w:t>
            </w:r>
          </w:p>
        </w:tc>
        <w:tc>
          <w:tcPr>
            <w:tcW w:type="dxa" w:w="316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Hiring Intelligence + PI Index coaching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Frontier models ship constantly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Point solutions obsolete fast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Model Router + evals adopt new models</w:t>
            </w:r>
          </w:p>
        </w:tc>
      </w:tr>
      <w:tr>
        <w:tc>
          <w:tcPr>
            <w:tcW w:type="dxa" w:w="345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Clients expect 24/7 compliant CX</w:t>
            </w:r>
          </w:p>
        </w:tc>
        <w:tc>
          <w:tcPr>
            <w:tcW w:type="dxa" w:w="2880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Higher service bar</w:t>
            </w:r>
          </w:p>
        </w:tc>
        <w:tc>
          <w:tcPr>
            <w:tcW w:type="dxa" w:w="316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Voice Agent + guardrails + observability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>3. The Enterprise GenAI Framework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The framework is a platform-as-a-product: a set of reusable capability layers, a catalog of GenAI patterns, and a paved-road onboarding path, wrapped by cross-cutting security/governance and GenAIOps/observability. Use cases plug in on top and inherit the platform's controls by default.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728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frame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28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Segoe UI" w:hAnsi="Segoe UI"/>
          <w:i/>
          <w:color w:val="505A6A"/>
          <w:sz w:val="18"/>
        </w:rPr>
        <w:t>Figure. The enterprise GenAI framework — build the factory, not just the features.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Cross-cutting concerns (Security &amp; Governance on one side; GenAIOps, Observability &amp; FinOps on the other) apply to every use case. The foundation is Microsoft Foundry on Azure: Agent Service, the Model Router, unified tracing and evaluation, and Content Safety.</w:t>
      </w:r>
    </w:p>
    <w:p>
      <w:pPr>
        <w:pStyle w:val="Heading1"/>
      </w:pPr>
      <w:r>
        <w:t>4. Design Principles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These are the non-negotiables that keep the framework coherent as it scales: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Platform as a product — </w:t>
      </w:r>
      <w:r>
        <w:rPr>
          <w:rFonts w:ascii="Segoe UI" w:hAnsi="Segoe UI"/>
          <w:sz w:val="21"/>
        </w:rPr>
        <w:t>Paved roads and self-service; the platform team ships golden paths, not tickets.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Reuse over rebuild — </w:t>
      </w:r>
      <w:r>
        <w:rPr>
          <w:rFonts w:ascii="Segoe UI" w:hAnsi="Segoe UI"/>
          <w:sz w:val="21"/>
        </w:rPr>
        <w:t>Composable building blocks — agents, tools, prompts, evals, IaC — assembled, not re-authored.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Model-agnostic &amp; frontier-ready — </w:t>
      </w:r>
      <w:r>
        <w:rPr>
          <w:rFonts w:ascii="Segoe UI" w:hAnsi="Segoe UI"/>
          <w:sz w:val="21"/>
        </w:rPr>
        <w:t>Pin to capabilities and evaluations via the Model Router; never to a single model version.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Evaluation-driven everything — </w:t>
      </w:r>
      <w:r>
        <w:rPr>
          <w:rFonts w:ascii="Segoe UI" w:hAnsi="Segoe UI"/>
          <w:sz w:val="21"/>
        </w:rPr>
        <w:t>Nothing ships without passing offline, online and adversarial evaluations.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Deterministic guardrails — </w:t>
      </w:r>
      <w:r>
        <w:rPr>
          <w:rFonts w:ascii="Segoe UI" w:hAnsi="Segoe UI"/>
          <w:sz w:val="21"/>
        </w:rPr>
        <w:t>Wrap probabilistic agents in deterministic policy and controls.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Zero Trust — </w:t>
      </w:r>
      <w:r>
        <w:rPr>
          <w:rFonts w:ascii="Segoe UI" w:hAnsi="Segoe UI"/>
          <w:sz w:val="21"/>
        </w:rPr>
        <w:t>Treat all model input, output and retrieved content as untrusted; least privilege everywhere.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Human-in-the-loop — </w:t>
      </w:r>
      <w:r>
        <w:rPr>
          <w:rFonts w:ascii="Segoe UI" w:hAnsi="Segoe UI"/>
          <w:sz w:val="21"/>
        </w:rPr>
        <w:t>Graduated autonomy; human approval for consequential or irreversible actions.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Observability &amp; cost first-class — </w:t>
      </w:r>
      <w:r>
        <w:rPr>
          <w:rFonts w:ascii="Segoe UI" w:hAnsi="Segoe UI"/>
          <w:sz w:val="21"/>
        </w:rPr>
        <w:t>Every trace and every token is measured, attributed and budgeted.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Privacy &amp; security by default — </w:t>
      </w:r>
      <w:r>
        <w:rPr>
          <w:rFonts w:ascii="Segoe UI" w:hAnsi="Segoe UI"/>
          <w:sz w:val="21"/>
        </w:rPr>
        <w:t>Data minimization; secure/compliant-by-default templates.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Fail safe — </w:t>
      </w:r>
      <w:r>
        <w:rPr>
          <w:rFonts w:ascii="Segoe UI" w:hAnsi="Segoe UI"/>
          <w:sz w:val="21"/>
        </w:rPr>
        <w:t>Fallback models and graceful degradation; never a hard dependency on one model or region.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Everything-as-code — </w:t>
      </w:r>
      <w:r>
        <w:rPr>
          <w:rFonts w:ascii="Segoe UI" w:hAnsi="Segoe UI"/>
          <w:sz w:val="21"/>
        </w:rPr>
        <w:t>Declarative agents, versioned prompts, IaC — reproducible and reviewable.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Measure business outcomes — </w:t>
      </w:r>
      <w:r>
        <w:rPr>
          <w:rFonts w:ascii="Segoe UI" w:hAnsi="Segoe UI"/>
          <w:sz w:val="21"/>
        </w:rPr>
        <w:t>Optimize AHT, containment, time-to-fill and quality — not model vanity metrics.</w:t>
      </w:r>
    </w:p>
    <w:p>
      <w:pPr>
        <w:pStyle w:val="Heading1"/>
      </w:pPr>
      <w:r>
        <w:t>5. GenAI Pattern Catalog — Beyond Chatbots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Each pattern is a reusable blueprint (reference architecture + evaluation suite + guardrail pack + IaC). A new use case selects a pattern rather than starting from scratch.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216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atter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21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Segoe UI" w:hAnsi="Segoe UI"/>
          <w:i/>
          <w:color w:val="505A6A"/>
          <w:sz w:val="18"/>
        </w:rPr>
        <w:t>Figure. GenAI pattern catalog — conversational, agentic, analytical, multimodal, and more.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Pattern</w:t>
            </w:r>
          </w:p>
        </w:tc>
        <w:tc>
          <w:tcPr>
            <w:tcW w:type="dxa" w:w="5760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Example AFNI application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Agentic workflow</w:t>
            </w:r>
          </w:p>
        </w:tc>
        <w:tc>
          <w:tcPr>
            <w:tcW w:type="dxa" w:w="576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Subrogation triage &amp; recovery; claims routing</w:t>
            </w:r>
          </w:p>
        </w:tc>
      </w:tr>
      <w:tr>
        <w:tc>
          <w:tcPr>
            <w:tcW w:type="dxa" w:w="345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Document intelligence</w:t>
            </w:r>
          </w:p>
        </w:tc>
        <w:tc>
          <w:tcPr>
            <w:tcW w:type="dxa" w:w="5760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Extract &amp; validate insurance forms and correspondence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Batch summarization &amp; analytics</w:t>
            </w:r>
          </w:p>
        </w:tc>
        <w:tc>
          <w:tcPr>
            <w:tcW w:type="dxa" w:w="576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PI Index scoring of 100% of interactions</w:t>
            </w:r>
          </w:p>
        </w:tc>
      </w:tr>
      <w:tr>
        <w:tc>
          <w:tcPr>
            <w:tcW w:type="dxa" w:w="345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Decision support &amp; forecasting</w:t>
            </w:r>
          </w:p>
        </w:tc>
        <w:tc>
          <w:tcPr>
            <w:tcW w:type="dxa" w:w="5760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Next-best-action in Collections; propensity to pay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Real-time voice</w:t>
            </w:r>
          </w:p>
        </w:tc>
        <w:tc>
          <w:tcPr>
            <w:tcW w:type="dxa" w:w="576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Voice Agent — containment and agent-assist</w:t>
            </w:r>
          </w:p>
        </w:tc>
      </w:tr>
      <w:tr>
        <w:tc>
          <w:tcPr>
            <w:tcW w:type="dxa" w:w="345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RAG</w:t>
            </w:r>
          </w:p>
        </w:tc>
        <w:tc>
          <w:tcPr>
            <w:tcW w:type="dxa" w:w="5760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Grounded policy/plan answers across programs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>6. Use-Case Onboarding — The Paved Road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Onboarding is a golden path: Intake → Value &amp; Risk tiering → Blueprint selection → Assemble from reusable building blocks → Evaluate against gates → Deploy via canary → Operate with observability &amp; FinOps → Improve via feedback. Security, compliance, evaluation and observability are inherited at every step, so teams focus on the use case, not the plumbing.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0267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onboar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026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Segoe UI" w:hAnsi="Segoe UI"/>
          <w:i/>
          <w:color w:val="505A6A"/>
          <w:sz w:val="18"/>
        </w:rPr>
        <w:t>Figure. The paved road — from idea to production in weeks.</w:t>
      </w:r>
    </w:p>
    <w:p>
      <w:pPr>
        <w:pStyle w:val="Heading1"/>
      </w:pPr>
      <w:r>
        <w:t>7. Platform Architecture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A layered reference architecture on Microsoft Foundry. Each layer has a clear responsibility and named services; the Foundry Agent Service hosts durable agents, the Model Router selects models, and an Azure API Management AI gateway enforces token metering, quotas and caching. Environments (dev/test/prod) follow a Cloud Adoption Framework landing zone with private networking and Entra ID identity.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095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latform-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09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Segoe UI" w:hAnsi="Segoe UI"/>
          <w:i/>
          <w:color w:val="505A6A"/>
          <w:sz w:val="18"/>
        </w:rPr>
        <w:t>Figure. Layered reference architecture on Microsoft Foundry.</w:t>
      </w:r>
    </w:p>
    <w:p>
      <w:pPr>
        <w:pStyle w:val="Heading1"/>
      </w:pPr>
      <w:r>
        <w:t>8. Enterprise Multi-Agent Orchestration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Orchestration uses the Microsoft Agent Framework (the production convergence of AutoGen and Semantic Kernel; GA 2026, .NET &amp; Python). A supervisor routes to specialist agents using sequential, concurrent, group-chat, handoff or Magentic patterns. Enterprise properties make it production-grade: durable execution (checkpointing, pause/resume, retries, idempotency, compensation/saga, human-in-the-loop approvals); memory tiers (session, user, procedural); an agent registry; tools via MCP and cross-runtime agents via A2A; and deterministic guardrails around every probabilistic hop.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616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gent-runti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1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Segoe UI" w:hAnsi="Segoe UI"/>
          <w:i/>
          <w:color w:val="505A6A"/>
          <w:sz w:val="18"/>
        </w:rPr>
        <w:t>Figure. Enterprise agent runtime — durable, governed, interoperable.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736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Specialist agent</w:t>
            </w:r>
          </w:p>
        </w:tc>
        <w:tc>
          <w:tcPr>
            <w:tcW w:type="dxa" w:w="2160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Voice Agent</w:t>
            </w:r>
          </w:p>
        </w:tc>
        <w:tc>
          <w:tcPr>
            <w:tcW w:type="dxa" w:w="2160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PI Index</w:t>
            </w:r>
          </w:p>
        </w:tc>
        <w:tc>
          <w:tcPr>
            <w:tcW w:type="dxa" w:w="2160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Hiring Intelligence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Intent / Router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route the call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classify interaction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funnel stage routing</w:t>
            </w:r>
          </w:p>
        </w:tc>
      </w:tr>
      <w:tr>
        <w:tc>
          <w:tcPr>
            <w:tcW w:type="dxa" w:w="273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Knowledge / RAG</w:t>
            </w:r>
          </w:p>
        </w:tc>
        <w:tc>
          <w:tcPr>
            <w:tcW w:type="dxa" w:w="2160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policy answers</w:t>
            </w:r>
          </w:p>
        </w:tc>
        <w:tc>
          <w:tcPr>
            <w:tcW w:type="dxa" w:w="2160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context for scoring</w:t>
            </w:r>
          </w:p>
        </w:tc>
        <w:tc>
          <w:tcPr>
            <w:tcW w:type="dxa" w:w="2160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role &amp; process FAQs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Action / Tooling (MCP)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update CRM, take payment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read interaction stores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read/write ATS</w:t>
            </w:r>
          </w:p>
        </w:tc>
      </w:tr>
      <w:tr>
        <w:tc>
          <w:tcPr>
            <w:tcW w:type="dxa" w:w="273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Compliance / Guardrail</w:t>
            </w:r>
          </w:p>
        </w:tc>
        <w:tc>
          <w:tcPr>
            <w:tcW w:type="dxa" w:w="2160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TCPA/PCI</w:t>
            </w:r>
          </w:p>
        </w:tc>
        <w:tc>
          <w:tcPr>
            <w:tcW w:type="dxa" w:w="2160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score explainability</w:t>
            </w:r>
          </w:p>
        </w:tc>
        <w:tc>
          <w:tcPr>
            <w:tcW w:type="dxa" w:w="2160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EEOC / NYC LL144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Summarize / QA &amp; Scoring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disposition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dimension scoring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interview notes (assist)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>9. Model Strategy &amp; the Model Router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AFNI pins to capabilities and evaluations, not to a model version. The Foundry Model Router sends each request to the cheapest model that meets a measured quality bar, with prompt caching. The catalog spans frontier reasoning models (GPT-5.5, GPT-5.4/5.2 with 272k context), low-latency chat (GPT-5.5 Instant), speech-to-speech (gpt-realtime-1.5), open-weight models (Llama, Phi) for cost/edge tiers, and fine-tuned/distilled task models.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0267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model-strateg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026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Segoe UI" w:hAnsi="Segoe UI"/>
          <w:i/>
          <w:color w:val="505A6A"/>
          <w:sz w:val="18"/>
        </w:rPr>
        <w:t>Figure. Model strategy — ride the frontier without rewrites.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A frontier-adoption loop absorbs new models automatically: a new model is evaluated against golden sets, shadow-tested in production, and promoted by the router only if it beats the incumbent on quality, cost or latency — with no application rewrite.</w:t>
      </w:r>
    </w:p>
    <w:p>
      <w:pPr>
        <w:pStyle w:val="Heading1"/>
      </w:pPr>
      <w:r>
        <w:t>10. Proof Point 1 — Voice Agent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Real-time voice automation and agent-assist, delivered in three modes (agent-assist copilot; autonomous voice for containable calls at sub-second latency using gpt-realtime-1.5; post-call analytics that feed the PI Index). Content Safety, PII redaction and TCPA/PCI guardrails run on every turn.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386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voice-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38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Segoe UI" w:hAnsi="Segoe UI"/>
          <w:i/>
          <w:color w:val="505A6A"/>
          <w:sz w:val="18"/>
        </w:rPr>
        <w:t>Figure. Voice Agent — end-to-end real-time call 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KPI</w:t>
            </w:r>
          </w:p>
        </w:tc>
        <w:tc>
          <w:tcPr>
            <w:tcW w:type="dxa" w:w="4608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Target *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Containment / deflection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20–40% of eligible calls</w:t>
            </w:r>
          </w:p>
        </w:tc>
      </w:tr>
      <w:tr>
        <w:tc>
          <w:tcPr>
            <w:tcW w:type="dxa" w:w="460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Average Handle Time</w:t>
            </w:r>
          </w:p>
        </w:tc>
        <w:tc>
          <w:tcPr>
            <w:tcW w:type="dxa" w:w="460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15–25% reduction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QA coverage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100% (via PI Index)</w:t>
            </w:r>
          </w:p>
        </w:tc>
      </w:tr>
      <w:tr>
        <w:tc>
          <w:tcPr>
            <w:tcW w:type="dxa" w:w="460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Compliance adherence</w:t>
            </w:r>
          </w:p>
        </w:tc>
        <w:tc>
          <w:tcPr>
            <w:tcW w:type="dxa" w:w="460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monitored on every call</w:t>
            </w:r>
          </w:p>
        </w:tc>
      </w:tr>
    </w:tbl>
    <w:p>
      <w:pPr>
        <w:spacing w:after="80" w:before="0"/>
      </w:pPr>
    </w:p>
    <w:p>
      <w:pPr>
        <w:spacing w:after="120" w:before="0"/>
      </w:pPr>
      <w:r>
        <w:rPr>
          <w:rFonts w:ascii="Segoe UI" w:hAnsi="Segoe UI"/>
          <w:b w:val="0"/>
          <w:i/>
          <w:color w:val="505A6A"/>
          <w:sz w:val="18"/>
        </w:rPr>
        <w:t>* Illustrative — replaced with AFNI actuals in discovery.</w:t>
      </w:r>
    </w:p>
    <w:p>
      <w:pPr>
        <w:pStyle w:val="Heading1"/>
      </w:pPr>
      <w:r>
        <w:t>11. Proof Point 2 — Performance Intelligence Index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An AI-generated, explainable composite score from 100% of interactions (not sampled QA). Analysis agents score each interaction across seven dimensions; a calibrated engine rolls them into one PI Index per agent, team, program and client, feeding coaching, QA calibration and Gainshare reporting.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6602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i-ind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60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Segoe UI" w:hAnsi="Segoe UI"/>
          <w:i/>
          <w:color w:val="505A6A"/>
          <w:sz w:val="18"/>
        </w:rPr>
        <w:t>Figure. PI Index — from every interaction to one explainable score.</w:t>
      </w:r>
    </w:p>
    <w:p>
      <w:pPr>
        <w:pStyle w:val="Heading1"/>
      </w:pPr>
      <w:r>
        <w:t>12. Proof Point 3 — Hiring Intelligence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The platform applied to AFNI's own high-volume hiring, with an agent at every funnel stage and fairness throughout.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063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hiring-intellig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063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Segoe UI" w:hAnsi="Segoe UI"/>
          <w:i/>
          <w:color w:val="505A6A"/>
          <w:sz w:val="18"/>
        </w:rPr>
        <w:t>Figure. Hiring Intelligence — an agent at every stage; humans decide.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EAF3F3"/>
          </w:tcPr>
          <w:p>
            <w:r>
              <w:rPr>
                <w:rFonts w:ascii="Segoe UI" w:hAnsi="Segoe UI"/>
                <w:b/>
                <w:color w:val="007A7A"/>
                <w:sz w:val="21"/>
              </w:rPr>
              <w:t xml:space="preserve">Non-negotiable:  </w:t>
            </w:r>
            <w:r>
              <w:rPr>
                <w:rFonts w:ascii="Segoe UI" w:hAnsi="Segoe UI"/>
                <w:sz w:val="21"/>
              </w:rPr>
              <w:t>AI assists, humans decide. No autonomous rejection; every automated employment decision tool is bias-audited and explainable — EEOC, NYC Local Law 144, IL AI Video Interview Act, EU AI Act, GDPR.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>13. Security by Design — Zero Trust &amp; OWASP LLM Top 10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Security is Zero Trust and defense-in-depth, mapped explicitly to the 2025 OWASP Top 10 for LLM Applications. All model input, output and retrieved content is treated as untrusted; tools are least-privilege; consequential actions require human approval; and everything is traced for audit.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6166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ecur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1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Segoe UI" w:hAnsi="Segoe UI"/>
          <w:i/>
          <w:color w:val="505A6A"/>
          <w:sz w:val="18"/>
        </w:rPr>
        <w:t>Figure. Zero Trust defense-in-depth mapped to the OWASP LLM Top 10 (2025).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OWASP LLM (2025)</w:t>
            </w:r>
          </w:p>
        </w:tc>
        <w:tc>
          <w:tcPr>
            <w:tcW w:type="dxa" w:w="5472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AFNI control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LLM01 Prompt injection</w:t>
            </w:r>
          </w:p>
        </w:tc>
        <w:tc>
          <w:tcPr>
            <w:tcW w:type="dxa" w:w="5472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Prompt shields; isolate untrusted content</w:t>
            </w:r>
          </w:p>
        </w:tc>
      </w:tr>
      <w:tr>
        <w:tc>
          <w:tcPr>
            <w:tcW w:type="dxa" w:w="3744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LLM02 Sensitive info disclosure</w:t>
            </w:r>
          </w:p>
        </w:tc>
        <w:tc>
          <w:tcPr>
            <w:tcW w:type="dxa" w:w="5472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PII redaction; output filtering; DLP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LLM06 Excessive agency</w:t>
            </w:r>
          </w:p>
        </w:tc>
        <w:tc>
          <w:tcPr>
            <w:tcW w:type="dxa" w:w="5472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Least-privilege tools; human-in-the-loop approvals</w:t>
            </w:r>
          </w:p>
        </w:tc>
      </w:tr>
      <w:tr>
        <w:tc>
          <w:tcPr>
            <w:tcW w:type="dxa" w:w="3744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LLM09 Misinformation</w:t>
            </w:r>
          </w:p>
        </w:tc>
        <w:tc>
          <w:tcPr>
            <w:tcW w:type="dxa" w:w="5472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Grounding, citations, evaluation gates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LLM10 Unbounded consumption</w:t>
            </w:r>
          </w:p>
        </w:tc>
        <w:tc>
          <w:tcPr>
            <w:tcW w:type="dxa" w:w="5472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Rate &amp; cost limits; quotas; budgets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>14. Data Platform at Scale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A Microsoft Fabric / OneLake lakehouse ingests batch and streaming data, with scalable chunking and integrated vectorization, vector indexes partitioned per domain and tenant, incremental/CDC refresh, and Microsoft Purview for lineage, DLP and retention. This is what lets the PI Index consume 100% of interactions economically.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0997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data-platfor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099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Segoe UI" w:hAnsi="Segoe UI"/>
          <w:i/>
          <w:color w:val="505A6A"/>
          <w:sz w:val="18"/>
        </w:rPr>
        <w:t>Figure. Enterprise data platform feeding grounded AI.</w:t>
      </w:r>
    </w:p>
    <w:p>
      <w:pPr>
        <w:pStyle w:val="Heading1"/>
      </w:pPr>
      <w:r>
        <w:t>15. Performance &amp; Scalability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Performance is engineered against explicit latency budgets (a sub-second voice turn is decomposed across speech-to-text, retrieval, inference, guardrails and text-to-speech), with layered caching, the Model Router for cost-latency-quality, provisioned throughput for critical paths, autoscaling, async/streaming responses, batching for bulk workloads like the PI Index, and graceful degradation with fallback models.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792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erforman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79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Segoe UI" w:hAnsi="Segoe UI"/>
          <w:i/>
          <w:color w:val="505A6A"/>
          <w:sz w:val="18"/>
        </w:rPr>
        <w:t>Figure. Engineered for sub-second voice and bulk analytics.</w:t>
      </w:r>
    </w:p>
    <w:p>
      <w:pPr>
        <w:pStyle w:val="Heading1"/>
      </w:pPr>
      <w:r>
        <w:t>16. GenAIOps — CI/CD &amp; Validation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GenAIOps is the operational backbone. Everything is code (declarative YAML agents, versioned prompts, IaC). A pull request triggers evaluation-in-CI, where a series of blocking gates — unit/contract, prompt regression versus a golden-set baseline, groundedness, safety/red-team, and cost/latency budgets — must pass before promotion. Releases use canary or blue-green deployment behind the API Management gateway, with post-deploy online A/B and shadow testing, guardrail monitors, auto-rollback, and a feedback loop that turns production signals into the next golden dataset.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09956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genaiops-cic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099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Segoe UI" w:hAnsi="Segoe UI"/>
          <w:i/>
          <w:color w:val="505A6A"/>
          <w:sz w:val="18"/>
        </w:rPr>
        <w:t>Figure. GenAIOps CI/CD — nothing ships without passing evaluation gates.</w:t>
      </w:r>
    </w:p>
    <w:p>
      <w:pPr>
        <w:pStyle w:val="Heading1"/>
      </w:pPr>
      <w:r>
        <w:t>17. Evaluation Framework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Quality is measured, not assumed, across three surfaces: offline (golden datasets, LLM-as-judge, Foundry auto-generated rubric evaluators, groundedness), online (A/B, shadow, guardrail monitors, user &amp; QA feedback), and human &amp; red-team (SME calibration, adversarial red-teaming, safety, bias &amp; fairness audits). A regression-blocking release gate governs every promotion, and failures feed back into the golden datasets.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0267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evalu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026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Segoe UI" w:hAnsi="Segoe UI"/>
          <w:i/>
          <w:color w:val="505A6A"/>
          <w:sz w:val="18"/>
        </w:rPr>
        <w:t>Figure. Measured quality — offline, online, and adversarial.</w:t>
      </w:r>
    </w:p>
    <w:p>
      <w:pPr>
        <w:pStyle w:val="Heading1"/>
      </w:pPr>
      <w:r>
        <w:t>18. Responsible AI &amp; Governance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Governance follows Microsoft's Responsible AI pillars, operationalized through an AI use-case intake with risk-tiering, mandatory human-in-the-loop for consequential decisions, model/system cards, Content Safety, audit trails, red-teaming, AI incident response, and an AI governance board.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Tier</w:t>
            </w:r>
          </w:p>
        </w:tc>
        <w:tc>
          <w:tcPr>
            <w:tcW w:type="dxa" w:w="4032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Examples</w:t>
            </w:r>
          </w:p>
        </w:tc>
        <w:tc>
          <w:tcPr>
            <w:tcW w:type="dxa" w:w="3744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Controls</w:t>
            </w:r>
          </w:p>
        </w:tc>
      </w:tr>
      <w:tr>
        <w:tc>
          <w:tcPr>
            <w:tcW w:type="dxa" w:w="1440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High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Hiring decisions, collections, PI Index scoring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Full HITL, bias audits, legal sign-off, appeals</w:t>
            </w:r>
          </w:p>
        </w:tc>
      </w:tr>
      <w:tr>
        <w:tc>
          <w:tcPr>
            <w:tcW w:type="dxa" w:w="1440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Medium</w:t>
            </w:r>
          </w:p>
        </w:tc>
        <w:tc>
          <w:tcPr>
            <w:tcW w:type="dxa" w:w="4032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Customer voice answers</w:t>
            </w:r>
          </w:p>
        </w:tc>
        <w:tc>
          <w:tcPr>
            <w:tcW w:type="dxa" w:w="3744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Guardrails + sampled human QA + monitoring</w:t>
            </w:r>
          </w:p>
        </w:tc>
      </w:tr>
      <w:tr>
        <w:tc>
          <w:tcPr>
            <w:tcW w:type="dxa" w:w="1440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Low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Internal drafting, summaries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Standard guardrails + spot checks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>19. Observability &amp; FinOps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A single OpenTelemetry pipeline traces every model call, tool invocation, sub-agent hop and handoff, with evaluations linked back to the exact trace. FinOps controls cost via token metering and quotas at the gateway, cost showback per use case, model right-sizing through the router, semantic caching, and budget guardrails. Cost-per-resolved-call and cost-per-screen are tracked as first-class KPIs.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Example SLO</w:t>
            </w:r>
          </w:p>
        </w:tc>
        <w:tc>
          <w:tcPr>
            <w:tcW w:type="dxa" w:w="4608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Target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Voice turn latency (p95)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&lt; 1 second</w:t>
            </w:r>
          </w:p>
        </w:tc>
      </w:tr>
      <w:tr>
        <w:tc>
          <w:tcPr>
            <w:tcW w:type="dxa" w:w="460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Groundedness</w:t>
            </w:r>
          </w:p>
        </w:tc>
        <w:tc>
          <w:tcPr>
            <w:tcW w:type="dxa" w:w="460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≥ threshold, gated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Availability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99.9%</w:t>
            </w:r>
          </w:p>
        </w:tc>
      </w:tr>
      <w:tr>
        <w:tc>
          <w:tcPr>
            <w:tcW w:type="dxa" w:w="460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Safety-event rate</w:t>
            </w:r>
          </w:p>
        </w:tc>
        <w:tc>
          <w:tcPr>
            <w:tcW w:type="dxa" w:w="460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below alert threshold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>20. Operating Model &amp; Team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A GenAI Center of Excellence operates a federated hub-and-spoke model: the platform team owns the paved road, guardrails and standards; Operations and HR spokes own their use cases and outcomes. All roles are AFNI-internal.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5760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Focus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Executive sponsor</w:t>
            </w:r>
          </w:p>
        </w:tc>
        <w:tc>
          <w:tcPr>
            <w:tcW w:type="dxa" w:w="576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Funding, priorities, unblock</w:t>
            </w:r>
          </w:p>
        </w:tc>
      </w:tr>
      <w:tr>
        <w:tc>
          <w:tcPr>
            <w:tcW w:type="dxa" w:w="345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AI product owner (platform)</w:t>
            </w:r>
          </w:p>
        </w:tc>
        <w:tc>
          <w:tcPr>
            <w:tcW w:type="dxa" w:w="5760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Paved road, backlog, adoption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GenAI architect (lead)</w:t>
            </w:r>
          </w:p>
        </w:tc>
        <w:tc>
          <w:tcPr>
            <w:tcW w:type="dxa" w:w="576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Architecture, standards, review</w:t>
            </w:r>
          </w:p>
        </w:tc>
      </w:tr>
      <w:tr>
        <w:tc>
          <w:tcPr>
            <w:tcW w:type="dxa" w:w="345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Prompt / agent engineers</w:t>
            </w:r>
          </w:p>
        </w:tc>
        <w:tc>
          <w:tcPr>
            <w:tcW w:type="dxa" w:w="5760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Agent design &amp; evaluation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GenAIOps engineers</w:t>
            </w:r>
          </w:p>
        </w:tc>
        <w:tc>
          <w:tcPr>
            <w:tcW w:type="dxa" w:w="576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CI/CD, serving, observability</w:t>
            </w:r>
          </w:p>
        </w:tc>
      </w:tr>
      <w:tr>
        <w:tc>
          <w:tcPr>
            <w:tcW w:type="dxa" w:w="345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Data engineers</w:t>
            </w:r>
          </w:p>
        </w:tc>
        <w:tc>
          <w:tcPr>
            <w:tcW w:type="dxa" w:w="5760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Lakehouse, RAG, vectorization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RAI / governance officer</w:t>
            </w:r>
          </w:p>
        </w:tc>
        <w:tc>
          <w:tcPr>
            <w:tcW w:type="dxa" w:w="5760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Risk tiering, audits, policy</w:t>
            </w:r>
          </w:p>
        </w:tc>
      </w:tr>
      <w:tr>
        <w:tc>
          <w:tcPr>
            <w:tcW w:type="dxa" w:w="345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Security engineer + FinOps</w:t>
            </w:r>
          </w:p>
        </w:tc>
        <w:tc>
          <w:tcPr>
            <w:tcW w:type="dxa" w:w="5760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Zero Trust, cost control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>21. Roadmap &amp; Maturity Model</w:t>
      </w: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Delivery follows Crawl → Walk → Run → Fly, advancing maturity from ad-hoc to a governed, then self-service platform.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6894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oadma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Segoe UI" w:hAnsi="Segoe UI"/>
          <w:i/>
          <w:color w:val="505A6A"/>
          <w:sz w:val="18"/>
        </w:rPr>
        <w:t>Figure. Crawl → Walk → Run over ~9–12 months, then Fly (self-service at scale).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1728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Timing</w:t>
            </w:r>
          </w:p>
        </w:tc>
        <w:tc>
          <w:tcPr>
            <w:tcW w:type="dxa" w:w="5472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What lands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Phase 0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Weeks 0–4</w:t>
            </w:r>
          </w:p>
        </w:tc>
        <w:tc>
          <w:tcPr>
            <w:tcW w:type="dxa" w:w="5472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Landing zone, security baseline, paved-road v0, intake</w:t>
            </w:r>
          </w:p>
        </w:tc>
      </w:tr>
      <w:tr>
        <w:tc>
          <w:tcPr>
            <w:tcW w:type="dxa" w:w="201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Phase 1 · Crawl</w:t>
            </w:r>
          </w:p>
        </w:tc>
        <w:tc>
          <w:tcPr>
            <w:tcW w:type="dxa" w:w="172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Months 1–3</w:t>
            </w:r>
          </w:p>
        </w:tc>
        <w:tc>
          <w:tcPr>
            <w:tcW w:type="dxa" w:w="5472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Platform MVP; Voice Agent copilot; PI Index MVP; Hiring screening; eval harness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Phase 2 · Walk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Months 4–7</w:t>
            </w:r>
          </w:p>
        </w:tc>
        <w:tc>
          <w:tcPr>
            <w:tcW w:type="dxa" w:w="5472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Autonomous voice; PI Index live; Hiring voice pre-screen; GenAIOps CI/CD; CoE; onboard 2 new use cases</w:t>
            </w:r>
          </w:p>
        </w:tc>
      </w:tr>
      <w:tr>
        <w:tc>
          <w:tcPr>
            <w:tcW w:type="dxa" w:w="201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Phase 3 · Run</w:t>
            </w:r>
          </w:p>
        </w:tc>
        <w:tc>
          <w:tcPr>
            <w:tcW w:type="dxa" w:w="172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Months 8–12</w:t>
            </w:r>
          </w:p>
        </w:tc>
        <w:tc>
          <w:tcPr>
            <w:tcW w:type="dxa" w:w="5472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Scale programs/geos; subrogation &amp; knowledge assistant; full governance/DR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Fly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12 months +</w:t>
            </w:r>
          </w:p>
        </w:tc>
        <w:tc>
          <w:tcPr>
            <w:tcW w:type="dxa" w:w="5472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Self-service onboarding at scale; agent marketplace; A2A ecosystem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>22. Reference Tech Stack (Bill of Materials)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Capability</w:t>
            </w:r>
          </w:p>
        </w:tc>
        <w:tc>
          <w:tcPr>
            <w:tcW w:type="dxa" w:w="6048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Product / component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Agent platform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Microsoft Foundry + Foundry Agent Service</w:t>
            </w:r>
          </w:p>
        </w:tc>
      </w:tr>
      <w:tr>
        <w:tc>
          <w:tcPr>
            <w:tcW w:type="dxa" w:w="316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Orchestration</w:t>
            </w:r>
          </w:p>
        </w:tc>
        <w:tc>
          <w:tcPr>
            <w:tcW w:type="dxa" w:w="604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Microsoft Agent Framework (AutoGen + Semantic Kernel)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Model access &amp; routing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Model Router; Azure OpenAI GPT-5.x; gpt-realtime-1.5</w:t>
            </w:r>
          </w:p>
        </w:tc>
      </w:tr>
      <w:tr>
        <w:tc>
          <w:tcPr>
            <w:tcW w:type="dxa" w:w="316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Tools &amp; interop</w:t>
            </w:r>
          </w:p>
        </w:tc>
        <w:tc>
          <w:tcPr>
            <w:tcW w:type="dxa" w:w="604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MCP (tools) + A2A (agent-to-agent)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Knowledge / RAG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Azure AI Search; AI Document Intelligence</w:t>
            </w:r>
          </w:p>
        </w:tc>
      </w:tr>
      <w:tr>
        <w:tc>
          <w:tcPr>
            <w:tcW w:type="dxa" w:w="316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Data platform</w:t>
            </w:r>
          </w:p>
        </w:tc>
        <w:tc>
          <w:tcPr>
            <w:tcW w:type="dxa" w:w="604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Microsoft Fabric / OneLake; Event Hubs; Cosmos DB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Gateway &amp; compute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Azure API Management; Container Apps / AKS; Functions</w:t>
            </w:r>
          </w:p>
        </w:tc>
      </w:tr>
      <w:tr>
        <w:tc>
          <w:tcPr>
            <w:tcW w:type="dxa" w:w="316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Security &amp; governance</w:t>
            </w:r>
          </w:p>
        </w:tc>
        <w:tc>
          <w:tcPr>
            <w:tcW w:type="dxa" w:w="6048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Entra ID; Key Vault; Purview; Defender for Cloud + AI; Content Safety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Observability &amp; CI/CD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Azure Monitor + App Insights + OpenTelemetry; GitHub Actions / Azure DevOps</w:t>
            </w:r>
          </w:p>
        </w:tc>
      </w:tr>
    </w:tbl>
    <w:p>
      <w:pPr>
        <w:spacing w:after="80" w:before="0"/>
      </w:pPr>
    </w:p>
    <w:p>
      <w:pPr>
        <w:spacing w:after="120" w:before="0"/>
      </w:pPr>
      <w:r>
        <w:rPr>
          <w:rFonts w:ascii="Segoe UI" w:hAnsi="Segoe UI"/>
          <w:b w:val="0"/>
          <w:i w:val="0"/>
          <w:sz w:val="21"/>
        </w:rPr>
        <w:t>Alternatives considered: AWS Bedrock AgentCore and Google Vertex AI Agent Builder are credible; Microsoft Foundry is recommended as primary given AFNI's Microsoft footprint and Foundry's integrated agent, safety and governance tooling for regulated workloads. MCP and A2A keep the platform interoperable and portable.</w:t>
      </w:r>
    </w:p>
    <w:p>
      <w:pPr>
        <w:pStyle w:val="Heading1"/>
      </w:pPr>
      <w:r>
        <w:t>23. Business Case &amp; ROI</w:t>
      </w:r>
    </w:p>
    <w:p>
      <w:pPr>
        <w:spacing w:after="120" w:before="0"/>
      </w:pPr>
      <w:r>
        <w:rPr>
          <w:rFonts w:ascii="Segoe UI" w:hAnsi="Segoe UI"/>
          <w:b w:val="0"/>
          <w:i/>
          <w:sz w:val="21"/>
        </w:rPr>
        <w:t>All figures are illustrative placeholders, to be replaced with AFNI actuals during Phase 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Value lever</w:t>
            </w:r>
          </w:p>
        </w:tc>
        <w:tc>
          <w:tcPr>
            <w:tcW w:type="dxa" w:w="2736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Initiative / driver</w:t>
            </w:r>
          </w:p>
        </w:tc>
        <w:tc>
          <w:tcPr>
            <w:tcW w:type="dxa" w:w="3744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Illustrative impact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Platform amortization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every new use case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each onboarding cheaper &amp; faster</w:t>
            </w:r>
          </w:p>
        </w:tc>
      </w:tr>
      <w:tr>
        <w:tc>
          <w:tcPr>
            <w:tcW w:type="dxa" w:w="345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100% QA coverage &amp; coaching</w:t>
            </w:r>
          </w:p>
        </w:tc>
        <w:tc>
          <w:tcPr>
            <w:tcW w:type="dxa" w:w="273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PI Index</w:t>
            </w:r>
          </w:p>
        </w:tc>
        <w:tc>
          <w:tcPr>
            <w:tcW w:type="dxa" w:w="3744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from ~5% sampled to 100%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Containment &amp; AHT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Voice Agent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20–40% contained; 15–25% lower AHT</w:t>
            </w:r>
          </w:p>
        </w:tc>
      </w:tr>
      <w:tr>
        <w:tc>
          <w:tcPr>
            <w:tcW w:type="dxa" w:w="345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Recruiter effort &amp; time-to-fill</w:t>
            </w:r>
          </w:p>
        </w:tc>
        <w:tc>
          <w:tcPr>
            <w:tcW w:type="dxa" w:w="2736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Hiring Intelligence</w:t>
            </w:r>
          </w:p>
        </w:tc>
        <w:tc>
          <w:tcPr>
            <w:tcW w:type="dxa" w:w="3744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30–50% less screening effort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Model cost efficiency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Model Router + caching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cheapest model meeting quality bar</w:t>
            </w:r>
          </w:p>
        </w:tc>
      </w:tr>
    </w:tbl>
    <w:p>
      <w:pPr>
        <w:spacing w:after="80" w:before="0"/>
      </w:pPr>
    </w:p>
    <w:p>
      <w:pPr>
        <w:spacing w:after="120" w:before="0"/>
      </w:pPr>
      <w:r>
        <w:rPr>
          <w:rFonts w:ascii="Segoe UI" w:hAnsi="Segoe UI"/>
          <w:b/>
          <w:i w:val="0"/>
          <w:color w:val="121F3D"/>
          <w:sz w:val="21"/>
        </w:rPr>
        <w:t>Illustrative payback: 9–15 months, improving with every use case onboarded. Under Gainshare, efficiency improves shared margin directly.</w:t>
      </w:r>
    </w:p>
    <w:p>
      <w:pPr>
        <w:pStyle w:val="Heading1"/>
      </w:pPr>
      <w:r>
        <w:t>24. Risks &amp;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Risk</w:t>
            </w:r>
          </w:p>
        </w:tc>
        <w:tc>
          <w:tcPr>
            <w:tcW w:type="dxa" w:w="5472"/>
            <w:shd w:val="clear" w:fill="1B3A6B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FFFFFF"/>
                <w:sz w:val="19"/>
              </w:rPr>
              <w:t>Mitigation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Prompt injection / data exfiltration</w:t>
            </w:r>
          </w:p>
        </w:tc>
        <w:tc>
          <w:tcPr>
            <w:tcW w:type="dxa" w:w="5472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Prompt shields, untrusted-content isolation, DLP, private networking</w:t>
            </w:r>
          </w:p>
        </w:tc>
      </w:tr>
      <w:tr>
        <w:tc>
          <w:tcPr>
            <w:tcW w:type="dxa" w:w="3744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Hallucination / wrong answers</w:t>
            </w:r>
          </w:p>
        </w:tc>
        <w:tc>
          <w:tcPr>
            <w:tcW w:type="dxa" w:w="5472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RAG grounding, groundedness gates, HITL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Excessive agency</w:t>
            </w:r>
          </w:p>
        </w:tc>
        <w:tc>
          <w:tcPr>
            <w:tcW w:type="dxa" w:w="5472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Least-privilege MCP tools, human approval for irreversible actions</w:t>
            </w:r>
          </w:p>
        </w:tc>
      </w:tr>
      <w:tr>
        <w:tc>
          <w:tcPr>
            <w:tcW w:type="dxa" w:w="3744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Compliance breach (TCPA/PCI/EEOC)</w:t>
            </w:r>
          </w:p>
        </w:tc>
        <w:tc>
          <w:tcPr>
            <w:tcW w:type="dxa" w:w="5472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Compliance agent, risk-tiering, bias audits, legal sign-off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Unfair scoring (PI Index / hiring)</w:t>
            </w:r>
          </w:p>
        </w:tc>
        <w:tc>
          <w:tcPr>
            <w:tcW w:type="dxa" w:w="5472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Fairness monitors, explainability, human calibration &amp; appeals</w:t>
            </w:r>
          </w:p>
        </w:tc>
      </w:tr>
      <w:tr>
        <w:tc>
          <w:tcPr>
            <w:tcW w:type="dxa" w:w="3744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Runaway token cost</w:t>
            </w:r>
          </w:p>
        </w:tc>
        <w:tc>
          <w:tcPr>
            <w:tcW w:type="dxa" w:w="5472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APIM metering, Model Router, caching, budget alerts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Quality regression on change</w:t>
            </w:r>
          </w:p>
        </w:tc>
        <w:tc>
          <w:tcPr>
            <w:tcW w:type="dxa" w:w="5472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Golden-set regression gates, canary + auto-rollback</w:t>
            </w:r>
          </w:p>
        </w:tc>
      </w:tr>
      <w:tr>
        <w:tc>
          <w:tcPr>
            <w:tcW w:type="dxa" w:w="3744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121F3D"/>
                <w:sz w:val="18"/>
              </w:rPr>
              <w:t>Model / vendor lock-in</w:t>
            </w:r>
          </w:p>
        </w:tc>
        <w:tc>
          <w:tcPr>
            <w:tcW w:type="dxa" w:w="5472"/>
            <w:shd w:val="clear" w:fill="EEF1F7"/>
          </w:tcPr>
          <w:p>
            <w:pPr>
              <w:spacing w:after="40" w:before="40"/>
            </w:pPr>
            <w:r>
              <w:rPr>
                <w:rFonts w:ascii="Segoe UI" w:hAnsi="Segoe UI"/>
                <w:sz w:val="18"/>
              </w:rPr>
              <w:t>Model Router, MCP/A2A interop, portable agents-as-code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>25. Recommendation &amp; Next Steps</w:t>
      </w:r>
    </w:p>
    <w:p>
      <w:pPr>
        <w:spacing w:after="120" w:before="0"/>
      </w:pPr>
      <w:r>
        <w:rPr>
          <w:rFonts w:ascii="Segoe UI" w:hAnsi="Segoe UI"/>
          <w:b/>
          <w:i w:val="0"/>
          <w:color w:val="121F3D"/>
          <w:sz w:val="21"/>
        </w:rPr>
        <w:t>Approve a four-week Phase 0 to stand up the platform and onboard the three proof points.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1.  </w:t>
      </w:r>
      <w:r>
        <w:rPr>
          <w:rFonts w:ascii="Segoe UI" w:hAnsi="Segoe UI"/>
          <w:sz w:val="21"/>
        </w:rPr>
        <w:t>Establish the Azure/Foundry landing zone, security baseline and guardrail policy.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2.  </w:t>
      </w:r>
      <w:r>
        <w:rPr>
          <w:rFonts w:ascii="Segoe UI" w:hAnsi="Segoe UI"/>
          <w:sz w:val="21"/>
        </w:rPr>
        <w:t>Stand up the paved road: agents-as-code, evaluation gates, observability and FinOps.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3.  </w:t>
      </w:r>
      <w:r>
        <w:rPr>
          <w:rFonts w:ascii="Segoe UI" w:hAnsi="Segoe UI"/>
          <w:sz w:val="21"/>
        </w:rPr>
        <w:t>Onboard the three proof points: Voice Agent copilot, PI Index MVP, Hiring screening.</w:t>
      </w:r>
    </w:p>
    <w:p>
      <w:pPr>
        <w:pStyle w:val="ListBullet"/>
        <w:spacing w:after="60"/>
      </w:pPr>
      <w:r>
        <w:rPr>
          <w:rFonts w:ascii="Segoe UI" w:hAnsi="Segoe UI"/>
          <w:b/>
          <w:sz w:val="21"/>
        </w:rPr>
        <w:t xml:space="preserve">4.  </w:t>
      </w:r>
      <w:r>
        <w:rPr>
          <w:rFonts w:ascii="Segoe UI" w:hAnsi="Segoe UI"/>
          <w:sz w:val="21"/>
        </w:rPr>
        <w:t>Publish the use-case intake so the 4th, 5th and 6th use cases self-serve onto the platform.</w:t>
      </w:r>
    </w:p>
    <w:p>
      <w:pPr>
        <w:spacing w:after="120" w:before="0"/>
      </w:pPr>
    </w:p>
    <w:p>
      <w:pPr>
        <w:spacing w:after="120" w:before="0"/>
        <w:jc w:val="center"/>
      </w:pPr>
      <w:r>
        <w:rPr>
          <w:rFonts w:ascii="Segoe UI" w:hAnsi="Segoe UI"/>
          <w:b w:val="0"/>
          <w:i/>
          <w:color w:val="505A6A"/>
          <w:sz w:val="18"/>
        </w:rPr>
        <w:t>AFNI · Office of GenAI Architecture — internal &amp; confidential. Build the factory — then let it run.</w:t>
      </w:r>
    </w:p>
    <w:sectPr w:rsidR="00FC693F" w:rsidRPr="0006063C" w:rsidSect="00034616">
      <w:footerReference w:type="default" r:id="rId9"/>
      <w:pgSz w:w="12240" w:h="15840"/>
      <w:pgMar w:top="1296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05A6A"/>
        <w:sz w:val="16"/>
      </w:rPr>
      <w:t xml:space="preserve">AFNI · Office of GenAI Architecture  ·  Enterprise GenAI Framework  ·  Confidential  · 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2228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Segoe UI" w:hAnsi="Segoe UI"/>
      <w:b/>
      <w:bCs/>
      <w:color w:val="121F3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Segoe UI" w:hAnsi="Segoe UI"/>
      <w:b/>
      <w:bCs/>
      <w:color w:val="1B3A6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007A7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