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pPr>
    </w:p>
    <w:p>
      <w:pPr>
        <w:spacing w:after="200" w:before="0"/>
        <w:jc w:val="center"/>
      </w:pPr>
      <w:r>
        <w:rPr>
          <w:rFonts w:ascii="Segoe UI" w:hAnsi="Segoe UI"/>
          <w:b/>
          <w:i w:val="0"/>
          <w:color w:val="007A7A"/>
          <w:sz w:val="24"/>
        </w:rPr>
        <w:t>ENTERPRISE PROPOSAL  ·  2026</w:t>
      </w:r>
    </w:p>
    <w:p>
      <w:pPr>
        <w:spacing w:after="120" w:before="0"/>
        <w:jc w:val="center"/>
      </w:pPr>
      <w:r>
        <w:rPr>
          <w:rFonts w:ascii="Segoe UI" w:hAnsi="Segoe UI"/>
          <w:b/>
          <w:i w:val="0"/>
          <w:color w:val="121F3D"/>
          <w:sz w:val="60"/>
        </w:rPr>
        <w:t>Enterprise LLMOps Platform for Afni</w:t>
      </w:r>
    </w:p>
    <w:p>
      <w:pPr>
        <w:spacing w:after="800" w:before="0"/>
        <w:jc w:val="center"/>
      </w:pPr>
      <w:r>
        <w:rPr>
          <w:rFonts w:ascii="Segoe UI" w:hAnsi="Segoe UI"/>
          <w:b w:val="0"/>
          <w:i/>
          <w:color w:val="505A6A"/>
          <w:sz w:val="26"/>
        </w:rPr>
        <w:t>Industrializing multi-agent Generative AI — Voice AI for contact centers and AI-driven HR recruitment on one governed platform.</w:t>
      </w:r>
    </w:p>
    <w:p>
      <w:pPr>
        <w:spacing w:after="80" w:before="0"/>
        <w:jc w:val="center"/>
      </w:pPr>
      <w:r>
        <w:rPr>
          <w:rFonts w:ascii="Segoe UI" w:hAnsi="Segoe UI"/>
          <w:b/>
          <w:i w:val="0"/>
          <w:color w:val="1B3A6B"/>
          <w:sz w:val="24"/>
        </w:rPr>
        <w:t>Prepared by Evoke Technologies · GenAI Architecture Practice</w:t>
      </w:r>
    </w:p>
    <w:p>
      <w:pPr>
        <w:spacing w:after="80" w:before="0"/>
        <w:jc w:val="center"/>
      </w:pPr>
      <w:r>
        <w:rPr>
          <w:rFonts w:ascii="Segoe UI" w:hAnsi="Segoe UI"/>
          <w:b w:val="0"/>
          <w:i w:val="0"/>
          <w:color w:val="505A6A"/>
          <w:sz w:val="22"/>
        </w:rPr>
        <w:t>Author: Shyam — Senior GenAI Architect, embedded at Afni</w:t>
      </w:r>
    </w:p>
    <w:p>
      <w:pPr>
        <w:spacing w:after="600" w:before="0"/>
        <w:jc w:val="center"/>
      </w:pPr>
      <w:r>
        <w:rPr>
          <w:rFonts w:ascii="Segoe UI" w:hAnsi="Segoe UI"/>
          <w:b w:val="0"/>
          <w:i w:val="0"/>
          <w:color w:val="505A6A"/>
          <w:sz w:val="20"/>
        </w:rPr>
        <w:t>Draft v1.0  ·  Confidential — for Afni &amp; Evoke review</w:t>
      </w:r>
    </w:p>
    <w:tbl>
      <w:tblPr>
        <w:tblStyle w:val="TableGrid"/>
        <w:tblW w:type="auto" w:w="0"/>
        <w:jc w:val="center"/>
        <w:tblLook w:firstColumn="1" w:firstRow="1" w:lastColumn="0" w:lastRow="0" w:noHBand="0" w:noVBand="1" w:val="04A0"/>
      </w:tblPr>
      <w:tblGrid>
        <w:gridCol w:w="4680"/>
        <w:gridCol w:w="4680"/>
      </w:tblGrid>
      <w:tr>
        <w:tc>
          <w:tcPr>
            <w:tcW w:type="dxa" w:w="2592"/>
            <w:shd w:val="clear" w:fill="1B3A6B"/>
          </w:tcPr>
          <w:p>
            <w:pPr>
              <w:spacing w:after="40" w:before="40"/>
            </w:pPr>
            <w:r>
              <w:rPr>
                <w:rFonts w:ascii="Segoe UI" w:hAnsi="Segoe UI"/>
                <w:b/>
                <w:color w:val="FFFFFF"/>
                <w:sz w:val="20"/>
              </w:rPr>
              <w:t>Field</w:t>
            </w:r>
          </w:p>
        </w:tc>
        <w:tc>
          <w:tcPr>
            <w:tcW w:type="dxa" w:w="6624"/>
            <w:shd w:val="clear" w:fill="1B3A6B"/>
          </w:tcPr>
          <w:p>
            <w:pPr>
              <w:spacing w:after="40" w:before="40"/>
            </w:pPr>
            <w:r>
              <w:rPr>
                <w:rFonts w:ascii="Segoe UI" w:hAnsi="Segoe UI"/>
                <w:b/>
                <w:color w:val="FFFFFF"/>
                <w:sz w:val="20"/>
              </w:rPr>
              <w:t>Detail</w:t>
            </w:r>
          </w:p>
        </w:tc>
      </w:tr>
      <w:tr>
        <w:tc>
          <w:tcPr>
            <w:tcW w:type="dxa" w:w="2592"/>
          </w:tcPr>
          <w:p>
            <w:pPr>
              <w:spacing w:after="40" w:before="40"/>
            </w:pPr>
            <w:r>
              <w:rPr>
                <w:rFonts w:ascii="Segoe UI" w:hAnsi="Segoe UI"/>
                <w:b/>
                <w:color w:val="121F3D"/>
                <w:sz w:val="19"/>
              </w:rPr>
              <w:t>Client</w:t>
            </w:r>
          </w:p>
        </w:tc>
        <w:tc>
          <w:tcPr>
            <w:tcW w:type="dxa" w:w="6624"/>
          </w:tcPr>
          <w:p>
            <w:pPr>
              <w:spacing w:after="40" w:before="40"/>
            </w:pPr>
            <w:r>
              <w:rPr>
                <w:rFonts w:ascii="Segoe UI" w:hAnsi="Segoe UI"/>
                <w:sz w:val="19"/>
              </w:rPr>
              <w:t>Afni, Inc. — global BPO &amp; customer engagement</w:t>
            </w:r>
          </w:p>
        </w:tc>
      </w:tr>
      <w:tr>
        <w:tc>
          <w:tcPr>
            <w:tcW w:type="dxa" w:w="2592"/>
            <w:shd w:val="clear" w:fill="EEF1F7"/>
          </w:tcPr>
          <w:p>
            <w:pPr>
              <w:spacing w:after="40" w:before="40"/>
            </w:pPr>
            <w:r>
              <w:rPr>
                <w:rFonts w:ascii="Segoe UI" w:hAnsi="Segoe UI"/>
                <w:b/>
                <w:color w:val="121F3D"/>
                <w:sz w:val="19"/>
              </w:rPr>
              <w:t>Prepared by</w:t>
            </w:r>
          </w:p>
        </w:tc>
        <w:tc>
          <w:tcPr>
            <w:tcW w:type="dxa" w:w="6624"/>
            <w:shd w:val="clear" w:fill="EEF1F7"/>
          </w:tcPr>
          <w:p>
            <w:pPr>
              <w:spacing w:after="40" w:before="40"/>
            </w:pPr>
            <w:r>
              <w:rPr>
                <w:rFonts w:ascii="Segoe UI" w:hAnsi="Segoe UI"/>
                <w:sz w:val="19"/>
              </w:rPr>
              <w:t>Evoke Technologies (Shyam, Senior GenAI Architect)</w:t>
            </w:r>
          </w:p>
        </w:tc>
      </w:tr>
      <w:tr>
        <w:tc>
          <w:tcPr>
            <w:tcW w:type="dxa" w:w="2592"/>
          </w:tcPr>
          <w:p>
            <w:pPr>
              <w:spacing w:after="40" w:before="40"/>
            </w:pPr>
            <w:r>
              <w:rPr>
                <w:rFonts w:ascii="Segoe UI" w:hAnsi="Segoe UI"/>
                <w:b/>
                <w:color w:val="121F3D"/>
                <w:sz w:val="19"/>
              </w:rPr>
              <w:t>Document</w:t>
            </w:r>
          </w:p>
        </w:tc>
        <w:tc>
          <w:tcPr>
            <w:tcW w:type="dxa" w:w="6624"/>
          </w:tcPr>
          <w:p>
            <w:pPr>
              <w:spacing w:after="40" w:before="40"/>
            </w:pPr>
            <w:r>
              <w:rPr>
                <w:rFonts w:ascii="Segoe UI" w:hAnsi="Segoe UI"/>
                <w:sz w:val="19"/>
              </w:rPr>
              <w:t>Enterprise LLMOps Proposal</w:t>
            </w:r>
          </w:p>
        </w:tc>
      </w:tr>
      <w:tr>
        <w:tc>
          <w:tcPr>
            <w:tcW w:type="dxa" w:w="2592"/>
            <w:shd w:val="clear" w:fill="EEF1F7"/>
          </w:tcPr>
          <w:p>
            <w:pPr>
              <w:spacing w:after="40" w:before="40"/>
            </w:pPr>
            <w:r>
              <w:rPr>
                <w:rFonts w:ascii="Segoe UI" w:hAnsi="Segoe UI"/>
                <w:b/>
                <w:color w:val="121F3D"/>
                <w:sz w:val="19"/>
              </w:rPr>
              <w:t>Version / Status</w:t>
            </w:r>
          </w:p>
        </w:tc>
        <w:tc>
          <w:tcPr>
            <w:tcW w:type="dxa" w:w="6624"/>
            <w:shd w:val="clear" w:fill="EEF1F7"/>
          </w:tcPr>
          <w:p>
            <w:pPr>
              <w:spacing w:after="40" w:before="40"/>
            </w:pPr>
            <w:r>
              <w:rPr>
                <w:rFonts w:ascii="Segoe UI" w:hAnsi="Segoe UI"/>
                <w:sz w:val="19"/>
              </w:rPr>
              <w:t>v1.0 / Draft for review</w:t>
            </w:r>
          </w:p>
        </w:tc>
      </w:tr>
      <w:tr>
        <w:tc>
          <w:tcPr>
            <w:tcW w:type="dxa" w:w="2592"/>
          </w:tcPr>
          <w:p>
            <w:pPr>
              <w:spacing w:after="40" w:before="40"/>
            </w:pPr>
            <w:r>
              <w:rPr>
                <w:rFonts w:ascii="Segoe UI" w:hAnsi="Segoe UI"/>
                <w:b/>
                <w:color w:val="121F3D"/>
                <w:sz w:val="19"/>
              </w:rPr>
              <w:t>Classification</w:t>
            </w:r>
          </w:p>
        </w:tc>
        <w:tc>
          <w:tcPr>
            <w:tcW w:type="dxa" w:w="6624"/>
          </w:tcPr>
          <w:p>
            <w:pPr>
              <w:spacing w:after="40" w:before="40"/>
            </w:pPr>
            <w:r>
              <w:rPr>
                <w:rFonts w:ascii="Segoe UI" w:hAnsi="Segoe UI"/>
                <w:sz w:val="19"/>
              </w:rPr>
              <w:t>Confidential</w:t>
            </w:r>
          </w:p>
        </w:tc>
      </w:tr>
      <w:tr>
        <w:tc>
          <w:tcPr>
            <w:tcW w:type="dxa" w:w="2592"/>
            <w:shd w:val="clear" w:fill="EEF1F7"/>
          </w:tcPr>
          <w:p>
            <w:pPr>
              <w:spacing w:after="40" w:before="40"/>
            </w:pPr>
            <w:r>
              <w:rPr>
                <w:rFonts w:ascii="Segoe UI" w:hAnsi="Segoe UI"/>
                <w:b/>
                <w:color w:val="121F3D"/>
                <w:sz w:val="19"/>
              </w:rPr>
              <w:t>Date</w:t>
            </w:r>
          </w:p>
        </w:tc>
        <w:tc>
          <w:tcPr>
            <w:tcW w:type="dxa" w:w="6624"/>
            <w:shd w:val="clear" w:fill="EEF1F7"/>
          </w:tcPr>
          <w:p>
            <w:pPr>
              <w:spacing w:after="40" w:before="40"/>
            </w:pPr>
            <w:r>
              <w:rPr>
                <w:rFonts w:ascii="Segoe UI" w:hAnsi="Segoe UI"/>
                <w:sz w:val="19"/>
              </w:rPr>
              <w:t>2026</w:t>
            </w:r>
          </w:p>
        </w:tc>
      </w:tr>
    </w:tbl>
    <w:p>
      <w:pPr>
        <w:spacing w:after="80" w:before="0"/>
      </w:pPr>
    </w:p>
    <w:p>
      <w:r>
        <w:br w:type="page"/>
      </w:r>
    </w:p>
    <w:p>
      <w:pPr>
        <w:pStyle w:val="Heading1"/>
      </w:pPr>
      <w:r>
        <w:t>Contents</w:t>
      </w:r>
    </w:p>
    <w:p>
      <w:pPr>
        <w:spacing w:after="80"/>
      </w:pPr>
      <w:r>
        <w:rPr>
          <w:rFonts w:ascii="Segoe UI" w:hAnsi="Segoe UI"/>
          <w:b/>
          <w:color w:val="1B3A6B"/>
          <w:sz w:val="22"/>
        </w:rPr>
        <w:t>1. Executive Summary</w:t>
      </w:r>
    </w:p>
    <w:p>
      <w:pPr>
        <w:spacing w:after="80"/>
      </w:pPr>
      <w:r>
        <w:rPr>
          <w:rFonts w:ascii="Segoe UI" w:hAnsi="Segoe UI"/>
          <w:b/>
          <w:color w:val="1B3A6B"/>
          <w:sz w:val="22"/>
        </w:rPr>
        <w:t>2. Afni Business Context &amp; Opportunity</w:t>
      </w:r>
    </w:p>
    <w:p>
      <w:pPr>
        <w:spacing w:after="80"/>
      </w:pPr>
      <w:r>
        <w:rPr>
          <w:rFonts w:ascii="Segoe UI" w:hAnsi="Segoe UI"/>
          <w:b/>
          <w:color w:val="1B3A6B"/>
          <w:sz w:val="22"/>
        </w:rPr>
        <w:t>3. Platform Architecture</w:t>
      </w:r>
    </w:p>
    <w:p>
      <w:pPr>
        <w:spacing w:after="80"/>
      </w:pPr>
      <w:r>
        <w:rPr>
          <w:rFonts w:ascii="Segoe UI" w:hAnsi="Segoe UI"/>
          <w:b/>
          <w:color w:val="1B3A6B"/>
          <w:sz w:val="22"/>
        </w:rPr>
        <w:t>4. Multi-Agent Systems Design</w:t>
      </w:r>
    </w:p>
    <w:p>
      <w:pPr>
        <w:spacing w:after="80"/>
      </w:pPr>
      <w:r>
        <w:rPr>
          <w:rFonts w:ascii="Segoe UI" w:hAnsi="Segoe UI"/>
          <w:b/>
          <w:color w:val="1B3A6B"/>
          <w:sz w:val="22"/>
        </w:rPr>
        <w:t>5. Use Case 1 — Voice AI for Contact Centers</w:t>
      </w:r>
    </w:p>
    <w:p>
      <w:pPr>
        <w:spacing w:after="80"/>
      </w:pPr>
      <w:r>
        <w:rPr>
          <w:rFonts w:ascii="Segoe UI" w:hAnsi="Segoe UI"/>
          <w:b/>
          <w:color w:val="1B3A6B"/>
          <w:sz w:val="22"/>
        </w:rPr>
        <w:t>6. Use Case 2 — AI-Driven HR Recruitment</w:t>
      </w:r>
    </w:p>
    <w:p>
      <w:pPr>
        <w:spacing w:after="80"/>
      </w:pPr>
      <w:r>
        <w:rPr>
          <w:rFonts w:ascii="Segoe UI" w:hAnsi="Segoe UI"/>
          <w:b/>
          <w:color w:val="1B3A6B"/>
          <w:sz w:val="22"/>
        </w:rPr>
        <w:t>7. LLMOps Lifecycle &amp; Toolchain</w:t>
      </w:r>
    </w:p>
    <w:p>
      <w:pPr>
        <w:spacing w:after="80"/>
      </w:pPr>
      <w:r>
        <w:rPr>
          <w:rFonts w:ascii="Segoe UI" w:hAnsi="Segoe UI"/>
          <w:b/>
          <w:color w:val="1B3A6B"/>
          <w:sz w:val="22"/>
        </w:rPr>
        <w:t>8. Responsible AI &amp; Governance</w:t>
      </w:r>
    </w:p>
    <w:p>
      <w:pPr>
        <w:spacing w:after="80"/>
      </w:pPr>
      <w:r>
        <w:rPr>
          <w:rFonts w:ascii="Segoe UI" w:hAnsi="Segoe UI"/>
          <w:b/>
          <w:color w:val="1B3A6B"/>
          <w:sz w:val="22"/>
        </w:rPr>
        <w:t>9. Security, Privacy &amp; Compliance</w:t>
      </w:r>
    </w:p>
    <w:p>
      <w:pPr>
        <w:spacing w:after="80"/>
      </w:pPr>
      <w:r>
        <w:rPr>
          <w:rFonts w:ascii="Segoe UI" w:hAnsi="Segoe UI"/>
          <w:color w:val="1B3A6B"/>
          <w:sz w:val="22"/>
        </w:rPr>
        <w:t>10. Observability &amp; FinOps</w:t>
      </w:r>
    </w:p>
    <w:p>
      <w:pPr>
        <w:spacing w:after="80"/>
      </w:pPr>
      <w:r>
        <w:rPr>
          <w:rFonts w:ascii="Segoe UI" w:hAnsi="Segoe UI"/>
          <w:color w:val="1B3A6B"/>
          <w:sz w:val="22"/>
        </w:rPr>
        <w:t>11. Operating Model &amp; Team</w:t>
      </w:r>
    </w:p>
    <w:p>
      <w:pPr>
        <w:spacing w:after="80"/>
      </w:pPr>
      <w:r>
        <w:rPr>
          <w:rFonts w:ascii="Segoe UI" w:hAnsi="Segoe UI"/>
          <w:color w:val="1B3A6B"/>
          <w:sz w:val="22"/>
        </w:rPr>
        <w:t>12. Implementation Roadmap</w:t>
      </w:r>
    </w:p>
    <w:p>
      <w:pPr>
        <w:spacing w:after="80"/>
      </w:pPr>
      <w:r>
        <w:rPr>
          <w:rFonts w:ascii="Segoe UI" w:hAnsi="Segoe UI"/>
          <w:color w:val="1B3A6B"/>
          <w:sz w:val="22"/>
        </w:rPr>
        <w:t>13. Business Case &amp; ROI</w:t>
      </w:r>
    </w:p>
    <w:p>
      <w:pPr>
        <w:spacing w:after="80"/>
      </w:pPr>
      <w:r>
        <w:rPr>
          <w:rFonts w:ascii="Segoe UI" w:hAnsi="Segoe UI"/>
          <w:color w:val="1B3A6B"/>
          <w:sz w:val="22"/>
        </w:rPr>
        <w:t>14. Risks &amp; Mitigations</w:t>
      </w:r>
    </w:p>
    <w:p>
      <w:pPr>
        <w:spacing w:after="80"/>
      </w:pPr>
      <w:r>
        <w:rPr>
          <w:rFonts w:ascii="Segoe UI" w:hAnsi="Segoe UI"/>
          <w:color w:val="1B3A6B"/>
          <w:sz w:val="22"/>
        </w:rPr>
        <w:t>15. Recommendation &amp; Next Steps</w:t>
      </w:r>
    </w:p>
    <w:p>
      <w:r>
        <w:br w:type="page"/>
      </w:r>
    </w:p>
    <w:p>
      <w:pPr>
        <w:pStyle w:val="Heading1"/>
      </w:pPr>
      <w:r>
        <w:t>1. Executive Summary</w:t>
      </w:r>
    </w:p>
    <w:p>
      <w:pPr>
        <w:spacing w:after="120" w:before="0"/>
      </w:pPr>
      <w:r>
        <w:rPr>
          <w:rFonts w:ascii="Segoe UI" w:hAnsi="Segoe UI"/>
          <w:b w:val="0"/>
          <w:i w:val="0"/>
          <w:sz w:val="21"/>
        </w:rPr>
        <w:t>Afni operates in a business where Generative AI is no longer optional. As a global business process outsourcing and customer-engagement provider, Afni's economics are driven by two things this proposal targets directly: the cost and quality of high-volume voice interactions, and the cost and speed of hiring the people who handle them. AI-native competitors are resetting client expectations on price, availability and consistency. The opportunity is to move first — as an AI-enabled partner, not a repriced one.</w:t>
      </w:r>
    </w:p>
    <w:p>
      <w:pPr>
        <w:spacing w:after="120" w:before="0"/>
      </w:pPr>
      <w:r>
        <w:rPr>
          <w:rFonts w:ascii="Segoe UI" w:hAnsi="Segoe UI"/>
          <w:b w:val="0"/>
          <w:i w:val="0"/>
          <w:sz w:val="21"/>
        </w:rPr>
        <w:t>This proposal recommends that Afni stand up an enterprise-grade LLMOps platform on Microsoft Azure AI Foundry and use it to deliver two flagship, multi-agent use cases:</w:t>
      </w:r>
    </w:p>
    <w:p>
      <w:pPr>
        <w:pStyle w:val="ListBullet"/>
        <w:spacing w:after="60"/>
      </w:pPr>
      <w:r>
        <w:rPr>
          <w:rFonts w:ascii="Segoe UI" w:hAnsi="Segoe UI"/>
          <w:b/>
          <w:sz w:val="21"/>
        </w:rPr>
        <w:t xml:space="preserve">Voice AI — </w:t>
      </w:r>
      <w:r>
        <w:rPr>
          <w:rFonts w:ascii="Segoe UI" w:hAnsi="Segoe UI"/>
          <w:sz w:val="21"/>
        </w:rPr>
        <w:t>customer and agent-facing Voice AI across the contact-center estate; and</w:t>
      </w:r>
    </w:p>
    <w:p>
      <w:pPr>
        <w:pStyle w:val="ListBullet"/>
        <w:spacing w:after="60"/>
      </w:pPr>
      <w:r>
        <w:rPr>
          <w:rFonts w:ascii="Segoe UI" w:hAnsi="Segoe UI"/>
          <w:b/>
          <w:sz w:val="21"/>
        </w:rPr>
        <w:t xml:space="preserve">HR recruitment — </w:t>
      </w:r>
      <w:r>
        <w:rPr>
          <w:rFonts w:ascii="Segoe UI" w:hAnsi="Segoe UI"/>
          <w:sz w:val="21"/>
        </w:rPr>
        <w:t>AI-driven HR recruitment for Afni's own high-volume, multi-country hiring.</w:t>
      </w:r>
    </w:p>
    <w:p>
      <w:pPr>
        <w:spacing w:after="120" w:before="0"/>
      </w:pPr>
      <w:r>
        <w:rPr>
          <w:rFonts w:ascii="Segoe UI" w:hAnsi="Segoe UI"/>
          <w:b w:val="0"/>
          <w:i w:val="0"/>
          <w:sz w:val="21"/>
        </w:rPr>
        <w:t>The strategy is deliberately platform-first. Rather than building disconnected pilots, Afni builds the foundations — orchestration, retrieval, evaluation, guardrails, observability, security and governance — once, so that every subsequent use case (subrogation automation, quality analytics, a knowledge assistant) reuses them and ships in weeks rather than quarters. Both flagship use cases run on the same multi-agent pattern: an orchestrator that routes work to specialist agents for intent, knowledge/RAG, actions, compliance, sentiment, escalation and summarization.</w:t>
      </w:r>
    </w:p>
    <w:tbl>
      <w:tblPr>
        <w:tblStyle w:val="TableGrid"/>
        <w:tblW w:type="auto" w:w="0"/>
        <w:tblLook w:firstColumn="1" w:firstRow="1" w:lastColumn="0" w:lastRow="0" w:noHBand="0" w:noVBand="1" w:val="04A0"/>
      </w:tblPr>
      <w:tblGrid>
        <w:gridCol w:w="9360"/>
      </w:tblGrid>
      <w:tr>
        <w:tc>
          <w:tcPr>
            <w:tcW w:type="dxa" w:w="9360"/>
            <w:shd w:val="clear" w:fill="EAF3F3"/>
          </w:tcPr>
          <w:p>
            <w:r>
              <w:rPr>
                <w:rFonts w:ascii="Segoe UI" w:hAnsi="Segoe UI"/>
                <w:b/>
                <w:color w:val="007A7A"/>
                <w:sz w:val="21"/>
              </w:rPr>
              <w:t xml:space="preserve">The core idea:  </w:t>
            </w:r>
            <w:r>
              <w:rPr>
                <w:rFonts w:ascii="Segoe UI" w:hAnsi="Segoe UI"/>
                <w:sz w:val="21"/>
              </w:rPr>
              <w:t>Give Afni one secure, governed platform to build, evaluate, deploy, govern and continuously improve fleets of cooperating AI agents — with the same operational rigor Afni already applies to running contact centers.</w:t>
            </w:r>
          </w:p>
        </w:tc>
      </w:tr>
    </w:tbl>
    <w:p>
      <w:pPr>
        <w:spacing w:after="80" w:before="0"/>
      </w:pPr>
    </w:p>
    <w:p>
      <w:pPr>
        <w:spacing w:after="120" w:before="0"/>
      </w:pPr>
      <w:r>
        <w:rPr>
          <w:rFonts w:ascii="Segoe UI" w:hAnsi="Segoe UI"/>
          <w:b w:val="0"/>
          <w:i w:val="0"/>
          <w:sz w:val="21"/>
        </w:rPr>
        <w:t>Delivery follows a Crawl → Walk → Run roadmap over roughly nine to twelve months, beginning with a four-week Phase 0 that establishes the Azure landing zone, security baseline and governance, followed by pilots that prove value early. Responsible AI, human-in-the-loop control and compliance (PCI-DSS, HIPAA, TCPA, SOC 2, GDPR, and hiring-fairness law such as EEOC and NYC Local Law 144) are designed in from day one. All financial figures in this document are illustrative placeholders to be replaced with Afni's actuals during discovery.</w:t>
      </w:r>
    </w:p>
    <w:p>
      <w:pPr>
        <w:spacing w:after="120" w:before="0"/>
      </w:pPr>
      <w:r>
        <w:rPr>
          <w:rFonts w:ascii="Segoe UI" w:hAnsi="Segoe UI"/>
          <w:b/>
          <w:i w:val="0"/>
          <w:color w:val="121F3D"/>
          <w:sz w:val="21"/>
        </w:rPr>
        <w:t>Recommendation: approve Phase 0 to lock the foundations and launch the agent-assist and HR-screening pilots.</w:t>
      </w:r>
    </w:p>
    <w:p>
      <w:pPr>
        <w:pStyle w:val="Heading1"/>
      </w:pPr>
      <w:r>
        <w:t>2. Afni Business Context &amp; Opportunity</w:t>
      </w:r>
    </w:p>
    <w:p>
      <w:pPr>
        <w:spacing w:after="120" w:before="0"/>
      </w:pPr>
      <w:r>
        <w:rPr>
          <w:rFonts w:ascii="Segoe UI" w:hAnsi="Segoe UI"/>
          <w:b w:val="0"/>
          <w:i w:val="0"/>
          <w:sz w:val="21"/>
        </w:rPr>
        <w:t>Afni, Inc. is a global BPO and customer-engagement provider founded in 1936, headquartered in Bloomington, Illinois, with a workforce of roughly 3,400+ professionals operating across the United States, Mexico and the Philippines, complemented by the Afni@Home remote program. (Public-source figures; to be confirmed with Afni.)</w:t>
      </w:r>
    </w:p>
    <w:p>
      <w:pPr>
        <w:pStyle w:val="Heading2"/>
      </w:pPr>
      <w:r>
        <w:t>2.1 Service lines</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1B3A6B"/>
          </w:tcPr>
          <w:p>
            <w:pPr>
              <w:spacing w:after="40" w:before="40"/>
            </w:pPr>
            <w:r>
              <w:rPr>
                <w:rFonts w:ascii="Segoe UI" w:hAnsi="Segoe UI"/>
                <w:b/>
                <w:color w:val="FFFFFF"/>
                <w:sz w:val="20"/>
              </w:rPr>
              <w:t>Service line</w:t>
            </w:r>
          </w:p>
        </w:tc>
        <w:tc>
          <w:tcPr>
            <w:tcW w:type="dxa" w:w="3600"/>
            <w:shd w:val="clear" w:fill="1B3A6B"/>
          </w:tcPr>
          <w:p>
            <w:pPr>
              <w:spacing w:after="40" w:before="40"/>
            </w:pPr>
            <w:r>
              <w:rPr>
                <w:rFonts w:ascii="Segoe UI" w:hAnsi="Segoe UI"/>
                <w:b/>
                <w:color w:val="FFFFFF"/>
                <w:sz w:val="20"/>
              </w:rPr>
              <w:t>What it involves</w:t>
            </w:r>
          </w:p>
        </w:tc>
        <w:tc>
          <w:tcPr>
            <w:tcW w:type="dxa" w:w="3456"/>
            <w:shd w:val="clear" w:fill="1B3A6B"/>
          </w:tcPr>
          <w:p>
            <w:pPr>
              <w:spacing w:after="40" w:before="40"/>
            </w:pPr>
            <w:r>
              <w:rPr>
                <w:rFonts w:ascii="Segoe UI" w:hAnsi="Segoe UI"/>
                <w:b/>
                <w:color w:val="FFFFFF"/>
                <w:sz w:val="20"/>
              </w:rPr>
              <w:t>GenAI relevance</w:t>
            </w:r>
          </w:p>
        </w:tc>
      </w:tr>
      <w:tr>
        <w:tc>
          <w:tcPr>
            <w:tcW w:type="dxa" w:w="2448"/>
          </w:tcPr>
          <w:p>
            <w:pPr>
              <w:spacing w:after="40" w:before="40"/>
            </w:pPr>
            <w:r>
              <w:rPr>
                <w:rFonts w:ascii="Segoe UI" w:hAnsi="Segoe UI"/>
                <w:b/>
                <w:color w:val="121F3D"/>
                <w:sz w:val="19"/>
              </w:rPr>
              <w:t>Acquisition &amp; Growth</w:t>
            </w:r>
          </w:p>
        </w:tc>
        <w:tc>
          <w:tcPr>
            <w:tcW w:type="dxa" w:w="3600"/>
          </w:tcPr>
          <w:p>
            <w:pPr>
              <w:spacing w:after="40" w:before="40"/>
            </w:pPr>
            <w:r>
              <w:rPr>
                <w:rFonts w:ascii="Segoe UI" w:hAnsi="Segoe UI"/>
                <w:sz w:val="19"/>
              </w:rPr>
              <w:t>Sales and customer acquisition</w:t>
            </w:r>
          </w:p>
        </w:tc>
        <w:tc>
          <w:tcPr>
            <w:tcW w:type="dxa" w:w="3456"/>
          </w:tcPr>
          <w:p>
            <w:pPr>
              <w:spacing w:after="40" w:before="40"/>
            </w:pPr>
            <w:r>
              <w:rPr>
                <w:rFonts w:ascii="Segoe UI" w:hAnsi="Segoe UI"/>
                <w:sz w:val="19"/>
              </w:rPr>
              <w:t>Outbound assist, lead qualification</w:t>
            </w:r>
          </w:p>
        </w:tc>
      </w:tr>
      <w:tr>
        <w:tc>
          <w:tcPr>
            <w:tcW w:type="dxa" w:w="2448"/>
            <w:shd w:val="clear" w:fill="EEF1F7"/>
          </w:tcPr>
          <w:p>
            <w:pPr>
              <w:spacing w:after="40" w:before="40"/>
            </w:pPr>
            <w:r>
              <w:rPr>
                <w:rFonts w:ascii="Segoe UI" w:hAnsi="Segoe UI"/>
                <w:b/>
                <w:color w:val="121F3D"/>
                <w:sz w:val="19"/>
              </w:rPr>
              <w:t>Care &amp; Retention</w:t>
            </w:r>
          </w:p>
        </w:tc>
        <w:tc>
          <w:tcPr>
            <w:tcW w:type="dxa" w:w="3600"/>
            <w:shd w:val="clear" w:fill="EEF1F7"/>
          </w:tcPr>
          <w:p>
            <w:pPr>
              <w:spacing w:after="40" w:before="40"/>
            </w:pPr>
            <w:r>
              <w:rPr>
                <w:rFonts w:ascii="Segoe UI" w:hAnsi="Segoe UI"/>
                <w:sz w:val="19"/>
              </w:rPr>
              <w:t>Customer service and loyalty</w:t>
            </w:r>
          </w:p>
        </w:tc>
        <w:tc>
          <w:tcPr>
            <w:tcW w:type="dxa" w:w="3456"/>
            <w:shd w:val="clear" w:fill="EEF1F7"/>
          </w:tcPr>
          <w:p>
            <w:pPr>
              <w:spacing w:after="40" w:before="40"/>
            </w:pPr>
            <w:r>
              <w:rPr>
                <w:rFonts w:ascii="Segoe UI" w:hAnsi="Segoe UI"/>
                <w:sz w:val="19"/>
              </w:rPr>
              <w:t>Voice agents, agent-assist, self-service</w:t>
            </w:r>
          </w:p>
        </w:tc>
      </w:tr>
      <w:tr>
        <w:tc>
          <w:tcPr>
            <w:tcW w:type="dxa" w:w="2448"/>
          </w:tcPr>
          <w:p>
            <w:pPr>
              <w:spacing w:after="40" w:before="40"/>
            </w:pPr>
            <w:r>
              <w:rPr>
                <w:rFonts w:ascii="Segoe UI" w:hAnsi="Segoe UI"/>
                <w:b/>
                <w:color w:val="121F3D"/>
                <w:sz w:val="19"/>
              </w:rPr>
              <w:t>Collections</w:t>
            </w:r>
          </w:p>
        </w:tc>
        <w:tc>
          <w:tcPr>
            <w:tcW w:type="dxa" w:w="3600"/>
          </w:tcPr>
          <w:p>
            <w:pPr>
              <w:spacing w:after="40" w:before="40"/>
            </w:pPr>
            <w:r>
              <w:rPr>
                <w:rFonts w:ascii="Segoe UI" w:hAnsi="Segoe UI"/>
                <w:sz w:val="19"/>
              </w:rPr>
              <w:t>Receivables and recovery</w:t>
            </w:r>
          </w:p>
        </w:tc>
        <w:tc>
          <w:tcPr>
            <w:tcW w:type="dxa" w:w="3456"/>
          </w:tcPr>
          <w:p>
            <w:pPr>
              <w:spacing w:after="40" w:before="40"/>
            </w:pPr>
            <w:r>
              <w:rPr>
                <w:rFonts w:ascii="Segoe UI" w:hAnsi="Segoe UI"/>
                <w:sz w:val="19"/>
              </w:rPr>
              <w:t>Compliant reminders, negotiation assist</w:t>
            </w:r>
          </w:p>
        </w:tc>
      </w:tr>
      <w:tr>
        <w:tc>
          <w:tcPr>
            <w:tcW w:type="dxa" w:w="2448"/>
            <w:shd w:val="clear" w:fill="EEF1F7"/>
          </w:tcPr>
          <w:p>
            <w:pPr>
              <w:spacing w:after="40" w:before="40"/>
            </w:pPr>
            <w:r>
              <w:rPr>
                <w:rFonts w:ascii="Segoe UI" w:hAnsi="Segoe UI"/>
                <w:b/>
                <w:color w:val="121F3D"/>
                <w:sz w:val="19"/>
              </w:rPr>
              <w:t>P&amp;C Insurance</w:t>
            </w:r>
          </w:p>
        </w:tc>
        <w:tc>
          <w:tcPr>
            <w:tcW w:type="dxa" w:w="3600"/>
            <w:shd w:val="clear" w:fill="EEF1F7"/>
          </w:tcPr>
          <w:p>
            <w:pPr>
              <w:spacing w:after="40" w:before="40"/>
            </w:pPr>
            <w:r>
              <w:rPr>
                <w:rFonts w:ascii="Segoe UI" w:hAnsi="Segoe UI"/>
                <w:sz w:val="19"/>
              </w:rPr>
              <w:t>Insurance support incl. subrogation</w:t>
            </w:r>
          </w:p>
        </w:tc>
        <w:tc>
          <w:tcPr>
            <w:tcW w:type="dxa" w:w="3456"/>
            <w:shd w:val="clear" w:fill="EEF1F7"/>
          </w:tcPr>
          <w:p>
            <w:pPr>
              <w:spacing w:after="40" w:before="40"/>
            </w:pPr>
            <w:r>
              <w:rPr>
                <w:rFonts w:ascii="Segoe UI" w:hAnsi="Segoe UI"/>
                <w:sz w:val="19"/>
              </w:rPr>
              <w:t>Document AI, claims &amp; subrogation automation</w:t>
            </w:r>
          </w:p>
        </w:tc>
      </w:tr>
      <w:tr>
        <w:tc>
          <w:tcPr>
            <w:tcW w:type="dxa" w:w="2448"/>
          </w:tcPr>
          <w:p>
            <w:pPr>
              <w:spacing w:after="40" w:before="40"/>
            </w:pPr>
            <w:r>
              <w:rPr>
                <w:rFonts w:ascii="Segoe UI" w:hAnsi="Segoe UI"/>
                <w:b/>
                <w:color w:val="121F3D"/>
                <w:sz w:val="19"/>
              </w:rPr>
              <w:t>Gainshare model</w:t>
            </w:r>
          </w:p>
        </w:tc>
        <w:tc>
          <w:tcPr>
            <w:tcW w:type="dxa" w:w="3600"/>
          </w:tcPr>
          <w:p>
            <w:pPr>
              <w:spacing w:after="40" w:before="40"/>
            </w:pPr>
            <w:r>
              <w:rPr>
                <w:rFonts w:ascii="Segoe UI" w:hAnsi="Segoe UI"/>
                <w:sz w:val="19"/>
              </w:rPr>
              <w:t>Outcome-based partnerships</w:t>
            </w:r>
          </w:p>
        </w:tc>
        <w:tc>
          <w:tcPr>
            <w:tcW w:type="dxa" w:w="3456"/>
          </w:tcPr>
          <w:p>
            <w:pPr>
              <w:spacing w:after="40" w:before="40"/>
            </w:pPr>
            <w:r>
              <w:rPr>
                <w:rFonts w:ascii="Segoe UI" w:hAnsi="Segoe UI"/>
                <w:sz w:val="19"/>
              </w:rPr>
              <w:t>Efficiency directly improves shared margin</w:t>
            </w:r>
          </w:p>
        </w:tc>
      </w:tr>
    </w:tbl>
    <w:p>
      <w:pPr>
        <w:spacing w:after="80" w:before="0"/>
      </w:pPr>
    </w:p>
    <w:p>
      <w:pPr>
        <w:pStyle w:val="Heading2"/>
      </w:pPr>
      <w:r>
        <w:t>2.2 Strategic pressures on BPOs</w:t>
      </w:r>
    </w:p>
    <w:p>
      <w:pPr>
        <w:pStyle w:val="ListBullet"/>
        <w:spacing w:after="60"/>
      </w:pPr>
      <w:r>
        <w:rPr>
          <w:rFonts w:ascii="Segoe UI" w:hAnsi="Segoe UI"/>
          <w:b/>
          <w:sz w:val="21"/>
        </w:rPr>
        <w:t xml:space="preserve">Economics — </w:t>
      </w:r>
      <w:r>
        <w:rPr>
          <w:rFonts w:ascii="Segoe UI" w:hAnsi="Segoe UI"/>
          <w:sz w:val="21"/>
        </w:rPr>
        <w:t>margin and labor-cost pressure as AI-native providers reset price expectations;</w:t>
      </w:r>
    </w:p>
    <w:p>
      <w:pPr>
        <w:pStyle w:val="ListBullet"/>
        <w:spacing w:after="60"/>
      </w:pPr>
      <w:r>
        <w:rPr>
          <w:rFonts w:ascii="Segoe UI" w:hAnsi="Segoe UI"/>
          <w:b/>
          <w:sz w:val="21"/>
        </w:rPr>
        <w:t xml:space="preserve">People — </w:t>
      </w:r>
      <w:r>
        <w:rPr>
          <w:rFonts w:ascii="Segoe UI" w:hAnsi="Segoe UI"/>
          <w:sz w:val="21"/>
        </w:rPr>
        <w:t>persistent agent attrition and ramp cost keep recruiting and training in permanent motion;</w:t>
      </w:r>
    </w:p>
    <w:p>
      <w:pPr>
        <w:pStyle w:val="ListBullet"/>
        <w:spacing w:after="60"/>
      </w:pPr>
      <w:r>
        <w:rPr>
          <w:rFonts w:ascii="Segoe UI" w:hAnsi="Segoe UI"/>
          <w:b/>
          <w:sz w:val="21"/>
        </w:rPr>
        <w:t xml:space="preserve">Experience — </w:t>
      </w:r>
      <w:r>
        <w:rPr>
          <w:rFonts w:ascii="Segoe UI" w:hAnsi="Segoe UI"/>
          <w:sz w:val="21"/>
        </w:rPr>
        <w:t>clients now expect 24/7, instant, consistent and compliant interactions;</w:t>
      </w:r>
    </w:p>
    <w:p>
      <w:pPr>
        <w:pStyle w:val="ListBullet"/>
        <w:spacing w:after="60"/>
      </w:pPr>
      <w:r>
        <w:rPr>
          <w:rFonts w:ascii="Segoe UI" w:hAnsi="Segoe UI"/>
          <w:b/>
          <w:sz w:val="21"/>
        </w:rPr>
        <w:t xml:space="preserve">Disruption — </w:t>
      </w:r>
      <w:r>
        <w:rPr>
          <w:rFonts w:ascii="Segoe UI" w:hAnsi="Segoe UI"/>
          <w:sz w:val="21"/>
        </w:rPr>
        <w:t>first movers become strategic AI partners; laggards get repriced.</w:t>
      </w:r>
    </w:p>
    <w:p>
      <w:pPr>
        <w:pStyle w:val="Heading2"/>
      </w:pPr>
      <w:r>
        <w:t>2.3 GenAI opportunity map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fill="1B3A6B"/>
          </w:tcPr>
          <w:p>
            <w:pPr>
              <w:spacing w:after="40" w:before="40"/>
            </w:pPr>
            <w:r>
              <w:rPr>
                <w:rFonts w:ascii="Segoe UI" w:hAnsi="Segoe UI"/>
                <w:b/>
                <w:color w:val="FFFFFF"/>
                <w:sz w:val="20"/>
              </w:rPr>
              <w:t>Candidate use case</w:t>
            </w:r>
          </w:p>
        </w:tc>
        <w:tc>
          <w:tcPr>
            <w:tcW w:type="dxa" w:w="2160"/>
            <w:shd w:val="clear" w:fill="1B3A6B"/>
          </w:tcPr>
          <w:p>
            <w:pPr>
              <w:spacing w:after="40" w:before="40"/>
            </w:pPr>
            <w:r>
              <w:rPr>
                <w:rFonts w:ascii="Segoe UI" w:hAnsi="Segoe UI"/>
                <w:b/>
                <w:color w:val="FFFFFF"/>
                <w:sz w:val="20"/>
              </w:rPr>
              <w:t>Business impact</w:t>
            </w:r>
          </w:p>
        </w:tc>
        <w:tc>
          <w:tcPr>
            <w:tcW w:type="dxa" w:w="1584"/>
            <w:shd w:val="clear" w:fill="1B3A6B"/>
          </w:tcPr>
          <w:p>
            <w:pPr>
              <w:spacing w:after="40" w:before="40"/>
            </w:pPr>
            <w:r>
              <w:rPr>
                <w:rFonts w:ascii="Segoe UI" w:hAnsi="Segoe UI"/>
                <w:b/>
                <w:color w:val="FFFFFF"/>
                <w:sz w:val="20"/>
              </w:rPr>
              <w:t>Effort</w:t>
            </w:r>
          </w:p>
        </w:tc>
        <w:tc>
          <w:tcPr>
            <w:tcW w:type="dxa" w:w="2016"/>
            <w:shd w:val="clear" w:fill="1B3A6B"/>
          </w:tcPr>
          <w:p>
            <w:pPr>
              <w:spacing w:after="40" w:before="40"/>
            </w:pPr>
            <w:r>
              <w:rPr>
                <w:rFonts w:ascii="Segoe UI" w:hAnsi="Segoe UI"/>
                <w:b/>
                <w:color w:val="FFFFFF"/>
                <w:sz w:val="20"/>
              </w:rPr>
              <w:t>Priority</w:t>
            </w:r>
          </w:p>
        </w:tc>
      </w:tr>
      <w:tr>
        <w:tc>
          <w:tcPr>
            <w:tcW w:type="dxa" w:w="3456"/>
          </w:tcPr>
          <w:p>
            <w:pPr>
              <w:spacing w:after="40" w:before="40"/>
            </w:pPr>
            <w:r>
              <w:rPr>
                <w:rFonts w:ascii="Segoe UI" w:hAnsi="Segoe UI"/>
                <w:b/>
                <w:color w:val="121F3D"/>
                <w:sz w:val="19"/>
              </w:rPr>
              <w:t>Agent-assist copilot (voice)</w:t>
            </w:r>
          </w:p>
        </w:tc>
        <w:tc>
          <w:tcPr>
            <w:tcW w:type="dxa" w:w="2160"/>
          </w:tcPr>
          <w:p>
            <w:pPr>
              <w:spacing w:after="40" w:before="40"/>
            </w:pPr>
            <w:r>
              <w:rPr>
                <w:rFonts w:ascii="Segoe UI" w:hAnsi="Segoe UI"/>
                <w:sz w:val="19"/>
              </w:rPr>
              <w:t>High</w:t>
            </w:r>
          </w:p>
        </w:tc>
        <w:tc>
          <w:tcPr>
            <w:tcW w:type="dxa" w:w="1584"/>
          </w:tcPr>
          <w:p>
            <w:pPr>
              <w:spacing w:after="40" w:before="40"/>
            </w:pPr>
            <w:r>
              <w:rPr>
                <w:rFonts w:ascii="Segoe UI" w:hAnsi="Segoe UI"/>
                <w:sz w:val="19"/>
              </w:rPr>
              <w:t>Medium</w:t>
            </w:r>
          </w:p>
        </w:tc>
        <w:tc>
          <w:tcPr>
            <w:tcW w:type="dxa" w:w="2016"/>
          </w:tcPr>
          <w:p>
            <w:pPr>
              <w:spacing w:after="40" w:before="40"/>
            </w:pPr>
            <w:r>
              <w:rPr>
                <w:rFonts w:ascii="Segoe UI" w:hAnsi="Segoe UI"/>
                <w:sz w:val="19"/>
              </w:rPr>
              <w:t>Now (Phase 1)</w:t>
            </w:r>
          </w:p>
        </w:tc>
      </w:tr>
      <w:tr>
        <w:tc>
          <w:tcPr>
            <w:tcW w:type="dxa" w:w="3456"/>
            <w:shd w:val="clear" w:fill="EEF1F7"/>
          </w:tcPr>
          <w:p>
            <w:pPr>
              <w:spacing w:after="40" w:before="40"/>
            </w:pPr>
            <w:r>
              <w:rPr>
                <w:rFonts w:ascii="Segoe UI" w:hAnsi="Segoe UI"/>
                <w:b/>
                <w:color w:val="121F3D"/>
                <w:sz w:val="19"/>
              </w:rPr>
              <w:t>HR recruitment automation</w:t>
            </w:r>
          </w:p>
        </w:tc>
        <w:tc>
          <w:tcPr>
            <w:tcW w:type="dxa" w:w="2160"/>
            <w:shd w:val="clear" w:fill="EEF1F7"/>
          </w:tcPr>
          <w:p>
            <w:pPr>
              <w:spacing w:after="40" w:before="40"/>
            </w:pPr>
            <w:r>
              <w:rPr>
                <w:rFonts w:ascii="Segoe UI" w:hAnsi="Segoe UI"/>
                <w:sz w:val="19"/>
              </w:rPr>
              <w:t>High</w:t>
            </w:r>
          </w:p>
        </w:tc>
        <w:tc>
          <w:tcPr>
            <w:tcW w:type="dxa" w:w="1584"/>
            <w:shd w:val="clear" w:fill="EEF1F7"/>
          </w:tcPr>
          <w:p>
            <w:pPr>
              <w:spacing w:after="40" w:before="40"/>
            </w:pPr>
            <w:r>
              <w:rPr>
                <w:rFonts w:ascii="Segoe UI" w:hAnsi="Segoe UI"/>
                <w:sz w:val="19"/>
              </w:rPr>
              <w:t>Low–Med</w:t>
            </w:r>
          </w:p>
        </w:tc>
        <w:tc>
          <w:tcPr>
            <w:tcW w:type="dxa" w:w="2016"/>
            <w:shd w:val="clear" w:fill="EEF1F7"/>
          </w:tcPr>
          <w:p>
            <w:pPr>
              <w:spacing w:after="40" w:before="40"/>
            </w:pPr>
            <w:r>
              <w:rPr>
                <w:rFonts w:ascii="Segoe UI" w:hAnsi="Segoe UI"/>
                <w:sz w:val="19"/>
              </w:rPr>
              <w:t>Now (Phase 1)</w:t>
            </w:r>
          </w:p>
        </w:tc>
      </w:tr>
      <w:tr>
        <w:tc>
          <w:tcPr>
            <w:tcW w:type="dxa" w:w="3456"/>
          </w:tcPr>
          <w:p>
            <w:pPr>
              <w:spacing w:after="40" w:before="40"/>
            </w:pPr>
            <w:r>
              <w:rPr>
                <w:rFonts w:ascii="Segoe UI" w:hAnsi="Segoe UI"/>
                <w:b/>
                <w:color w:val="121F3D"/>
                <w:sz w:val="19"/>
              </w:rPr>
              <w:t>Autonomous voice agent</w:t>
            </w:r>
          </w:p>
        </w:tc>
        <w:tc>
          <w:tcPr>
            <w:tcW w:type="dxa" w:w="2160"/>
          </w:tcPr>
          <w:p>
            <w:pPr>
              <w:spacing w:after="40" w:before="40"/>
            </w:pPr>
            <w:r>
              <w:rPr>
                <w:rFonts w:ascii="Segoe UI" w:hAnsi="Segoe UI"/>
                <w:sz w:val="19"/>
              </w:rPr>
              <w:t>High</w:t>
            </w:r>
          </w:p>
        </w:tc>
        <w:tc>
          <w:tcPr>
            <w:tcW w:type="dxa" w:w="1584"/>
          </w:tcPr>
          <w:p>
            <w:pPr>
              <w:spacing w:after="40" w:before="40"/>
            </w:pPr>
            <w:r>
              <w:rPr>
                <w:rFonts w:ascii="Segoe UI" w:hAnsi="Segoe UI"/>
                <w:sz w:val="19"/>
              </w:rPr>
              <w:t>Medium</w:t>
            </w:r>
          </w:p>
        </w:tc>
        <w:tc>
          <w:tcPr>
            <w:tcW w:type="dxa" w:w="2016"/>
          </w:tcPr>
          <w:p>
            <w:pPr>
              <w:spacing w:after="40" w:before="40"/>
            </w:pPr>
            <w:r>
              <w:rPr>
                <w:rFonts w:ascii="Segoe UI" w:hAnsi="Segoe UI"/>
                <w:sz w:val="19"/>
              </w:rPr>
              <w:t>Phase 2</w:t>
            </w:r>
          </w:p>
        </w:tc>
      </w:tr>
      <w:tr>
        <w:tc>
          <w:tcPr>
            <w:tcW w:type="dxa" w:w="3456"/>
            <w:shd w:val="clear" w:fill="EEF1F7"/>
          </w:tcPr>
          <w:p>
            <w:pPr>
              <w:spacing w:after="40" w:before="40"/>
            </w:pPr>
            <w:r>
              <w:rPr>
                <w:rFonts w:ascii="Segoe UI" w:hAnsi="Segoe UI"/>
                <w:b/>
                <w:color w:val="121F3D"/>
                <w:sz w:val="19"/>
              </w:rPr>
              <w:t>Post-call QA &amp; analytics</w:t>
            </w:r>
          </w:p>
        </w:tc>
        <w:tc>
          <w:tcPr>
            <w:tcW w:type="dxa" w:w="2160"/>
            <w:shd w:val="clear" w:fill="EEF1F7"/>
          </w:tcPr>
          <w:p>
            <w:pPr>
              <w:spacing w:after="40" w:before="40"/>
            </w:pPr>
            <w:r>
              <w:rPr>
                <w:rFonts w:ascii="Segoe UI" w:hAnsi="Segoe UI"/>
                <w:sz w:val="19"/>
              </w:rPr>
              <w:t>Medium–High</w:t>
            </w:r>
          </w:p>
        </w:tc>
        <w:tc>
          <w:tcPr>
            <w:tcW w:type="dxa" w:w="1584"/>
            <w:shd w:val="clear" w:fill="EEF1F7"/>
          </w:tcPr>
          <w:p>
            <w:pPr>
              <w:spacing w:after="40" w:before="40"/>
            </w:pPr>
            <w:r>
              <w:rPr>
                <w:rFonts w:ascii="Segoe UI" w:hAnsi="Segoe UI"/>
                <w:sz w:val="19"/>
              </w:rPr>
              <w:t>Low</w:t>
            </w:r>
          </w:p>
        </w:tc>
        <w:tc>
          <w:tcPr>
            <w:tcW w:type="dxa" w:w="2016"/>
            <w:shd w:val="clear" w:fill="EEF1F7"/>
          </w:tcPr>
          <w:p>
            <w:pPr>
              <w:spacing w:after="40" w:before="40"/>
            </w:pPr>
            <w:r>
              <w:rPr>
                <w:rFonts w:ascii="Segoe UI" w:hAnsi="Segoe UI"/>
                <w:sz w:val="19"/>
              </w:rPr>
              <w:t>Phase 2</w:t>
            </w:r>
          </w:p>
        </w:tc>
      </w:tr>
      <w:tr>
        <w:tc>
          <w:tcPr>
            <w:tcW w:type="dxa" w:w="3456"/>
          </w:tcPr>
          <w:p>
            <w:pPr>
              <w:spacing w:after="40" w:before="40"/>
            </w:pPr>
            <w:r>
              <w:rPr>
                <w:rFonts w:ascii="Segoe UI" w:hAnsi="Segoe UI"/>
                <w:b/>
                <w:color w:val="121F3D"/>
                <w:sz w:val="19"/>
              </w:rPr>
              <w:t>Subrogation / document automation</w:t>
            </w:r>
          </w:p>
        </w:tc>
        <w:tc>
          <w:tcPr>
            <w:tcW w:type="dxa" w:w="2160"/>
          </w:tcPr>
          <w:p>
            <w:pPr>
              <w:spacing w:after="40" w:before="40"/>
            </w:pPr>
            <w:r>
              <w:rPr>
                <w:rFonts w:ascii="Segoe UI" w:hAnsi="Segoe UI"/>
                <w:sz w:val="19"/>
              </w:rPr>
              <w:t>High</w:t>
            </w:r>
          </w:p>
        </w:tc>
        <w:tc>
          <w:tcPr>
            <w:tcW w:type="dxa" w:w="1584"/>
          </w:tcPr>
          <w:p>
            <w:pPr>
              <w:spacing w:after="40" w:before="40"/>
            </w:pPr>
            <w:r>
              <w:rPr>
                <w:rFonts w:ascii="Segoe UI" w:hAnsi="Segoe UI"/>
                <w:sz w:val="19"/>
              </w:rPr>
              <w:t>Medium</w:t>
            </w:r>
          </w:p>
        </w:tc>
        <w:tc>
          <w:tcPr>
            <w:tcW w:type="dxa" w:w="2016"/>
          </w:tcPr>
          <w:p>
            <w:pPr>
              <w:spacing w:after="40" w:before="40"/>
            </w:pPr>
            <w:r>
              <w:rPr>
                <w:rFonts w:ascii="Segoe UI" w:hAnsi="Segoe UI"/>
                <w:sz w:val="19"/>
              </w:rPr>
              <w:t>Phase 3</w:t>
            </w:r>
          </w:p>
        </w:tc>
      </w:tr>
      <w:tr>
        <w:tc>
          <w:tcPr>
            <w:tcW w:type="dxa" w:w="3456"/>
            <w:shd w:val="clear" w:fill="EEF1F7"/>
          </w:tcPr>
          <w:p>
            <w:pPr>
              <w:spacing w:after="40" w:before="40"/>
            </w:pPr>
            <w:r>
              <w:rPr>
                <w:rFonts w:ascii="Segoe UI" w:hAnsi="Segoe UI"/>
                <w:b/>
                <w:color w:val="121F3D"/>
                <w:sz w:val="19"/>
              </w:rPr>
              <w:t>Knowledge assistant (internal)</w:t>
            </w:r>
          </w:p>
        </w:tc>
        <w:tc>
          <w:tcPr>
            <w:tcW w:type="dxa" w:w="2160"/>
            <w:shd w:val="clear" w:fill="EEF1F7"/>
          </w:tcPr>
          <w:p>
            <w:pPr>
              <w:spacing w:after="40" w:before="40"/>
            </w:pPr>
            <w:r>
              <w:rPr>
                <w:rFonts w:ascii="Segoe UI" w:hAnsi="Segoe UI"/>
                <w:sz w:val="19"/>
              </w:rPr>
              <w:t>Medium</w:t>
            </w:r>
          </w:p>
        </w:tc>
        <w:tc>
          <w:tcPr>
            <w:tcW w:type="dxa" w:w="1584"/>
            <w:shd w:val="clear" w:fill="EEF1F7"/>
          </w:tcPr>
          <w:p>
            <w:pPr>
              <w:spacing w:after="40" w:before="40"/>
            </w:pPr>
            <w:r>
              <w:rPr>
                <w:rFonts w:ascii="Segoe UI" w:hAnsi="Segoe UI"/>
                <w:sz w:val="19"/>
              </w:rPr>
              <w:t>Low</w:t>
            </w:r>
          </w:p>
        </w:tc>
        <w:tc>
          <w:tcPr>
            <w:tcW w:type="dxa" w:w="2016"/>
            <w:shd w:val="clear" w:fill="EEF1F7"/>
          </w:tcPr>
          <w:p>
            <w:pPr>
              <w:spacing w:after="40" w:before="40"/>
            </w:pPr>
            <w:r>
              <w:rPr>
                <w:rFonts w:ascii="Segoe UI" w:hAnsi="Segoe UI"/>
                <w:sz w:val="19"/>
              </w:rPr>
              <w:t>Phase 3</w:t>
            </w:r>
          </w:p>
        </w:tc>
      </w:tr>
    </w:tbl>
    <w:p>
      <w:pPr>
        <w:spacing w:after="80" w:before="0"/>
      </w:pPr>
    </w:p>
    <w:p>
      <w:pPr>
        <w:pStyle w:val="Heading1"/>
      </w:pPr>
      <w:r>
        <w:t>3. Platform Architecture</w:t>
      </w:r>
    </w:p>
    <w:p>
      <w:pPr>
        <w:spacing w:after="120" w:before="0"/>
      </w:pPr>
      <w:r>
        <w:rPr>
          <w:rFonts w:ascii="Segoe UI" w:hAnsi="Segoe UI"/>
          <w:b w:val="0"/>
          <w:i w:val="0"/>
          <w:sz w:val="21"/>
        </w:rPr>
        <w:t>The platform is a layered reference architecture on Azure AI Foundry. Each layer has a clear responsibility and named Azure services, so that use cases compose from shared building blocks rather than bespoke stacks.</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1B3A6B"/>
          </w:tcPr>
          <w:p>
            <w:pPr>
              <w:spacing w:after="40" w:before="40"/>
            </w:pPr>
            <w:r>
              <w:rPr>
                <w:rFonts w:ascii="Segoe UI" w:hAnsi="Segoe UI"/>
                <w:b/>
                <w:color w:val="FFFFFF"/>
                <w:sz w:val="20"/>
              </w:rPr>
              <w:t>Layer</w:t>
            </w:r>
          </w:p>
        </w:tc>
        <w:tc>
          <w:tcPr>
            <w:tcW w:type="dxa" w:w="2736"/>
            <w:shd w:val="clear" w:fill="1B3A6B"/>
          </w:tcPr>
          <w:p>
            <w:pPr>
              <w:spacing w:after="40" w:before="40"/>
            </w:pPr>
            <w:r>
              <w:rPr>
                <w:rFonts w:ascii="Segoe UI" w:hAnsi="Segoe UI"/>
                <w:b/>
                <w:color w:val="FFFFFF"/>
                <w:sz w:val="20"/>
              </w:rPr>
              <w:t>Responsibility</w:t>
            </w:r>
          </w:p>
        </w:tc>
        <w:tc>
          <w:tcPr>
            <w:tcW w:type="dxa" w:w="4320"/>
            <w:shd w:val="clear" w:fill="1B3A6B"/>
          </w:tcPr>
          <w:p>
            <w:pPr>
              <w:spacing w:after="40" w:before="40"/>
            </w:pPr>
            <w:r>
              <w:rPr>
                <w:rFonts w:ascii="Segoe UI" w:hAnsi="Segoe UI"/>
                <w:b/>
                <w:color w:val="FFFFFF"/>
                <w:sz w:val="20"/>
              </w:rPr>
              <w:t>Key Azure services</w:t>
            </w:r>
          </w:p>
        </w:tc>
      </w:tr>
      <w:tr>
        <w:tc>
          <w:tcPr>
            <w:tcW w:type="dxa" w:w="2448"/>
          </w:tcPr>
          <w:p>
            <w:pPr>
              <w:spacing w:after="40" w:before="40"/>
            </w:pPr>
            <w:r>
              <w:rPr>
                <w:rFonts w:ascii="Segoe UI" w:hAnsi="Segoe UI"/>
                <w:b/>
                <w:color w:val="121F3D"/>
                <w:sz w:val="19"/>
              </w:rPr>
              <w:t>Experience &amp; channels</w:t>
            </w:r>
          </w:p>
        </w:tc>
        <w:tc>
          <w:tcPr>
            <w:tcW w:type="dxa" w:w="2736"/>
          </w:tcPr>
          <w:p>
            <w:pPr>
              <w:spacing w:after="40" w:before="40"/>
            </w:pPr>
            <w:r>
              <w:rPr>
                <w:rFonts w:ascii="Segoe UI" w:hAnsi="Segoe UI"/>
                <w:sz w:val="19"/>
              </w:rPr>
              <w:t>Where users interact</w:t>
            </w:r>
          </w:p>
        </w:tc>
        <w:tc>
          <w:tcPr>
            <w:tcW w:type="dxa" w:w="4320"/>
          </w:tcPr>
          <w:p>
            <w:pPr>
              <w:spacing w:after="40" w:before="40"/>
            </w:pPr>
            <w:r>
              <w:rPr>
                <w:rFonts w:ascii="Segoe UI" w:hAnsi="Segoe UI"/>
                <w:sz w:val="19"/>
              </w:rPr>
              <w:t>CCaaS + Azure Communication Services, web/chat, agent desktop, ATS/HR portals</w:t>
            </w:r>
          </w:p>
        </w:tc>
      </w:tr>
      <w:tr>
        <w:tc>
          <w:tcPr>
            <w:tcW w:type="dxa" w:w="2448"/>
            <w:shd w:val="clear" w:fill="EEF1F7"/>
          </w:tcPr>
          <w:p>
            <w:pPr>
              <w:spacing w:after="40" w:before="40"/>
            </w:pPr>
            <w:r>
              <w:rPr>
                <w:rFonts w:ascii="Segoe UI" w:hAnsi="Segoe UI"/>
                <w:b/>
                <w:color w:val="121F3D"/>
                <w:sz w:val="19"/>
              </w:rPr>
              <w:t>Orchestration &amp; agents</w:t>
            </w:r>
          </w:p>
        </w:tc>
        <w:tc>
          <w:tcPr>
            <w:tcW w:type="dxa" w:w="2736"/>
            <w:shd w:val="clear" w:fill="EEF1F7"/>
          </w:tcPr>
          <w:p>
            <w:pPr>
              <w:spacing w:after="40" w:before="40"/>
            </w:pPr>
            <w:r>
              <w:rPr>
                <w:rFonts w:ascii="Segoe UI" w:hAnsi="Segoe UI"/>
                <w:sz w:val="19"/>
              </w:rPr>
              <w:t>Coordinate multi-agent work</w:t>
            </w:r>
          </w:p>
        </w:tc>
        <w:tc>
          <w:tcPr>
            <w:tcW w:type="dxa" w:w="4320"/>
            <w:shd w:val="clear" w:fill="EEF1F7"/>
          </w:tcPr>
          <w:p>
            <w:pPr>
              <w:spacing w:after="40" w:before="40"/>
            </w:pPr>
            <w:r>
              <w:rPr>
                <w:rFonts w:ascii="Segoe UI" w:hAnsi="Segoe UI"/>
                <w:sz w:val="19"/>
              </w:rPr>
              <w:t>Azure AI Agent Service, Semantic Kernel / AutoGen (Microsoft Agent Framework)</w:t>
            </w:r>
          </w:p>
        </w:tc>
      </w:tr>
      <w:tr>
        <w:tc>
          <w:tcPr>
            <w:tcW w:type="dxa" w:w="2448"/>
          </w:tcPr>
          <w:p>
            <w:pPr>
              <w:spacing w:after="40" w:before="40"/>
            </w:pPr>
            <w:r>
              <w:rPr>
                <w:rFonts w:ascii="Segoe UI" w:hAnsi="Segoe UI"/>
                <w:b/>
                <w:color w:val="121F3D"/>
                <w:sz w:val="19"/>
              </w:rPr>
              <w:t>Models &amp; AI services</w:t>
            </w:r>
          </w:p>
        </w:tc>
        <w:tc>
          <w:tcPr>
            <w:tcW w:type="dxa" w:w="2736"/>
          </w:tcPr>
          <w:p>
            <w:pPr>
              <w:spacing w:after="40" w:before="40"/>
            </w:pPr>
            <w:r>
              <w:rPr>
                <w:rFonts w:ascii="Segoe UI" w:hAnsi="Segoe UI"/>
                <w:sz w:val="19"/>
              </w:rPr>
              <w:t>Reasoning, speech, safety</w:t>
            </w:r>
          </w:p>
        </w:tc>
        <w:tc>
          <w:tcPr>
            <w:tcW w:type="dxa" w:w="4320"/>
          </w:tcPr>
          <w:p>
            <w:pPr>
              <w:spacing w:after="40" w:before="40"/>
            </w:pPr>
            <w:r>
              <w:rPr>
                <w:rFonts w:ascii="Segoe UI" w:hAnsi="Segoe UI"/>
                <w:sz w:val="19"/>
              </w:rPr>
              <w:t>Azure OpenAI GPT-4o / mini, gpt-realtime, AI Speech, Content Safety</w:t>
            </w:r>
          </w:p>
        </w:tc>
      </w:tr>
      <w:tr>
        <w:tc>
          <w:tcPr>
            <w:tcW w:type="dxa" w:w="2448"/>
            <w:shd w:val="clear" w:fill="EEF1F7"/>
          </w:tcPr>
          <w:p>
            <w:pPr>
              <w:spacing w:after="40" w:before="40"/>
            </w:pPr>
            <w:r>
              <w:rPr>
                <w:rFonts w:ascii="Segoe UI" w:hAnsi="Segoe UI"/>
                <w:b/>
                <w:color w:val="121F3D"/>
                <w:sz w:val="19"/>
              </w:rPr>
              <w:t>Knowledge &amp; RAG</w:t>
            </w:r>
          </w:p>
        </w:tc>
        <w:tc>
          <w:tcPr>
            <w:tcW w:type="dxa" w:w="2736"/>
            <w:shd w:val="clear" w:fill="EEF1F7"/>
          </w:tcPr>
          <w:p>
            <w:pPr>
              <w:spacing w:after="40" w:before="40"/>
            </w:pPr>
            <w:r>
              <w:rPr>
                <w:rFonts w:ascii="Segoe UI" w:hAnsi="Segoe UI"/>
                <w:sz w:val="19"/>
              </w:rPr>
              <w:t>Grounded answers</w:t>
            </w:r>
          </w:p>
        </w:tc>
        <w:tc>
          <w:tcPr>
            <w:tcW w:type="dxa" w:w="4320"/>
            <w:shd w:val="clear" w:fill="EEF1F7"/>
          </w:tcPr>
          <w:p>
            <w:pPr>
              <w:spacing w:after="40" w:before="40"/>
            </w:pPr>
            <w:r>
              <w:rPr>
                <w:rFonts w:ascii="Segoe UI" w:hAnsi="Segoe UI"/>
                <w:sz w:val="19"/>
              </w:rPr>
              <w:t>Azure AI Search (hybrid + semantic), AI Document Intelligence</w:t>
            </w:r>
          </w:p>
        </w:tc>
      </w:tr>
      <w:tr>
        <w:tc>
          <w:tcPr>
            <w:tcW w:type="dxa" w:w="2448"/>
          </w:tcPr>
          <w:p>
            <w:pPr>
              <w:spacing w:after="40" w:before="40"/>
            </w:pPr>
            <w:r>
              <w:rPr>
                <w:rFonts w:ascii="Segoe UI" w:hAnsi="Segoe UI"/>
                <w:b/>
                <w:color w:val="121F3D"/>
                <w:sz w:val="19"/>
              </w:rPr>
              <w:t>Data &amp; integration</w:t>
            </w:r>
          </w:p>
        </w:tc>
        <w:tc>
          <w:tcPr>
            <w:tcW w:type="dxa" w:w="2736"/>
          </w:tcPr>
          <w:p>
            <w:pPr>
              <w:spacing w:after="40" w:before="40"/>
            </w:pPr>
            <w:r>
              <w:rPr>
                <w:rFonts w:ascii="Segoe UI" w:hAnsi="Segoe UI"/>
                <w:sz w:val="19"/>
              </w:rPr>
              <w:t>State, records, connectors</w:t>
            </w:r>
          </w:p>
        </w:tc>
        <w:tc>
          <w:tcPr>
            <w:tcW w:type="dxa" w:w="4320"/>
          </w:tcPr>
          <w:p>
            <w:pPr>
              <w:spacing w:after="40" w:before="40"/>
            </w:pPr>
            <w:r>
              <w:rPr>
                <w:rFonts w:ascii="Segoe UI" w:hAnsi="Segoe UI"/>
                <w:sz w:val="19"/>
              </w:rPr>
              <w:t>Cosmos DB, Data Lake / Fabric, Azure SQL, API Management, Functions</w:t>
            </w:r>
          </w:p>
        </w:tc>
      </w:tr>
      <w:tr>
        <w:tc>
          <w:tcPr>
            <w:tcW w:type="dxa" w:w="2448"/>
            <w:shd w:val="clear" w:fill="EEF1F7"/>
          </w:tcPr>
          <w:p>
            <w:pPr>
              <w:spacing w:after="40" w:before="40"/>
            </w:pPr>
            <w:r>
              <w:rPr>
                <w:rFonts w:ascii="Segoe UI" w:hAnsi="Segoe UI"/>
                <w:b/>
                <w:color w:val="121F3D"/>
                <w:sz w:val="19"/>
              </w:rPr>
              <w:t>DevOps &amp; LLMOps</w:t>
            </w:r>
          </w:p>
        </w:tc>
        <w:tc>
          <w:tcPr>
            <w:tcW w:type="dxa" w:w="2736"/>
            <w:shd w:val="clear" w:fill="EEF1F7"/>
          </w:tcPr>
          <w:p>
            <w:pPr>
              <w:spacing w:after="40" w:before="40"/>
            </w:pPr>
            <w:r>
              <w:rPr>
                <w:rFonts w:ascii="Segoe UI" w:hAnsi="Segoe UI"/>
                <w:sz w:val="19"/>
              </w:rPr>
              <w:t>Build, test, ship</w:t>
            </w:r>
          </w:p>
        </w:tc>
        <w:tc>
          <w:tcPr>
            <w:tcW w:type="dxa" w:w="4320"/>
            <w:shd w:val="clear" w:fill="EEF1F7"/>
          </w:tcPr>
          <w:p>
            <w:pPr>
              <w:spacing w:after="40" w:before="40"/>
            </w:pPr>
            <w:r>
              <w:rPr>
                <w:rFonts w:ascii="Segoe UI" w:hAnsi="Segoe UI"/>
                <w:sz w:val="19"/>
              </w:rPr>
              <w:t>Prompt flow &amp; registry, AI evaluation SDK, GitHub Actions / Azure DevOps, Container Apps / AKS</w:t>
            </w:r>
          </w:p>
        </w:tc>
      </w:tr>
      <w:tr>
        <w:tc>
          <w:tcPr>
            <w:tcW w:type="dxa" w:w="2448"/>
          </w:tcPr>
          <w:p>
            <w:pPr>
              <w:spacing w:after="40" w:before="40"/>
            </w:pPr>
            <w:r>
              <w:rPr>
                <w:rFonts w:ascii="Segoe UI" w:hAnsi="Segoe UI"/>
                <w:b/>
                <w:color w:val="121F3D"/>
                <w:sz w:val="19"/>
              </w:rPr>
              <w:t>Security &amp; governance</w:t>
            </w:r>
          </w:p>
        </w:tc>
        <w:tc>
          <w:tcPr>
            <w:tcW w:type="dxa" w:w="2736"/>
          </w:tcPr>
          <w:p>
            <w:pPr>
              <w:spacing w:after="40" w:before="40"/>
            </w:pPr>
            <w:r>
              <w:rPr>
                <w:rFonts w:ascii="Segoe UI" w:hAnsi="Segoe UI"/>
                <w:sz w:val="19"/>
              </w:rPr>
              <w:t>Trust &amp; control</w:t>
            </w:r>
          </w:p>
        </w:tc>
        <w:tc>
          <w:tcPr>
            <w:tcW w:type="dxa" w:w="4320"/>
          </w:tcPr>
          <w:p>
            <w:pPr>
              <w:spacing w:after="40" w:before="40"/>
            </w:pPr>
            <w:r>
              <w:rPr>
                <w:rFonts w:ascii="Segoe UI" w:hAnsi="Segoe UI"/>
                <w:sz w:val="19"/>
              </w:rPr>
              <w:t>Entra ID, Key Vault, Defender for Cloud, Purview, private endpoints</w:t>
            </w:r>
          </w:p>
        </w:tc>
      </w:tr>
      <w:tr>
        <w:tc>
          <w:tcPr>
            <w:tcW w:type="dxa" w:w="2448"/>
            <w:shd w:val="clear" w:fill="EEF1F7"/>
          </w:tcPr>
          <w:p>
            <w:pPr>
              <w:spacing w:after="40" w:before="40"/>
            </w:pPr>
            <w:r>
              <w:rPr>
                <w:rFonts w:ascii="Segoe UI" w:hAnsi="Segoe UI"/>
                <w:b/>
                <w:color w:val="121F3D"/>
                <w:sz w:val="19"/>
              </w:rPr>
              <w:t>Observability &amp; FinOps</w:t>
            </w:r>
          </w:p>
        </w:tc>
        <w:tc>
          <w:tcPr>
            <w:tcW w:type="dxa" w:w="2736"/>
            <w:shd w:val="clear" w:fill="EEF1F7"/>
          </w:tcPr>
          <w:p>
            <w:pPr>
              <w:spacing w:after="40" w:before="40"/>
            </w:pPr>
            <w:r>
              <w:rPr>
                <w:rFonts w:ascii="Segoe UI" w:hAnsi="Segoe UI"/>
                <w:sz w:val="19"/>
              </w:rPr>
              <w:t>See &amp; cost everything</w:t>
            </w:r>
          </w:p>
        </w:tc>
        <w:tc>
          <w:tcPr>
            <w:tcW w:type="dxa" w:w="4320"/>
            <w:shd w:val="clear" w:fill="EEF1F7"/>
          </w:tcPr>
          <w:p>
            <w:pPr>
              <w:spacing w:after="40" w:before="40"/>
            </w:pPr>
            <w:r>
              <w:rPr>
                <w:rFonts w:ascii="Segoe UI" w:hAnsi="Segoe UI"/>
                <w:sz w:val="19"/>
              </w:rPr>
              <w:t>Azure Monitor, App Insights, OpenTelemetry, token metering</w:t>
            </w:r>
          </w:p>
        </w:tc>
      </w:tr>
    </w:tbl>
    <w:p>
      <w:pPr>
        <w:spacing w:after="80" w:before="0"/>
      </w:pPr>
    </w:p>
    <w:p>
      <w:pPr>
        <w:pStyle w:val="Heading2"/>
      </w:pPr>
      <w:r>
        <w:t>3.1 Environments &amp; isolation</w:t>
      </w:r>
    </w:p>
    <w:p>
      <w:pPr>
        <w:spacing w:after="120" w:before="0"/>
      </w:pPr>
      <w:r>
        <w:rPr>
          <w:rFonts w:ascii="Segoe UI" w:hAnsi="Segoe UI"/>
          <w:b w:val="0"/>
          <w:i w:val="0"/>
          <w:sz w:val="21"/>
        </w:rPr>
        <w:t>Separate dev, test and production environments follow the Azure Cloud Adoption Framework landing-zone pattern. Traffic stays on private networking (VNet + private endpoints) with no public egress for sensitive data; identities are managed through Entra ID with least-privilege RBAC and managed identities; secrets live in Key Vault.</w:t>
      </w:r>
    </w:p>
    <w:p>
      <w:pPr>
        <w:pStyle w:val="Heading2"/>
      </w:pPr>
      <w:r>
        <w:t>3.2 Model serving &amp; AI gateway</w:t>
      </w:r>
    </w:p>
    <w:p>
      <w:pPr>
        <w:spacing w:after="120" w:before="0"/>
      </w:pPr>
      <w:r>
        <w:rPr>
          <w:rFonts w:ascii="Segoe UI" w:hAnsi="Segoe UI"/>
          <w:b w:val="0"/>
          <w:i w:val="0"/>
          <w:sz w:val="21"/>
        </w:rPr>
        <w:t>Azure API Management sits in front of model endpoints as an AI gateway, providing token metering, per-consumer quotas and throttling, semantic caching, and routing/fallback across models. This is also the enforcement point for cost control and abuse protection.</w:t>
      </w:r>
    </w:p>
    <w:p>
      <w:pPr>
        <w:pStyle w:val="Heading2"/>
      </w:pPr>
      <w:r>
        <w:t>3.3 Alternatives considered</w:t>
      </w:r>
    </w:p>
    <w:p>
      <w:pPr>
        <w:spacing w:after="120" w:before="0"/>
      </w:pPr>
      <w:r>
        <w:rPr>
          <w:rFonts w:ascii="Segoe UI" w:hAnsi="Segoe UI"/>
          <w:b w:val="0"/>
          <w:i w:val="0"/>
          <w:sz w:val="21"/>
        </w:rPr>
        <w:t>AWS Bedrock Agents and Google Vertex AI Agent Builder are credible alternatives. Azure is recommended as primary given Afni's likely Microsoft enterprise footprint and the maturity of Azure AI Foundry for regulated, multi-agent workloads with integrated agent, safety and governance tooling. The gateway abstraction keeps the platform model-portable.</w:t>
      </w:r>
    </w:p>
    <w:p>
      <w:pPr>
        <w:pStyle w:val="Heading1"/>
      </w:pPr>
      <w:r>
        <w:t>4. Multi-Agent Systems Design</w:t>
      </w:r>
    </w:p>
    <w:p>
      <w:pPr>
        <w:spacing w:after="120" w:before="0"/>
      </w:pPr>
      <w:r>
        <w:rPr>
          <w:rFonts w:ascii="Segoe UI" w:hAnsi="Segoe UI"/>
          <w:b w:val="0"/>
          <w:i w:val="0"/>
          <w:sz w:val="21"/>
        </w:rPr>
        <w:t>Both flagship use cases are built on one pattern: a supervisor/orchestrator agent that interprets a request and routes work to specialist agents, each with a narrow, testable responsibility. Probabilistic agents are wrapped in deterministic guardrails so that policy — disclosures, PII handling, do-not-say/must-say — is enforced, not merely hoped for.</w:t>
      </w:r>
    </w:p>
    <w:tbl>
      <w:tblPr>
        <w:tblStyle w:val="TableGrid"/>
        <w:tblW w:type="auto" w:w="0"/>
        <w:jc w:val="center"/>
        <w:tblLook w:firstColumn="1" w:firstRow="1" w:lastColumn="0" w:lastRow="0" w:noHBand="0" w:noVBand="1" w:val="04A0"/>
      </w:tblPr>
      <w:tblGrid>
        <w:gridCol w:w="4680"/>
        <w:gridCol w:w="4680"/>
      </w:tblGrid>
      <w:tr>
        <w:tc>
          <w:tcPr>
            <w:tcW w:type="dxa" w:w="2880"/>
            <w:shd w:val="clear" w:fill="1B3A6B"/>
          </w:tcPr>
          <w:p>
            <w:pPr>
              <w:spacing w:after="40" w:before="40"/>
            </w:pPr>
            <w:r>
              <w:rPr>
                <w:rFonts w:ascii="Segoe UI" w:hAnsi="Segoe UI"/>
                <w:b/>
                <w:color w:val="FFFFFF"/>
                <w:sz w:val="20"/>
              </w:rPr>
              <w:t>Specialist agent</w:t>
            </w:r>
          </w:p>
        </w:tc>
        <w:tc>
          <w:tcPr>
            <w:tcW w:type="dxa" w:w="6336"/>
            <w:shd w:val="clear" w:fill="1B3A6B"/>
          </w:tcPr>
          <w:p>
            <w:pPr>
              <w:spacing w:after="40" w:before="40"/>
            </w:pPr>
            <w:r>
              <w:rPr>
                <w:rFonts w:ascii="Segoe UI" w:hAnsi="Segoe UI"/>
                <w:b/>
                <w:color w:val="FFFFFF"/>
                <w:sz w:val="20"/>
              </w:rPr>
              <w:t>Responsibility</w:t>
            </w:r>
          </w:p>
        </w:tc>
      </w:tr>
      <w:tr>
        <w:tc>
          <w:tcPr>
            <w:tcW w:type="dxa" w:w="2880"/>
          </w:tcPr>
          <w:p>
            <w:pPr>
              <w:spacing w:after="40" w:before="40"/>
            </w:pPr>
            <w:r>
              <w:rPr>
                <w:rFonts w:ascii="Segoe UI" w:hAnsi="Segoe UI"/>
                <w:b/>
                <w:color w:val="121F3D"/>
                <w:sz w:val="19"/>
              </w:rPr>
              <w:t>Intent / Router</w:t>
            </w:r>
          </w:p>
        </w:tc>
        <w:tc>
          <w:tcPr>
            <w:tcW w:type="dxa" w:w="6336"/>
          </w:tcPr>
          <w:p>
            <w:pPr>
              <w:spacing w:after="40" w:before="40"/>
            </w:pPr>
            <w:r>
              <w:rPr>
                <w:rFonts w:ascii="Segoe UI" w:hAnsi="Segoe UI"/>
                <w:sz w:val="19"/>
              </w:rPr>
              <w:t>Classify the request and route to the right specialist</w:t>
            </w:r>
          </w:p>
        </w:tc>
      </w:tr>
      <w:tr>
        <w:tc>
          <w:tcPr>
            <w:tcW w:type="dxa" w:w="2880"/>
            <w:shd w:val="clear" w:fill="EEF1F7"/>
          </w:tcPr>
          <w:p>
            <w:pPr>
              <w:spacing w:after="40" w:before="40"/>
            </w:pPr>
            <w:r>
              <w:rPr>
                <w:rFonts w:ascii="Segoe UI" w:hAnsi="Segoe UI"/>
                <w:b/>
                <w:color w:val="121F3D"/>
                <w:sz w:val="19"/>
              </w:rPr>
              <w:t>Knowledge / RAG</w:t>
            </w:r>
          </w:p>
        </w:tc>
        <w:tc>
          <w:tcPr>
            <w:tcW w:type="dxa" w:w="6336"/>
            <w:shd w:val="clear" w:fill="EEF1F7"/>
          </w:tcPr>
          <w:p>
            <w:pPr>
              <w:spacing w:after="40" w:before="40"/>
            </w:pPr>
            <w:r>
              <w:rPr>
                <w:rFonts w:ascii="Segoe UI" w:hAnsi="Segoe UI"/>
                <w:sz w:val="19"/>
              </w:rPr>
              <w:t>Retrieve grounded, cited answers from policy and knowledge bases</w:t>
            </w:r>
          </w:p>
        </w:tc>
      </w:tr>
      <w:tr>
        <w:tc>
          <w:tcPr>
            <w:tcW w:type="dxa" w:w="2880"/>
          </w:tcPr>
          <w:p>
            <w:pPr>
              <w:spacing w:after="40" w:before="40"/>
            </w:pPr>
            <w:r>
              <w:rPr>
                <w:rFonts w:ascii="Segoe UI" w:hAnsi="Segoe UI"/>
                <w:b/>
                <w:color w:val="121F3D"/>
                <w:sz w:val="19"/>
              </w:rPr>
              <w:t>Action / Tooling</w:t>
            </w:r>
          </w:p>
        </w:tc>
        <w:tc>
          <w:tcPr>
            <w:tcW w:type="dxa" w:w="6336"/>
          </w:tcPr>
          <w:p>
            <w:pPr>
              <w:spacing w:after="40" w:before="40"/>
            </w:pPr>
            <w:r>
              <w:rPr>
                <w:rFonts w:ascii="Segoe UI" w:hAnsi="Segoe UI"/>
                <w:sz w:val="19"/>
              </w:rPr>
              <w:t>Call systems of record (CRM, HRIS/ATS, billing) via secure tools</w:t>
            </w:r>
          </w:p>
        </w:tc>
      </w:tr>
      <w:tr>
        <w:tc>
          <w:tcPr>
            <w:tcW w:type="dxa" w:w="2880"/>
            <w:shd w:val="clear" w:fill="EEF1F7"/>
          </w:tcPr>
          <w:p>
            <w:pPr>
              <w:spacing w:after="40" w:before="40"/>
            </w:pPr>
            <w:r>
              <w:rPr>
                <w:rFonts w:ascii="Segoe UI" w:hAnsi="Segoe UI"/>
                <w:b/>
                <w:color w:val="121F3D"/>
                <w:sz w:val="19"/>
              </w:rPr>
              <w:t>Compliance / Guardrail</w:t>
            </w:r>
          </w:p>
        </w:tc>
        <w:tc>
          <w:tcPr>
            <w:tcW w:type="dxa" w:w="6336"/>
            <w:shd w:val="clear" w:fill="EEF1F7"/>
          </w:tcPr>
          <w:p>
            <w:pPr>
              <w:spacing w:after="40" w:before="40"/>
            </w:pPr>
            <w:r>
              <w:rPr>
                <w:rFonts w:ascii="Segoe UI" w:hAnsi="Segoe UI"/>
                <w:sz w:val="19"/>
              </w:rPr>
              <w:t>Enforce disclosures, PII redaction, TCPA/EEOC and fairness rules</w:t>
            </w:r>
          </w:p>
        </w:tc>
      </w:tr>
      <w:tr>
        <w:tc>
          <w:tcPr>
            <w:tcW w:type="dxa" w:w="2880"/>
          </w:tcPr>
          <w:p>
            <w:pPr>
              <w:spacing w:after="40" w:before="40"/>
            </w:pPr>
            <w:r>
              <w:rPr>
                <w:rFonts w:ascii="Segoe UI" w:hAnsi="Segoe UI"/>
                <w:b/>
                <w:color w:val="121F3D"/>
                <w:sz w:val="19"/>
              </w:rPr>
              <w:t>Sentiment / Emotion</w:t>
            </w:r>
          </w:p>
        </w:tc>
        <w:tc>
          <w:tcPr>
            <w:tcW w:type="dxa" w:w="6336"/>
          </w:tcPr>
          <w:p>
            <w:pPr>
              <w:spacing w:after="40" w:before="40"/>
            </w:pPr>
            <w:r>
              <w:rPr>
                <w:rFonts w:ascii="Segoe UI" w:hAnsi="Segoe UI"/>
                <w:sz w:val="19"/>
              </w:rPr>
              <w:t>Detect frustration or escalation signals</w:t>
            </w:r>
          </w:p>
        </w:tc>
      </w:tr>
      <w:tr>
        <w:tc>
          <w:tcPr>
            <w:tcW w:type="dxa" w:w="2880"/>
            <w:shd w:val="clear" w:fill="EEF1F7"/>
          </w:tcPr>
          <w:p>
            <w:pPr>
              <w:spacing w:after="40" w:before="40"/>
            </w:pPr>
            <w:r>
              <w:rPr>
                <w:rFonts w:ascii="Segoe UI" w:hAnsi="Segoe UI"/>
                <w:b/>
                <w:color w:val="121F3D"/>
                <w:sz w:val="19"/>
              </w:rPr>
              <w:t>Escalation / Handoff</w:t>
            </w:r>
          </w:p>
        </w:tc>
        <w:tc>
          <w:tcPr>
            <w:tcW w:type="dxa" w:w="6336"/>
            <w:shd w:val="clear" w:fill="EEF1F7"/>
          </w:tcPr>
          <w:p>
            <w:pPr>
              <w:spacing w:after="40" w:before="40"/>
            </w:pPr>
            <w:r>
              <w:rPr>
                <w:rFonts w:ascii="Segoe UI" w:hAnsi="Segoe UI"/>
                <w:sz w:val="19"/>
              </w:rPr>
              <w:t>Warm-transfer to a human with full context</w:t>
            </w:r>
          </w:p>
        </w:tc>
      </w:tr>
      <w:tr>
        <w:tc>
          <w:tcPr>
            <w:tcW w:type="dxa" w:w="2880"/>
          </w:tcPr>
          <w:p>
            <w:pPr>
              <w:spacing w:after="40" w:before="40"/>
            </w:pPr>
            <w:r>
              <w:rPr>
                <w:rFonts w:ascii="Segoe UI" w:hAnsi="Segoe UI"/>
                <w:b/>
                <w:color w:val="121F3D"/>
                <w:sz w:val="19"/>
              </w:rPr>
              <w:t>Summarization / QA</w:t>
            </w:r>
          </w:p>
        </w:tc>
        <w:tc>
          <w:tcPr>
            <w:tcW w:type="dxa" w:w="6336"/>
          </w:tcPr>
          <w:p>
            <w:pPr>
              <w:spacing w:after="40" w:before="40"/>
            </w:pPr>
            <w:r>
              <w:rPr>
                <w:rFonts w:ascii="Segoe UI" w:hAnsi="Segoe UI"/>
                <w:sz w:val="19"/>
              </w:rPr>
              <w:t>Produce summaries, dispositions and QA scores</w:t>
            </w:r>
          </w:p>
        </w:tc>
      </w:tr>
    </w:tbl>
    <w:p>
      <w:pPr>
        <w:spacing w:after="80" w:before="0"/>
      </w:pPr>
    </w:p>
    <w:p>
      <w:pPr>
        <w:pStyle w:val="Heading2"/>
      </w:pPr>
      <w:r>
        <w:t>4.1 Orchestration patterns</w:t>
      </w:r>
    </w:p>
    <w:p>
      <w:pPr>
        <w:spacing w:after="120" w:before="0"/>
      </w:pPr>
      <w:r>
        <w:rPr>
          <w:rFonts w:ascii="Segoe UI" w:hAnsi="Segoe UI"/>
          <w:b w:val="0"/>
          <w:i w:val="0"/>
          <w:sz w:val="21"/>
        </w:rPr>
        <w:t>The platform supports supervisor-orchestrator, sequential, concurrent, hand-off, group-chat, and reflection/critic patterns, with human-in-the-loop checkpoints for consequential decisions. Agents use tool/function calling to act; short-term memory holds conversation context while long-term memory (Cosmos DB) persists profiles and history.</w:t>
      </w:r>
    </w:p>
    <w:p>
      <w:pPr>
        <w:pStyle w:val="Heading2"/>
      </w:pPr>
      <w:r>
        <w:t>4.2 Frameworks</w:t>
      </w:r>
    </w:p>
    <w:p>
      <w:pPr>
        <w:spacing w:after="120" w:before="0"/>
      </w:pPr>
      <w:r>
        <w:rPr>
          <w:rFonts w:ascii="Segoe UI" w:hAnsi="Segoe UI"/>
          <w:b w:val="0"/>
          <w:i w:val="0"/>
          <w:sz w:val="21"/>
        </w:rPr>
        <w:t>Orchestration is implemented with Semantic Kernel and/or AutoGen (converging in the Microsoft Agent Framework) and hosted via Azure AI Agent Service. The same seven specialists serve both use cases — in voice they answer callers; in HR they move candidates through the funnel — proving the platform's reusability.</w:t>
      </w:r>
    </w:p>
    <w:p>
      <w:pPr>
        <w:pStyle w:val="Heading1"/>
      </w:pPr>
      <w:r>
        <w:t>5. Use Case 1 — Voice AI for Contact Centers</w:t>
      </w:r>
    </w:p>
    <w:p>
      <w:pPr>
        <w:spacing w:after="120" w:before="0"/>
      </w:pPr>
      <w:r>
        <w:rPr>
          <w:rFonts w:ascii="Segoe UI" w:hAnsi="Segoe UI"/>
          <w:b w:val="0"/>
          <w:i w:val="0"/>
          <w:sz w:val="21"/>
        </w:rPr>
        <w:t>Voice is Afni's highest-volume, highest-cost channel. The use case is delivered in three modes, sequenced from lowest to highest risk.</w:t>
      </w:r>
    </w:p>
    <w:p>
      <w:pPr>
        <w:pStyle w:val="Heading2"/>
      </w:pPr>
      <w:r>
        <w:t>5.1 Three modes</w:t>
      </w:r>
    </w:p>
    <w:p>
      <w:pPr>
        <w:pStyle w:val="ListBullet"/>
        <w:spacing w:after="60"/>
      </w:pPr>
      <w:r>
        <w:rPr>
          <w:rFonts w:ascii="Segoe UI" w:hAnsi="Segoe UI"/>
          <w:b/>
          <w:sz w:val="21"/>
        </w:rPr>
        <w:t xml:space="preserve">Agent-assist copilot — </w:t>
      </w:r>
      <w:r>
        <w:rPr>
          <w:rFonts w:ascii="Segoe UI" w:hAnsi="Segoe UI"/>
          <w:sz w:val="21"/>
        </w:rPr>
        <w:t>live transcription, next-best-action, knowledge surfacing, sentiment and compliance nudges, and automatic summary/disposition for human reps. Lowest risk, fastest value.</w:t>
      </w:r>
    </w:p>
    <w:p>
      <w:pPr>
        <w:pStyle w:val="ListBullet"/>
        <w:spacing w:after="60"/>
      </w:pPr>
      <w:r>
        <w:rPr>
          <w:rFonts w:ascii="Segoe UI" w:hAnsi="Segoe UI"/>
          <w:b/>
          <w:sz w:val="21"/>
        </w:rPr>
        <w:t xml:space="preserve">Autonomous voice agent — </w:t>
      </w:r>
      <w:r>
        <w:rPr>
          <w:rFonts w:ascii="Segoe UI" w:hAnsi="Segoe UI"/>
          <w:sz w:val="21"/>
        </w:rPr>
        <w:t>natural, sub-second speech-to-speech handling of containable call types (FAQs, verification, appointments, payment reminders), with warm handoff to a human when needed.</w:t>
      </w:r>
    </w:p>
    <w:p>
      <w:pPr>
        <w:pStyle w:val="ListBullet"/>
        <w:spacing w:after="60"/>
      </w:pPr>
      <w:r>
        <w:rPr>
          <w:rFonts w:ascii="Segoe UI" w:hAnsi="Segoe UI"/>
          <w:b/>
          <w:sz w:val="21"/>
        </w:rPr>
        <w:t xml:space="preserve">Post-call analytics &amp; QA — </w:t>
      </w:r>
      <w:r>
        <w:rPr>
          <w:rFonts w:ascii="Segoe UI" w:hAnsi="Segoe UI"/>
          <w:sz w:val="21"/>
        </w:rPr>
        <w:t>every call summarized and scored for quality and compliance, replacing sampled QA with 100% coverage and generating coaching insights.</w:t>
      </w:r>
    </w:p>
    <w:p>
      <w:pPr>
        <w:pStyle w:val="Heading2"/>
      </w:pPr>
      <w:r>
        <w:t>5.2 Call flow</w:t>
      </w:r>
    </w:p>
    <w:p>
      <w:pPr>
        <w:spacing w:after="120" w:before="0"/>
      </w:pPr>
      <w:r>
        <w:rPr>
          <w:rFonts w:ascii="Segoe UI" w:hAnsi="Segoe UI"/>
          <w:b w:val="0"/>
          <w:i w:val="0"/>
          <w:sz w:val="21"/>
        </w:rPr>
        <w:t>Caller → telephony/CCaaS → realtime speech-to-text → orchestrator → specialist agents (RAG + tools) → systems of record → spoken response (TTS) or human handoff. Content Safety, PII redaction and TCPA/PCI guardrails run on every turn, within a sub-second latency budget. Payment moments trigger PCI pause/mask.</w:t>
      </w:r>
    </w:p>
    <w:p>
      <w:pPr>
        <w:pStyle w:val="Heading2"/>
      </w:pPr>
      <w:r>
        <w:t>5.3 KPIs</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fill="1B3A6B"/>
          </w:tcPr>
          <w:p>
            <w:pPr>
              <w:spacing w:after="40" w:before="40"/>
            </w:pPr>
            <w:r>
              <w:rPr>
                <w:rFonts w:ascii="Segoe UI" w:hAnsi="Segoe UI"/>
                <w:b/>
                <w:color w:val="FFFFFF"/>
                <w:sz w:val="20"/>
              </w:rPr>
              <w:t>KPI</w:t>
            </w:r>
          </w:p>
        </w:tc>
        <w:tc>
          <w:tcPr>
            <w:tcW w:type="dxa" w:w="2736"/>
            <w:shd w:val="clear" w:fill="1B3A6B"/>
          </w:tcPr>
          <w:p>
            <w:pPr>
              <w:spacing w:after="40" w:before="40"/>
            </w:pPr>
            <w:r>
              <w:rPr>
                <w:rFonts w:ascii="Segoe UI" w:hAnsi="Segoe UI"/>
                <w:b/>
                <w:color w:val="FFFFFF"/>
                <w:sz w:val="20"/>
              </w:rPr>
              <w:t>Baseline (today)</w:t>
            </w:r>
          </w:p>
        </w:tc>
        <w:tc>
          <w:tcPr>
            <w:tcW w:type="dxa" w:w="3024"/>
            <w:shd w:val="clear" w:fill="1B3A6B"/>
          </w:tcPr>
          <w:p>
            <w:pPr>
              <w:spacing w:after="40" w:before="40"/>
            </w:pPr>
            <w:r>
              <w:rPr>
                <w:rFonts w:ascii="Segoe UI" w:hAnsi="Segoe UI"/>
                <w:b/>
                <w:color w:val="FFFFFF"/>
                <w:sz w:val="20"/>
              </w:rPr>
              <w:t>Target with Voice AI *</w:t>
            </w:r>
          </w:p>
        </w:tc>
      </w:tr>
      <w:tr>
        <w:tc>
          <w:tcPr>
            <w:tcW w:type="dxa" w:w="3456"/>
          </w:tcPr>
          <w:p>
            <w:pPr>
              <w:spacing w:after="40" w:before="40"/>
            </w:pPr>
            <w:r>
              <w:rPr>
                <w:rFonts w:ascii="Segoe UI" w:hAnsi="Segoe UI"/>
                <w:b/>
                <w:color w:val="121F3D"/>
                <w:sz w:val="19"/>
              </w:rPr>
              <w:t>Call containment / deflection</w:t>
            </w:r>
          </w:p>
        </w:tc>
        <w:tc>
          <w:tcPr>
            <w:tcW w:type="dxa" w:w="2736"/>
          </w:tcPr>
          <w:p>
            <w:pPr>
              <w:spacing w:after="40" w:before="40"/>
            </w:pPr>
            <w:r>
              <w:rPr>
                <w:rFonts w:ascii="Segoe UI" w:hAnsi="Segoe UI"/>
                <w:sz w:val="19"/>
              </w:rPr>
              <w:t>Manual IVR</w:t>
            </w:r>
          </w:p>
        </w:tc>
        <w:tc>
          <w:tcPr>
            <w:tcW w:type="dxa" w:w="3024"/>
          </w:tcPr>
          <w:p>
            <w:pPr>
              <w:spacing w:after="40" w:before="40"/>
            </w:pPr>
            <w:r>
              <w:rPr>
                <w:rFonts w:ascii="Segoe UI" w:hAnsi="Segoe UI"/>
                <w:sz w:val="19"/>
              </w:rPr>
              <w:t>20–40% of eligible call types</w:t>
            </w:r>
          </w:p>
        </w:tc>
      </w:tr>
      <w:tr>
        <w:tc>
          <w:tcPr>
            <w:tcW w:type="dxa" w:w="3456"/>
            <w:shd w:val="clear" w:fill="EEF1F7"/>
          </w:tcPr>
          <w:p>
            <w:pPr>
              <w:spacing w:after="40" w:before="40"/>
            </w:pPr>
            <w:r>
              <w:rPr>
                <w:rFonts w:ascii="Segoe UI" w:hAnsi="Segoe UI"/>
                <w:b/>
                <w:color w:val="121F3D"/>
                <w:sz w:val="19"/>
              </w:rPr>
              <w:t>Average Handle Time</w:t>
            </w:r>
          </w:p>
        </w:tc>
        <w:tc>
          <w:tcPr>
            <w:tcW w:type="dxa" w:w="2736"/>
            <w:shd w:val="clear" w:fill="EEF1F7"/>
          </w:tcPr>
          <w:p>
            <w:pPr>
              <w:spacing w:after="40" w:before="40"/>
            </w:pPr>
            <w:r>
              <w:rPr>
                <w:rFonts w:ascii="Segoe UI" w:hAnsi="Segoe UI"/>
                <w:sz w:val="19"/>
              </w:rPr>
              <w:t>Program baseline</w:t>
            </w:r>
          </w:p>
        </w:tc>
        <w:tc>
          <w:tcPr>
            <w:tcW w:type="dxa" w:w="3024"/>
            <w:shd w:val="clear" w:fill="EEF1F7"/>
          </w:tcPr>
          <w:p>
            <w:pPr>
              <w:spacing w:after="40" w:before="40"/>
            </w:pPr>
            <w:r>
              <w:rPr>
                <w:rFonts w:ascii="Segoe UI" w:hAnsi="Segoe UI"/>
                <w:sz w:val="19"/>
              </w:rPr>
              <w:t>15–25% reduction</w:t>
            </w:r>
          </w:p>
        </w:tc>
      </w:tr>
      <w:tr>
        <w:tc>
          <w:tcPr>
            <w:tcW w:type="dxa" w:w="3456"/>
          </w:tcPr>
          <w:p>
            <w:pPr>
              <w:spacing w:after="40" w:before="40"/>
            </w:pPr>
            <w:r>
              <w:rPr>
                <w:rFonts w:ascii="Segoe UI" w:hAnsi="Segoe UI"/>
                <w:b/>
                <w:color w:val="121F3D"/>
                <w:sz w:val="19"/>
              </w:rPr>
              <w:t>QA coverage</w:t>
            </w:r>
          </w:p>
        </w:tc>
        <w:tc>
          <w:tcPr>
            <w:tcW w:type="dxa" w:w="2736"/>
          </w:tcPr>
          <w:p>
            <w:pPr>
              <w:spacing w:after="40" w:before="40"/>
            </w:pPr>
            <w:r>
              <w:rPr>
                <w:rFonts w:ascii="Segoe UI" w:hAnsi="Segoe UI"/>
                <w:sz w:val="19"/>
              </w:rPr>
              <w:t>2–10% sampled</w:t>
            </w:r>
          </w:p>
        </w:tc>
        <w:tc>
          <w:tcPr>
            <w:tcW w:type="dxa" w:w="3024"/>
          </w:tcPr>
          <w:p>
            <w:pPr>
              <w:spacing w:after="40" w:before="40"/>
            </w:pPr>
            <w:r>
              <w:rPr>
                <w:rFonts w:ascii="Segoe UI" w:hAnsi="Segoe UI"/>
                <w:sz w:val="19"/>
              </w:rPr>
              <w:t>100% automated</w:t>
            </w:r>
          </w:p>
        </w:tc>
      </w:tr>
      <w:tr>
        <w:tc>
          <w:tcPr>
            <w:tcW w:type="dxa" w:w="3456"/>
            <w:shd w:val="clear" w:fill="EEF1F7"/>
          </w:tcPr>
          <w:p>
            <w:pPr>
              <w:spacing w:after="40" w:before="40"/>
            </w:pPr>
            <w:r>
              <w:rPr>
                <w:rFonts w:ascii="Segoe UI" w:hAnsi="Segoe UI"/>
                <w:b/>
                <w:color w:val="121F3D"/>
                <w:sz w:val="19"/>
              </w:rPr>
              <w:t>Compliance adherence</w:t>
            </w:r>
          </w:p>
        </w:tc>
        <w:tc>
          <w:tcPr>
            <w:tcW w:type="dxa" w:w="2736"/>
            <w:shd w:val="clear" w:fill="EEF1F7"/>
          </w:tcPr>
          <w:p>
            <w:pPr>
              <w:spacing w:after="40" w:before="40"/>
            </w:pPr>
            <w:r>
              <w:rPr>
                <w:rFonts w:ascii="Segoe UI" w:hAnsi="Segoe UI"/>
                <w:sz w:val="19"/>
              </w:rPr>
              <w:t>Sampled review</w:t>
            </w:r>
          </w:p>
        </w:tc>
        <w:tc>
          <w:tcPr>
            <w:tcW w:type="dxa" w:w="3024"/>
            <w:shd w:val="clear" w:fill="EEF1F7"/>
          </w:tcPr>
          <w:p>
            <w:pPr>
              <w:spacing w:after="40" w:before="40"/>
            </w:pPr>
            <w:r>
              <w:rPr>
                <w:rFonts w:ascii="Segoe UI" w:hAnsi="Segoe UI"/>
                <w:sz w:val="19"/>
              </w:rPr>
              <w:t>Monitored on every call</w:t>
            </w:r>
          </w:p>
        </w:tc>
      </w:tr>
      <w:tr>
        <w:tc>
          <w:tcPr>
            <w:tcW w:type="dxa" w:w="3456"/>
          </w:tcPr>
          <w:p>
            <w:pPr>
              <w:spacing w:after="40" w:before="40"/>
            </w:pPr>
            <w:r>
              <w:rPr>
                <w:rFonts w:ascii="Segoe UI" w:hAnsi="Segoe UI"/>
                <w:b/>
                <w:color w:val="121F3D"/>
                <w:sz w:val="19"/>
              </w:rPr>
              <w:t>Agent ramp time</w:t>
            </w:r>
          </w:p>
        </w:tc>
        <w:tc>
          <w:tcPr>
            <w:tcW w:type="dxa" w:w="2736"/>
          </w:tcPr>
          <w:p>
            <w:pPr>
              <w:spacing w:after="40" w:before="40"/>
            </w:pPr>
            <w:r>
              <w:rPr>
                <w:rFonts w:ascii="Segoe UI" w:hAnsi="Segoe UI"/>
                <w:sz w:val="19"/>
              </w:rPr>
              <w:t>Weeks</w:t>
            </w:r>
          </w:p>
        </w:tc>
        <w:tc>
          <w:tcPr>
            <w:tcW w:type="dxa" w:w="3024"/>
          </w:tcPr>
          <w:p>
            <w:pPr>
              <w:spacing w:after="40" w:before="40"/>
            </w:pPr>
            <w:r>
              <w:rPr>
                <w:rFonts w:ascii="Segoe UI" w:hAnsi="Segoe UI"/>
                <w:sz w:val="19"/>
              </w:rPr>
              <w:t>Materially shorter with copilot</w:t>
            </w:r>
          </w:p>
        </w:tc>
      </w:tr>
    </w:tbl>
    <w:p>
      <w:pPr>
        <w:spacing w:after="80" w:before="0"/>
      </w:pPr>
    </w:p>
    <w:p>
      <w:pPr>
        <w:spacing w:after="120" w:before="0"/>
      </w:pPr>
      <w:r>
        <w:rPr>
          <w:rFonts w:ascii="Segoe UI" w:hAnsi="Segoe UI"/>
          <w:b w:val="0"/>
          <w:i/>
          <w:color w:val="505A6A"/>
          <w:sz w:val="18"/>
        </w:rPr>
        <w:t>* Illustrative ranges — replaced with Afni actuals during discovery.</w:t>
      </w:r>
    </w:p>
    <w:p>
      <w:pPr>
        <w:spacing w:after="120" w:before="0"/>
      </w:pPr>
      <w:r>
        <w:rPr>
          <w:rFonts w:ascii="Segoe UI" w:hAnsi="Segoe UI"/>
          <w:b w:val="0"/>
          <w:i w:val="0"/>
          <w:sz w:val="21"/>
        </w:rPr>
        <w:t>Suggested pilot: agent-assist copilot on one contact-center program, measured against a matched control group over 6–8 weeks.</w:t>
      </w:r>
    </w:p>
    <w:p>
      <w:pPr>
        <w:pStyle w:val="Heading1"/>
      </w:pPr>
      <w:r>
        <w:t>6. Use Case 2 — AI-Driven HR Recruitment</w:t>
      </w:r>
    </w:p>
    <w:p>
      <w:pPr>
        <w:spacing w:after="120" w:before="0"/>
      </w:pPr>
      <w:r>
        <w:rPr>
          <w:rFonts w:ascii="Segoe UI" w:hAnsi="Segoe UI"/>
          <w:b w:val="0"/>
          <w:i w:val="0"/>
          <w:sz w:val="21"/>
        </w:rPr>
        <w:t>Afni hires at high volume, continuously, across three countries — making recruiting an ideal internal proving ground: Afni controls the data, the risk and the rollout, and the use case reuses the voice platform for optional pre-screens.</w:t>
      </w:r>
    </w:p>
    <w:p>
      <w:pPr>
        <w:pStyle w:val="Heading2"/>
      </w:pPr>
      <w:r>
        <w:t>6.1 Agents across the candidate journey</w:t>
      </w:r>
    </w:p>
    <w:p>
      <w:pPr>
        <w:pStyle w:val="ListBullet"/>
        <w:spacing w:after="60"/>
      </w:pPr>
      <w:r>
        <w:rPr>
          <w:rFonts w:ascii="Segoe UI" w:hAnsi="Segoe UI"/>
          <w:b/>
          <w:sz w:val="21"/>
        </w:rPr>
        <w:t xml:space="preserve">JD generation — </w:t>
      </w:r>
      <w:r>
        <w:rPr>
          <w:rFonts w:ascii="Segoe UI" w:hAnsi="Segoe UI"/>
          <w:sz w:val="21"/>
        </w:rPr>
        <w:t>consistent, inclusive job postings.</w:t>
      </w:r>
    </w:p>
    <w:p>
      <w:pPr>
        <w:pStyle w:val="ListBullet"/>
        <w:spacing w:after="60"/>
      </w:pPr>
      <w:r>
        <w:rPr>
          <w:rFonts w:ascii="Segoe UI" w:hAnsi="Segoe UI"/>
          <w:b/>
          <w:sz w:val="21"/>
        </w:rPr>
        <w:t xml:space="preserve">Sourcing &amp; screening — </w:t>
      </w:r>
      <w:r>
        <w:rPr>
          <w:rFonts w:ascii="Segoe UI" w:hAnsi="Segoe UI"/>
          <w:sz w:val="21"/>
        </w:rPr>
        <w:t>résumé parsing and ranking against structured, job-related criteria.</w:t>
      </w:r>
    </w:p>
    <w:p>
      <w:pPr>
        <w:pStyle w:val="ListBullet"/>
        <w:spacing w:after="60"/>
      </w:pPr>
      <w:r>
        <w:rPr>
          <w:rFonts w:ascii="Segoe UI" w:hAnsi="Segoe UI"/>
          <w:b/>
          <w:sz w:val="21"/>
        </w:rPr>
        <w:t xml:space="preserve">Conversational screening — </w:t>
      </w:r>
      <w:r>
        <w:rPr>
          <w:rFonts w:ascii="Segoe UI" w:hAnsi="Segoe UI"/>
          <w:sz w:val="21"/>
        </w:rPr>
        <w:t>chat and optional voice pre-screen (reusing the voice platform).</w:t>
      </w:r>
    </w:p>
    <w:p>
      <w:pPr>
        <w:pStyle w:val="ListBullet"/>
        <w:spacing w:after="60"/>
      </w:pPr>
      <w:r>
        <w:rPr>
          <w:rFonts w:ascii="Segoe UI" w:hAnsi="Segoe UI"/>
          <w:b/>
          <w:sz w:val="21"/>
        </w:rPr>
        <w:t xml:space="preserve">Scheduling — </w:t>
      </w:r>
      <w:r>
        <w:rPr>
          <w:rFonts w:ascii="Segoe UI" w:hAnsi="Segoe UI"/>
          <w:sz w:val="21"/>
        </w:rPr>
        <w:t>calendar and ATS automation.</w:t>
      </w:r>
    </w:p>
    <w:p>
      <w:pPr>
        <w:pStyle w:val="ListBullet"/>
        <w:spacing w:after="60"/>
      </w:pPr>
      <w:r>
        <w:rPr>
          <w:rFonts w:ascii="Segoe UI" w:hAnsi="Segoe UI"/>
          <w:b/>
          <w:sz w:val="21"/>
        </w:rPr>
        <w:t xml:space="preserve">Interview scoring — </w:t>
      </w:r>
      <w:r>
        <w:rPr>
          <w:rFonts w:ascii="Segoe UI" w:hAnsi="Segoe UI"/>
          <w:sz w:val="21"/>
        </w:rPr>
        <w:t>structured scoring that assists — never replaces — human interviewers.</w:t>
      </w:r>
    </w:p>
    <w:p>
      <w:pPr>
        <w:pStyle w:val="ListBullet"/>
        <w:spacing w:after="60"/>
      </w:pPr>
      <w:r>
        <w:rPr>
          <w:rFonts w:ascii="Segoe UI" w:hAnsi="Segoe UI"/>
          <w:b/>
          <w:sz w:val="21"/>
        </w:rPr>
        <w:t xml:space="preserve">Fairness monitor — </w:t>
      </w:r>
      <w:r>
        <w:rPr>
          <w:rFonts w:ascii="Segoe UI" w:hAnsi="Segoe UI"/>
          <w:sz w:val="21"/>
        </w:rPr>
        <w:t>continuous adverse-impact monitoring across the funnel.</w:t>
      </w:r>
    </w:p>
    <w:tbl>
      <w:tblPr>
        <w:tblStyle w:val="TableGrid"/>
        <w:tblW w:type="auto" w:w="0"/>
        <w:tblLook w:firstColumn="1" w:firstRow="1" w:lastColumn="0" w:lastRow="0" w:noHBand="0" w:noVBand="1" w:val="04A0"/>
      </w:tblPr>
      <w:tblGrid>
        <w:gridCol w:w="9360"/>
      </w:tblGrid>
      <w:tr>
        <w:tc>
          <w:tcPr>
            <w:tcW w:type="dxa" w:w="9360"/>
            <w:shd w:val="clear" w:fill="EAF3F3"/>
          </w:tcPr>
          <w:p>
            <w:r>
              <w:rPr>
                <w:rFonts w:ascii="Segoe UI" w:hAnsi="Segoe UI"/>
                <w:b/>
                <w:color w:val="007A7A"/>
                <w:sz w:val="21"/>
              </w:rPr>
              <w:t xml:space="preserve">Non-negotiable principle:  </w:t>
            </w:r>
            <w:r>
              <w:rPr>
                <w:rFonts w:ascii="Segoe UI" w:hAnsi="Segoe UI"/>
                <w:sz w:val="21"/>
              </w:rPr>
              <w:t>AI assists, humans decide. There is no autonomous rejection of candidates. Every automated employment decision tool is bias-audited and explainable.</w:t>
            </w:r>
          </w:p>
        </w:tc>
      </w:tr>
    </w:tbl>
    <w:p>
      <w:pPr>
        <w:spacing w:after="80" w:before="0"/>
      </w:pPr>
    </w:p>
    <w:p>
      <w:pPr>
        <w:pStyle w:val="Heading2"/>
      </w:pPr>
      <w:r>
        <w:t>6.2 Fairness &amp; compliance</w:t>
      </w:r>
    </w:p>
    <w:p>
      <w:pPr>
        <w:spacing w:after="120" w:before="0"/>
      </w:pPr>
      <w:r>
        <w:rPr>
          <w:rFonts w:ascii="Segoe UI" w:hAnsi="Segoe UI"/>
          <w:b w:val="0"/>
          <w:i w:val="0"/>
          <w:sz w:val="21"/>
        </w:rPr>
        <w:t>The design complies with EEOC guidance, NYC Local Law 144 (bias audits for automated employment decision tools), the Illinois AI Video Interview Act, the EU AI Act's high-risk employment provisions, and GDPR. Candidates receive notice and consent, and decisions remain explainable and human-owned.</w:t>
      </w:r>
    </w:p>
    <w:p>
      <w:pPr>
        <w:pStyle w:val="Heading2"/>
      </w:pPr>
      <w:r>
        <w:t>6.3 KPIs</w:t>
      </w:r>
    </w:p>
    <w:tbl>
      <w:tblPr>
        <w:tblStyle w:val="TableGrid"/>
        <w:tblW w:type="auto" w:w="0"/>
        <w:jc w:val="center"/>
        <w:tblLook w:firstColumn="1" w:firstRow="1" w:lastColumn="0" w:lastRow="0" w:noHBand="0" w:noVBand="1" w:val="04A0"/>
      </w:tblPr>
      <w:tblGrid>
        <w:gridCol w:w="4680"/>
        <w:gridCol w:w="4680"/>
      </w:tblGrid>
      <w:tr>
        <w:tc>
          <w:tcPr>
            <w:tcW w:type="dxa" w:w="4608"/>
            <w:shd w:val="clear" w:fill="1B3A6B"/>
          </w:tcPr>
          <w:p>
            <w:pPr>
              <w:spacing w:after="40" w:before="40"/>
            </w:pPr>
            <w:r>
              <w:rPr>
                <w:rFonts w:ascii="Segoe UI" w:hAnsi="Segoe UI"/>
                <w:b/>
                <w:color w:val="FFFFFF"/>
                <w:sz w:val="20"/>
              </w:rPr>
              <w:t>KPI</w:t>
            </w:r>
          </w:p>
        </w:tc>
        <w:tc>
          <w:tcPr>
            <w:tcW w:type="dxa" w:w="4608"/>
            <w:shd w:val="clear" w:fill="1B3A6B"/>
          </w:tcPr>
          <w:p>
            <w:pPr>
              <w:spacing w:after="40" w:before="40"/>
            </w:pPr>
            <w:r>
              <w:rPr>
                <w:rFonts w:ascii="Segoe UI" w:hAnsi="Segoe UI"/>
                <w:b/>
                <w:color w:val="FFFFFF"/>
                <w:sz w:val="20"/>
              </w:rPr>
              <w:t>Target *</w:t>
            </w:r>
          </w:p>
        </w:tc>
      </w:tr>
      <w:tr>
        <w:tc>
          <w:tcPr>
            <w:tcW w:type="dxa" w:w="4608"/>
          </w:tcPr>
          <w:p>
            <w:pPr>
              <w:spacing w:after="40" w:before="40"/>
            </w:pPr>
            <w:r>
              <w:rPr>
                <w:rFonts w:ascii="Segoe UI" w:hAnsi="Segoe UI"/>
                <w:b/>
                <w:color w:val="121F3D"/>
                <w:sz w:val="19"/>
              </w:rPr>
              <w:t>Recruiter screening effort</w:t>
            </w:r>
          </w:p>
        </w:tc>
        <w:tc>
          <w:tcPr>
            <w:tcW w:type="dxa" w:w="4608"/>
          </w:tcPr>
          <w:p>
            <w:pPr>
              <w:spacing w:after="40" w:before="40"/>
            </w:pPr>
            <w:r>
              <w:rPr>
                <w:rFonts w:ascii="Segoe UI" w:hAnsi="Segoe UI"/>
                <w:sz w:val="19"/>
              </w:rPr>
              <w:t>30–50% reduction</w:t>
            </w:r>
          </w:p>
        </w:tc>
      </w:tr>
      <w:tr>
        <w:tc>
          <w:tcPr>
            <w:tcW w:type="dxa" w:w="4608"/>
            <w:shd w:val="clear" w:fill="EEF1F7"/>
          </w:tcPr>
          <w:p>
            <w:pPr>
              <w:spacing w:after="40" w:before="40"/>
            </w:pPr>
            <w:r>
              <w:rPr>
                <w:rFonts w:ascii="Segoe UI" w:hAnsi="Segoe UI"/>
                <w:b/>
                <w:color w:val="121F3D"/>
                <w:sz w:val="19"/>
              </w:rPr>
              <w:t>Time-to-fill</w:t>
            </w:r>
          </w:p>
        </w:tc>
        <w:tc>
          <w:tcPr>
            <w:tcW w:type="dxa" w:w="4608"/>
            <w:shd w:val="clear" w:fill="EEF1F7"/>
          </w:tcPr>
          <w:p>
            <w:pPr>
              <w:spacing w:after="40" w:before="40"/>
            </w:pPr>
            <w:r>
              <w:rPr>
                <w:rFonts w:ascii="Segoe UI" w:hAnsi="Segoe UI"/>
                <w:sz w:val="19"/>
              </w:rPr>
              <w:t>Materially shorter</w:t>
            </w:r>
          </w:p>
        </w:tc>
      </w:tr>
      <w:tr>
        <w:tc>
          <w:tcPr>
            <w:tcW w:type="dxa" w:w="4608"/>
          </w:tcPr>
          <w:p>
            <w:pPr>
              <w:spacing w:after="40" w:before="40"/>
            </w:pPr>
            <w:r>
              <w:rPr>
                <w:rFonts w:ascii="Segoe UI" w:hAnsi="Segoe UI"/>
                <w:b/>
                <w:color w:val="121F3D"/>
                <w:sz w:val="19"/>
              </w:rPr>
              <w:t>Cost-per-hire</w:t>
            </w:r>
          </w:p>
        </w:tc>
        <w:tc>
          <w:tcPr>
            <w:tcW w:type="dxa" w:w="4608"/>
          </w:tcPr>
          <w:p>
            <w:pPr>
              <w:spacing w:after="40" w:before="40"/>
            </w:pPr>
            <w:r>
              <w:rPr>
                <w:rFonts w:ascii="Segoe UI" w:hAnsi="Segoe UI"/>
                <w:sz w:val="19"/>
              </w:rPr>
              <w:t>Reduced</w:t>
            </w:r>
          </w:p>
        </w:tc>
      </w:tr>
      <w:tr>
        <w:tc>
          <w:tcPr>
            <w:tcW w:type="dxa" w:w="4608"/>
            <w:shd w:val="clear" w:fill="EEF1F7"/>
          </w:tcPr>
          <w:p>
            <w:pPr>
              <w:spacing w:after="40" w:before="40"/>
            </w:pPr>
            <w:r>
              <w:rPr>
                <w:rFonts w:ascii="Segoe UI" w:hAnsi="Segoe UI"/>
                <w:b/>
                <w:color w:val="121F3D"/>
                <w:sz w:val="19"/>
              </w:rPr>
              <w:t>Candidate experience (NPS)</w:t>
            </w:r>
          </w:p>
        </w:tc>
        <w:tc>
          <w:tcPr>
            <w:tcW w:type="dxa" w:w="4608"/>
            <w:shd w:val="clear" w:fill="EEF1F7"/>
          </w:tcPr>
          <w:p>
            <w:pPr>
              <w:spacing w:after="40" w:before="40"/>
            </w:pPr>
            <w:r>
              <w:rPr>
                <w:rFonts w:ascii="Segoe UI" w:hAnsi="Segoe UI"/>
                <w:sz w:val="19"/>
              </w:rPr>
              <w:t>Improved</w:t>
            </w:r>
          </w:p>
        </w:tc>
      </w:tr>
      <w:tr>
        <w:tc>
          <w:tcPr>
            <w:tcW w:type="dxa" w:w="4608"/>
          </w:tcPr>
          <w:p>
            <w:pPr>
              <w:spacing w:after="40" w:before="40"/>
            </w:pPr>
            <w:r>
              <w:rPr>
                <w:rFonts w:ascii="Segoe UI" w:hAnsi="Segoe UI"/>
                <w:b/>
                <w:color w:val="121F3D"/>
                <w:sz w:val="19"/>
              </w:rPr>
              <w:t>Offer-accept rate</w:t>
            </w:r>
          </w:p>
        </w:tc>
        <w:tc>
          <w:tcPr>
            <w:tcW w:type="dxa" w:w="4608"/>
          </w:tcPr>
          <w:p>
            <w:pPr>
              <w:spacing w:after="40" w:before="40"/>
            </w:pPr>
            <w:r>
              <w:rPr>
                <w:rFonts w:ascii="Segoe UI" w:hAnsi="Segoe UI"/>
                <w:sz w:val="19"/>
              </w:rPr>
              <w:t>Improved</w:t>
            </w:r>
          </w:p>
        </w:tc>
      </w:tr>
      <w:tr>
        <w:tc>
          <w:tcPr>
            <w:tcW w:type="dxa" w:w="4608"/>
            <w:shd w:val="clear" w:fill="EEF1F7"/>
          </w:tcPr>
          <w:p>
            <w:pPr>
              <w:spacing w:after="40" w:before="40"/>
            </w:pPr>
            <w:r>
              <w:rPr>
                <w:rFonts w:ascii="Segoe UI" w:hAnsi="Segoe UI"/>
                <w:b/>
                <w:color w:val="121F3D"/>
                <w:sz w:val="19"/>
              </w:rPr>
              <w:t>90-day attrition</w:t>
            </w:r>
          </w:p>
        </w:tc>
        <w:tc>
          <w:tcPr>
            <w:tcW w:type="dxa" w:w="4608"/>
            <w:shd w:val="clear" w:fill="EEF1F7"/>
          </w:tcPr>
          <w:p>
            <w:pPr>
              <w:spacing w:after="40" w:before="40"/>
            </w:pPr>
            <w:r>
              <w:rPr>
                <w:rFonts w:ascii="Segoe UI" w:hAnsi="Segoe UI"/>
                <w:sz w:val="19"/>
              </w:rPr>
              <w:t>Reduced via better matching</w:t>
            </w:r>
          </w:p>
        </w:tc>
      </w:tr>
    </w:tbl>
    <w:p>
      <w:pPr>
        <w:spacing w:after="80" w:before="0"/>
      </w:pPr>
    </w:p>
    <w:p>
      <w:pPr>
        <w:spacing w:after="120" w:before="0"/>
      </w:pPr>
      <w:r>
        <w:rPr>
          <w:rFonts w:ascii="Segoe UI" w:hAnsi="Segoe UI"/>
          <w:b w:val="0"/>
          <w:i/>
          <w:color w:val="505A6A"/>
          <w:sz w:val="18"/>
        </w:rPr>
        <w:t>* Illustrative — validated in discovery.</w:t>
      </w:r>
    </w:p>
    <w:p>
      <w:pPr>
        <w:pStyle w:val="Heading1"/>
      </w:pPr>
      <w:r>
        <w:t>7. LLMOps Lifecycle &amp; Toolchain</w:t>
      </w:r>
    </w:p>
    <w:p>
      <w:pPr>
        <w:spacing w:after="120" w:before="0"/>
      </w:pPr>
      <w:r>
        <w:rPr>
          <w:rFonts w:ascii="Segoe UI" w:hAnsi="Segoe UI"/>
          <w:b w:val="0"/>
          <w:i w:val="0"/>
          <w:sz w:val="21"/>
        </w:rPr>
        <w:t>LLMOps is the operational backbone that turns pilots into dependable production systems. The lifecycle is a continuous loop: curate data and knowledge → engineer versioned prompts and agents → evaluate → ship via CI/CD → serve → observe → feed learnings back into datasets. Governance and Responsible AI wrap the entire loop.</w:t>
      </w:r>
    </w:p>
    <w:p>
      <w:pPr>
        <w:pStyle w:val="Heading2"/>
      </w:pPr>
      <w:r>
        <w:t>7.1 Evaluation — the quality gate</w:t>
      </w:r>
    </w:p>
    <w:p>
      <w:pPr>
        <w:pStyle w:val="ListBullet"/>
        <w:spacing w:after="60"/>
      </w:pPr>
      <w:r>
        <w:rPr>
          <w:rFonts w:ascii="Segoe UI" w:hAnsi="Segoe UI"/>
          <w:sz w:val="21"/>
        </w:rPr>
        <w:t>golden datasets scored by LLM-as-judge plus human review;</w:t>
      </w:r>
    </w:p>
    <w:p>
      <w:pPr>
        <w:pStyle w:val="ListBullet"/>
        <w:spacing w:after="60"/>
      </w:pPr>
      <w:r>
        <w:rPr>
          <w:rFonts w:ascii="Segoe UI" w:hAnsi="Segoe UI"/>
          <w:sz w:val="21"/>
        </w:rPr>
        <w:t>groundedness / faithfulness scoring for retrieval-augmented answers;</w:t>
      </w:r>
    </w:p>
    <w:p>
      <w:pPr>
        <w:pStyle w:val="ListBullet"/>
        <w:spacing w:after="60"/>
      </w:pPr>
      <w:r>
        <w:rPr>
          <w:rFonts w:ascii="Segoe UI" w:hAnsi="Segoe UI"/>
          <w:sz w:val="21"/>
        </w:rPr>
        <w:t>regression gates that block promotion when quality drops;</w:t>
      </w:r>
    </w:p>
    <w:p>
      <w:pPr>
        <w:pStyle w:val="ListBullet"/>
        <w:spacing w:after="60"/>
      </w:pPr>
      <w:r>
        <w:rPr>
          <w:rFonts w:ascii="Segoe UI" w:hAnsi="Segoe UI"/>
          <w:sz w:val="21"/>
        </w:rPr>
        <w:t>red-teaming and safety evaluations before every release;</w:t>
      </w:r>
    </w:p>
    <w:p>
      <w:pPr>
        <w:pStyle w:val="ListBullet"/>
        <w:spacing w:after="60"/>
      </w:pPr>
      <w:r>
        <w:rPr>
          <w:rFonts w:ascii="Segoe UI" w:hAnsi="Segoe UI"/>
          <w:sz w:val="21"/>
        </w:rPr>
        <w:t>online A/B and shadow testing to validate in production.</w:t>
      </w:r>
    </w:p>
    <w:p>
      <w:pPr>
        <w:pStyle w:val="Heading2"/>
      </w:pPr>
      <w:r>
        <w:t>7.2 CI/CD &amp; serving</w:t>
      </w:r>
    </w:p>
    <w:p>
      <w:pPr>
        <w:spacing w:after="120" w:before="0"/>
      </w:pPr>
      <w:r>
        <w:rPr>
          <w:rFonts w:ascii="Segoe UI" w:hAnsi="Segoe UI"/>
          <w:b w:val="0"/>
          <w:i w:val="0"/>
          <w:sz w:val="21"/>
        </w:rPr>
        <w:t>Prompts, agents and model configurations are versioned in a registry. Releases use canary or blue-green deployment with instant rollback. Serving runs behind the API Management gateway with quotas, caching and metering.</w:t>
      </w:r>
    </w:p>
    <w:p>
      <w:pPr>
        <w:pStyle w:val="Heading2"/>
      </w:pPr>
      <w:r>
        <w:t>7.3 Toolchain</w:t>
      </w:r>
    </w:p>
    <w:tbl>
      <w:tblPr>
        <w:tblStyle w:val="TableGrid"/>
        <w:tblW w:type="auto" w:w="0"/>
        <w:jc w:val="center"/>
        <w:tblLook w:firstColumn="1" w:firstRow="1" w:lastColumn="0" w:lastRow="0" w:noHBand="0" w:noVBand="1" w:val="04A0"/>
      </w:tblPr>
      <w:tblGrid>
        <w:gridCol w:w="4680"/>
        <w:gridCol w:w="4680"/>
      </w:tblGrid>
      <w:tr>
        <w:tc>
          <w:tcPr>
            <w:tcW w:type="dxa" w:w="3744"/>
            <w:shd w:val="clear" w:fill="1B3A6B"/>
          </w:tcPr>
          <w:p>
            <w:pPr>
              <w:spacing w:after="40" w:before="40"/>
            </w:pPr>
            <w:r>
              <w:rPr>
                <w:rFonts w:ascii="Segoe UI" w:hAnsi="Segoe UI"/>
                <w:b/>
                <w:color w:val="FFFFFF"/>
                <w:sz w:val="20"/>
              </w:rPr>
              <w:t>Capability</w:t>
            </w:r>
          </w:p>
        </w:tc>
        <w:tc>
          <w:tcPr>
            <w:tcW w:type="dxa" w:w="5472"/>
            <w:shd w:val="clear" w:fill="1B3A6B"/>
          </w:tcPr>
          <w:p>
            <w:pPr>
              <w:spacing w:after="40" w:before="40"/>
            </w:pPr>
            <w:r>
              <w:rPr>
                <w:rFonts w:ascii="Segoe UI" w:hAnsi="Segoe UI"/>
                <w:b/>
                <w:color w:val="FFFFFF"/>
                <w:sz w:val="20"/>
              </w:rPr>
              <w:t>Azure service</w:t>
            </w:r>
          </w:p>
        </w:tc>
      </w:tr>
      <w:tr>
        <w:tc>
          <w:tcPr>
            <w:tcW w:type="dxa" w:w="3744"/>
          </w:tcPr>
          <w:p>
            <w:pPr>
              <w:spacing w:after="40" w:before="40"/>
            </w:pPr>
            <w:r>
              <w:rPr>
                <w:rFonts w:ascii="Segoe UI" w:hAnsi="Segoe UI"/>
                <w:b/>
                <w:color w:val="121F3D"/>
                <w:sz w:val="19"/>
              </w:rPr>
              <w:t>Prompt &amp; agent authoring</w:t>
            </w:r>
          </w:p>
        </w:tc>
        <w:tc>
          <w:tcPr>
            <w:tcW w:type="dxa" w:w="5472"/>
          </w:tcPr>
          <w:p>
            <w:pPr>
              <w:spacing w:after="40" w:before="40"/>
            </w:pPr>
            <w:r>
              <w:rPr>
                <w:rFonts w:ascii="Segoe UI" w:hAnsi="Segoe UI"/>
                <w:sz w:val="19"/>
              </w:rPr>
              <w:t>Prompt flow (Azure AI Foundry)</w:t>
            </w:r>
          </w:p>
        </w:tc>
      </w:tr>
      <w:tr>
        <w:tc>
          <w:tcPr>
            <w:tcW w:type="dxa" w:w="3744"/>
            <w:shd w:val="clear" w:fill="EEF1F7"/>
          </w:tcPr>
          <w:p>
            <w:pPr>
              <w:spacing w:after="40" w:before="40"/>
            </w:pPr>
            <w:r>
              <w:rPr>
                <w:rFonts w:ascii="Segoe UI" w:hAnsi="Segoe UI"/>
                <w:b/>
                <w:color w:val="121F3D"/>
                <w:sz w:val="19"/>
              </w:rPr>
              <w:t>Evaluation</w:t>
            </w:r>
          </w:p>
        </w:tc>
        <w:tc>
          <w:tcPr>
            <w:tcW w:type="dxa" w:w="5472"/>
            <w:shd w:val="clear" w:fill="EEF1F7"/>
          </w:tcPr>
          <w:p>
            <w:pPr>
              <w:spacing w:after="40" w:before="40"/>
            </w:pPr>
            <w:r>
              <w:rPr>
                <w:rFonts w:ascii="Segoe UI" w:hAnsi="Segoe UI"/>
                <w:sz w:val="19"/>
              </w:rPr>
              <w:t>Azure AI evaluation SDK</w:t>
            </w:r>
          </w:p>
        </w:tc>
      </w:tr>
      <w:tr>
        <w:tc>
          <w:tcPr>
            <w:tcW w:type="dxa" w:w="3744"/>
          </w:tcPr>
          <w:p>
            <w:pPr>
              <w:spacing w:after="40" w:before="40"/>
            </w:pPr>
            <w:r>
              <w:rPr>
                <w:rFonts w:ascii="Segoe UI" w:hAnsi="Segoe UI"/>
                <w:b/>
                <w:color w:val="121F3D"/>
                <w:sz w:val="19"/>
              </w:rPr>
              <w:t>CI/CD</w:t>
            </w:r>
          </w:p>
        </w:tc>
        <w:tc>
          <w:tcPr>
            <w:tcW w:type="dxa" w:w="5472"/>
          </w:tcPr>
          <w:p>
            <w:pPr>
              <w:spacing w:after="40" w:before="40"/>
            </w:pPr>
            <w:r>
              <w:rPr>
                <w:rFonts w:ascii="Segoe UI" w:hAnsi="Segoe UI"/>
                <w:sz w:val="19"/>
              </w:rPr>
              <w:t>GitHub Actions / Azure DevOps</w:t>
            </w:r>
          </w:p>
        </w:tc>
      </w:tr>
      <w:tr>
        <w:tc>
          <w:tcPr>
            <w:tcW w:type="dxa" w:w="3744"/>
            <w:shd w:val="clear" w:fill="EEF1F7"/>
          </w:tcPr>
          <w:p>
            <w:pPr>
              <w:spacing w:after="40" w:before="40"/>
            </w:pPr>
            <w:r>
              <w:rPr>
                <w:rFonts w:ascii="Segoe UI" w:hAnsi="Segoe UI"/>
                <w:b/>
                <w:color w:val="121F3D"/>
                <w:sz w:val="19"/>
              </w:rPr>
              <w:t>Registry</w:t>
            </w:r>
          </w:p>
        </w:tc>
        <w:tc>
          <w:tcPr>
            <w:tcW w:type="dxa" w:w="5472"/>
            <w:shd w:val="clear" w:fill="EEF1F7"/>
          </w:tcPr>
          <w:p>
            <w:pPr>
              <w:spacing w:after="40" w:before="40"/>
            </w:pPr>
            <w:r>
              <w:rPr>
                <w:rFonts w:ascii="Segoe UI" w:hAnsi="Segoe UI"/>
                <w:sz w:val="19"/>
              </w:rPr>
              <w:t>Model &amp; prompt registry</w:t>
            </w:r>
          </w:p>
        </w:tc>
      </w:tr>
      <w:tr>
        <w:tc>
          <w:tcPr>
            <w:tcW w:type="dxa" w:w="3744"/>
          </w:tcPr>
          <w:p>
            <w:pPr>
              <w:spacing w:after="40" w:before="40"/>
            </w:pPr>
            <w:r>
              <w:rPr>
                <w:rFonts w:ascii="Segoe UI" w:hAnsi="Segoe UI"/>
                <w:b/>
                <w:color w:val="121F3D"/>
                <w:sz w:val="19"/>
              </w:rPr>
              <w:t>Serving &amp; gateway</w:t>
            </w:r>
          </w:p>
        </w:tc>
        <w:tc>
          <w:tcPr>
            <w:tcW w:type="dxa" w:w="5472"/>
          </w:tcPr>
          <w:p>
            <w:pPr>
              <w:spacing w:after="40" w:before="40"/>
            </w:pPr>
            <w:r>
              <w:rPr>
                <w:rFonts w:ascii="Segoe UI" w:hAnsi="Segoe UI"/>
                <w:sz w:val="19"/>
              </w:rPr>
              <w:t>Container Apps / AKS + API Management</w:t>
            </w:r>
          </w:p>
        </w:tc>
      </w:tr>
      <w:tr>
        <w:tc>
          <w:tcPr>
            <w:tcW w:type="dxa" w:w="3744"/>
            <w:shd w:val="clear" w:fill="EEF1F7"/>
          </w:tcPr>
          <w:p>
            <w:pPr>
              <w:spacing w:after="40" w:before="40"/>
            </w:pPr>
            <w:r>
              <w:rPr>
                <w:rFonts w:ascii="Segoe UI" w:hAnsi="Segoe UI"/>
                <w:b/>
                <w:color w:val="121F3D"/>
                <w:sz w:val="19"/>
              </w:rPr>
              <w:t>Tracing</w:t>
            </w:r>
          </w:p>
        </w:tc>
        <w:tc>
          <w:tcPr>
            <w:tcW w:type="dxa" w:w="5472"/>
            <w:shd w:val="clear" w:fill="EEF1F7"/>
          </w:tcPr>
          <w:p>
            <w:pPr>
              <w:spacing w:after="40" w:before="40"/>
            </w:pPr>
            <w:r>
              <w:rPr>
                <w:rFonts w:ascii="Segoe UI" w:hAnsi="Segoe UI"/>
                <w:sz w:val="19"/>
              </w:rPr>
              <w:t>App Insights + OpenTelemetry (GenAI conventions)</w:t>
            </w:r>
          </w:p>
        </w:tc>
      </w:tr>
    </w:tbl>
    <w:p>
      <w:pPr>
        <w:spacing w:after="80" w:before="0"/>
      </w:pPr>
    </w:p>
    <w:p>
      <w:pPr>
        <w:spacing w:after="120" w:before="0"/>
      </w:pPr>
      <w:r>
        <w:rPr>
          <w:rFonts w:ascii="Segoe UI" w:hAnsi="Segoe UI"/>
          <w:b w:val="0"/>
          <w:i w:val="0"/>
          <w:sz w:val="21"/>
        </w:rPr>
        <w:t>Unlike traditional MLOps, LLMOps must manage prompts as versioned artifacts, evaluate non-deterministic outputs, guard against novel failure modes (hallucination, prompt injection), and treat token cost and latency as first-class release criteria.</w:t>
      </w:r>
    </w:p>
    <w:p>
      <w:pPr>
        <w:pStyle w:val="Heading1"/>
      </w:pPr>
      <w:r>
        <w:t>8. Responsible AI &amp; Governance</w:t>
      </w:r>
    </w:p>
    <w:p>
      <w:pPr>
        <w:spacing w:after="120" w:before="0"/>
      </w:pPr>
      <w:r>
        <w:rPr>
          <w:rFonts w:ascii="Segoe UI" w:hAnsi="Segoe UI"/>
          <w:b w:val="0"/>
          <w:i w:val="0"/>
          <w:sz w:val="21"/>
        </w:rPr>
        <w:t>Governance follows Microsoft's Responsible AI pillars — fairness, reliability &amp; safety, privacy &amp; security, inclusiveness, transparency and accountability — operationalized for Afni through concrete mechanisms rather than principles alone.</w:t>
      </w:r>
    </w:p>
    <w:p>
      <w:pPr>
        <w:pStyle w:val="ListBullet"/>
        <w:spacing w:after="60"/>
      </w:pPr>
      <w:r>
        <w:rPr>
          <w:rFonts w:ascii="Segoe UI" w:hAnsi="Segoe UI"/>
          <w:sz w:val="21"/>
        </w:rPr>
        <w:t>an AI use-case intake process that risk-tiers every initiative;</w:t>
      </w:r>
    </w:p>
    <w:p>
      <w:pPr>
        <w:pStyle w:val="ListBullet"/>
        <w:spacing w:after="60"/>
      </w:pPr>
      <w:r>
        <w:rPr>
          <w:rFonts w:ascii="Segoe UI" w:hAnsi="Segoe UI"/>
          <w:sz w:val="21"/>
        </w:rPr>
        <w:t>mandatory human-in-the-loop for consequential decisions;</w:t>
      </w:r>
    </w:p>
    <w:p>
      <w:pPr>
        <w:pStyle w:val="ListBullet"/>
        <w:spacing w:after="60"/>
      </w:pPr>
      <w:r>
        <w:rPr>
          <w:rFonts w:ascii="Segoe UI" w:hAnsi="Segoe UI"/>
          <w:sz w:val="21"/>
        </w:rPr>
        <w:t>model and system cards for every deployed agent;</w:t>
      </w:r>
    </w:p>
    <w:p>
      <w:pPr>
        <w:pStyle w:val="ListBullet"/>
        <w:spacing w:after="60"/>
      </w:pPr>
      <w:r>
        <w:rPr>
          <w:rFonts w:ascii="Segoe UI" w:hAnsi="Segoe UI"/>
          <w:sz w:val="21"/>
        </w:rPr>
        <w:t>Content Safety (prompt shields, groundedness, PII, protected material);</w:t>
      </w:r>
    </w:p>
    <w:p>
      <w:pPr>
        <w:pStyle w:val="ListBullet"/>
        <w:spacing w:after="60"/>
      </w:pPr>
      <w:r>
        <w:rPr>
          <w:rFonts w:ascii="Segoe UI" w:hAnsi="Segoe UI"/>
          <w:sz w:val="21"/>
        </w:rPr>
        <w:t>audit trails, AI incident response, and scheduled red-teaming;</w:t>
      </w:r>
    </w:p>
    <w:p>
      <w:pPr>
        <w:pStyle w:val="ListBullet"/>
        <w:spacing w:after="60"/>
      </w:pPr>
      <w:r>
        <w:rPr>
          <w:rFonts w:ascii="Segoe UI" w:hAnsi="Segoe UI"/>
          <w:sz w:val="21"/>
        </w:rPr>
        <w:t>an AI governance board with a regular operating cadence.</w:t>
      </w:r>
    </w:p>
    <w:p>
      <w:pPr>
        <w:pStyle w:val="Heading2"/>
      </w:pPr>
      <w:r>
        <w:t>8.1 Risk tiering drives controls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fill="1B3A6B"/>
          </w:tcPr>
          <w:p>
            <w:pPr>
              <w:spacing w:after="40" w:before="40"/>
            </w:pPr>
            <w:r>
              <w:rPr>
                <w:rFonts w:ascii="Segoe UI" w:hAnsi="Segoe UI"/>
                <w:b/>
                <w:color w:val="FFFFFF"/>
                <w:sz w:val="20"/>
              </w:rPr>
              <w:t>Tier</w:t>
            </w:r>
          </w:p>
        </w:tc>
        <w:tc>
          <w:tcPr>
            <w:tcW w:type="dxa" w:w="3456"/>
            <w:shd w:val="clear" w:fill="1B3A6B"/>
          </w:tcPr>
          <w:p>
            <w:pPr>
              <w:spacing w:after="40" w:before="40"/>
            </w:pPr>
            <w:r>
              <w:rPr>
                <w:rFonts w:ascii="Segoe UI" w:hAnsi="Segoe UI"/>
                <w:b/>
                <w:color w:val="FFFFFF"/>
                <w:sz w:val="20"/>
              </w:rPr>
              <w:t>Examples</w:t>
            </w:r>
          </w:p>
        </w:tc>
        <w:tc>
          <w:tcPr>
            <w:tcW w:type="dxa" w:w="4032"/>
            <w:shd w:val="clear" w:fill="1B3A6B"/>
          </w:tcPr>
          <w:p>
            <w:pPr>
              <w:spacing w:after="40" w:before="40"/>
            </w:pPr>
            <w:r>
              <w:rPr>
                <w:rFonts w:ascii="Segoe UI" w:hAnsi="Segoe UI"/>
                <w:b/>
                <w:color w:val="FFFFFF"/>
                <w:sz w:val="20"/>
              </w:rPr>
              <w:t>Controls</w:t>
            </w:r>
          </w:p>
        </w:tc>
      </w:tr>
      <w:tr>
        <w:tc>
          <w:tcPr>
            <w:tcW w:type="dxa" w:w="1728"/>
          </w:tcPr>
          <w:p>
            <w:pPr>
              <w:spacing w:after="40" w:before="40"/>
            </w:pPr>
            <w:r>
              <w:rPr>
                <w:rFonts w:ascii="Segoe UI" w:hAnsi="Segoe UI"/>
                <w:b/>
                <w:color w:val="121F3D"/>
                <w:sz w:val="19"/>
              </w:rPr>
              <w:t>High</w:t>
            </w:r>
          </w:p>
        </w:tc>
        <w:tc>
          <w:tcPr>
            <w:tcW w:type="dxa" w:w="3456"/>
          </w:tcPr>
          <w:p>
            <w:pPr>
              <w:spacing w:after="40" w:before="40"/>
            </w:pPr>
            <w:r>
              <w:rPr>
                <w:rFonts w:ascii="Segoe UI" w:hAnsi="Segoe UI"/>
                <w:sz w:val="19"/>
              </w:rPr>
              <w:t>Hiring decisions, collections</w:t>
            </w:r>
          </w:p>
        </w:tc>
        <w:tc>
          <w:tcPr>
            <w:tcW w:type="dxa" w:w="4032"/>
          </w:tcPr>
          <w:p>
            <w:pPr>
              <w:spacing w:after="40" w:before="40"/>
            </w:pPr>
            <w:r>
              <w:rPr>
                <w:rFonts w:ascii="Segoe UI" w:hAnsi="Segoe UI"/>
                <w:sz w:val="19"/>
              </w:rPr>
              <w:t>Full HITL, bias audits, legal sign-off</w:t>
            </w:r>
          </w:p>
        </w:tc>
      </w:tr>
      <w:tr>
        <w:tc>
          <w:tcPr>
            <w:tcW w:type="dxa" w:w="1728"/>
            <w:shd w:val="clear" w:fill="EEF1F7"/>
          </w:tcPr>
          <w:p>
            <w:pPr>
              <w:spacing w:after="40" w:before="40"/>
            </w:pPr>
            <w:r>
              <w:rPr>
                <w:rFonts w:ascii="Segoe UI" w:hAnsi="Segoe UI"/>
                <w:b/>
                <w:color w:val="121F3D"/>
                <w:sz w:val="19"/>
              </w:rPr>
              <w:t>Medium</w:t>
            </w:r>
          </w:p>
        </w:tc>
        <w:tc>
          <w:tcPr>
            <w:tcW w:type="dxa" w:w="3456"/>
            <w:shd w:val="clear" w:fill="EEF1F7"/>
          </w:tcPr>
          <w:p>
            <w:pPr>
              <w:spacing w:after="40" w:before="40"/>
            </w:pPr>
            <w:r>
              <w:rPr>
                <w:rFonts w:ascii="Segoe UI" w:hAnsi="Segoe UI"/>
                <w:sz w:val="19"/>
              </w:rPr>
              <w:t>Customer voice answers</w:t>
            </w:r>
          </w:p>
        </w:tc>
        <w:tc>
          <w:tcPr>
            <w:tcW w:type="dxa" w:w="4032"/>
            <w:shd w:val="clear" w:fill="EEF1F7"/>
          </w:tcPr>
          <w:p>
            <w:pPr>
              <w:spacing w:after="40" w:before="40"/>
            </w:pPr>
            <w:r>
              <w:rPr>
                <w:rFonts w:ascii="Segoe UI" w:hAnsi="Segoe UI"/>
                <w:sz w:val="19"/>
              </w:rPr>
              <w:t>Guardrails + sampled human QA + monitoring</w:t>
            </w:r>
          </w:p>
        </w:tc>
      </w:tr>
      <w:tr>
        <w:tc>
          <w:tcPr>
            <w:tcW w:type="dxa" w:w="1728"/>
          </w:tcPr>
          <w:p>
            <w:pPr>
              <w:spacing w:after="40" w:before="40"/>
            </w:pPr>
            <w:r>
              <w:rPr>
                <w:rFonts w:ascii="Segoe UI" w:hAnsi="Segoe UI"/>
                <w:b/>
                <w:color w:val="121F3D"/>
                <w:sz w:val="19"/>
              </w:rPr>
              <w:t>Low</w:t>
            </w:r>
          </w:p>
        </w:tc>
        <w:tc>
          <w:tcPr>
            <w:tcW w:type="dxa" w:w="3456"/>
          </w:tcPr>
          <w:p>
            <w:pPr>
              <w:spacing w:after="40" w:before="40"/>
            </w:pPr>
            <w:r>
              <w:rPr>
                <w:rFonts w:ascii="Segoe UI" w:hAnsi="Segoe UI"/>
                <w:sz w:val="19"/>
              </w:rPr>
              <w:t>Internal drafting, summaries</w:t>
            </w:r>
          </w:p>
        </w:tc>
        <w:tc>
          <w:tcPr>
            <w:tcW w:type="dxa" w:w="4032"/>
          </w:tcPr>
          <w:p>
            <w:pPr>
              <w:spacing w:after="40" w:before="40"/>
            </w:pPr>
            <w:r>
              <w:rPr>
                <w:rFonts w:ascii="Segoe UI" w:hAnsi="Segoe UI"/>
                <w:sz w:val="19"/>
              </w:rPr>
              <w:t>Standard guardrails + spot checks</w:t>
            </w:r>
          </w:p>
        </w:tc>
      </w:tr>
    </w:tbl>
    <w:p>
      <w:pPr>
        <w:spacing w:after="80" w:before="0"/>
      </w:pPr>
    </w:p>
    <w:p>
      <w:pPr>
        <w:pStyle w:val="Heading1"/>
      </w:pPr>
      <w:r>
        <w:t>9. Security, Privacy &amp; Compliance</w:t>
      </w:r>
    </w:p>
    <w:p>
      <w:pPr>
        <w:pStyle w:val="ListBullet"/>
        <w:spacing w:after="60"/>
      </w:pPr>
      <w:r>
        <w:rPr>
          <w:rFonts w:ascii="Segoe UI" w:hAnsi="Segoe UI"/>
          <w:b/>
          <w:sz w:val="21"/>
        </w:rPr>
        <w:t xml:space="preserve">Identity — </w:t>
      </w:r>
      <w:r>
        <w:rPr>
          <w:rFonts w:ascii="Segoe UI" w:hAnsi="Segoe UI"/>
          <w:sz w:val="21"/>
        </w:rPr>
        <w:t>Microsoft Entra ID with least-privilege RBAC and managed identities;</w:t>
      </w:r>
    </w:p>
    <w:p>
      <w:pPr>
        <w:pStyle w:val="ListBullet"/>
        <w:spacing w:after="60"/>
      </w:pPr>
      <w:r>
        <w:rPr>
          <w:rFonts w:ascii="Segoe UI" w:hAnsi="Segoe UI"/>
          <w:b/>
          <w:sz w:val="21"/>
        </w:rPr>
        <w:t xml:space="preserve">Secrets — </w:t>
      </w:r>
      <w:r>
        <w:rPr>
          <w:rFonts w:ascii="Segoe UI" w:hAnsi="Segoe UI"/>
          <w:sz w:val="21"/>
        </w:rPr>
        <w:t>Azure Key Vault; no secrets in code or config;</w:t>
      </w:r>
    </w:p>
    <w:p>
      <w:pPr>
        <w:pStyle w:val="ListBullet"/>
        <w:spacing w:after="60"/>
      </w:pPr>
      <w:r>
        <w:rPr>
          <w:rFonts w:ascii="Segoe UI" w:hAnsi="Segoe UI"/>
          <w:b/>
          <w:sz w:val="21"/>
        </w:rPr>
        <w:t xml:space="preserve">Network — </w:t>
      </w:r>
      <w:r>
        <w:rPr>
          <w:rFonts w:ascii="Segoe UI" w:hAnsi="Segoe UI"/>
          <w:sz w:val="21"/>
        </w:rPr>
        <w:t>VNet with private endpoints; no public egress for sensitive data;</w:t>
      </w:r>
    </w:p>
    <w:p>
      <w:pPr>
        <w:pStyle w:val="ListBullet"/>
        <w:spacing w:after="60"/>
      </w:pPr>
      <w:r>
        <w:rPr>
          <w:rFonts w:ascii="Segoe UI" w:hAnsi="Segoe UI"/>
          <w:b/>
          <w:sz w:val="21"/>
        </w:rPr>
        <w:t xml:space="preserve">Encryption — </w:t>
      </w:r>
      <w:r>
        <w:rPr>
          <w:rFonts w:ascii="Segoe UI" w:hAnsi="Segoe UI"/>
          <w:sz w:val="21"/>
        </w:rPr>
        <w:t>at rest and in transit, with optional customer-managed keys;</w:t>
      </w:r>
    </w:p>
    <w:p>
      <w:pPr>
        <w:pStyle w:val="ListBullet"/>
        <w:spacing w:after="60"/>
      </w:pPr>
      <w:r>
        <w:rPr>
          <w:rFonts w:ascii="Segoe UI" w:hAnsi="Segoe UI"/>
          <w:b/>
          <w:sz w:val="21"/>
        </w:rPr>
        <w:t xml:space="preserve">Data residency — </w:t>
      </w:r>
      <w:r>
        <w:rPr>
          <w:rFonts w:ascii="Segoe UI" w:hAnsi="Segoe UI"/>
          <w:sz w:val="21"/>
        </w:rPr>
        <w:t>honored across US, Mexico and the Philippines;</w:t>
      </w:r>
    </w:p>
    <w:p>
      <w:pPr>
        <w:pStyle w:val="ListBullet"/>
        <w:spacing w:after="60"/>
      </w:pPr>
      <w:r>
        <w:rPr>
          <w:rFonts w:ascii="Segoe UI" w:hAnsi="Segoe UI"/>
          <w:b/>
          <w:sz w:val="21"/>
        </w:rPr>
        <w:t xml:space="preserve">Posture — </w:t>
      </w:r>
      <w:r>
        <w:rPr>
          <w:rFonts w:ascii="Segoe UI" w:hAnsi="Segoe UI"/>
          <w:sz w:val="21"/>
        </w:rPr>
        <w:t>Defender for Cloud posture; Purview lineage and DLP; prompt-injection defenses.</w:t>
      </w:r>
    </w:p>
    <w:p>
      <w:pPr>
        <w:pStyle w:val="Heading2"/>
      </w:pPr>
      <w:r>
        <w:t>9.1 Compliance matrix</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1B3A6B"/>
          </w:tcPr>
          <w:p>
            <w:pPr>
              <w:spacing w:after="40" w:before="40"/>
            </w:pPr>
            <w:r>
              <w:rPr>
                <w:rFonts w:ascii="Segoe UI" w:hAnsi="Segoe UI"/>
                <w:b/>
                <w:color w:val="FFFFFF"/>
                <w:sz w:val="20"/>
              </w:rPr>
              <w:t>Framework</w:t>
            </w:r>
          </w:p>
        </w:tc>
        <w:tc>
          <w:tcPr>
            <w:tcW w:type="dxa" w:w="2880"/>
            <w:shd w:val="clear" w:fill="1B3A6B"/>
          </w:tcPr>
          <w:p>
            <w:pPr>
              <w:spacing w:after="40" w:before="40"/>
            </w:pPr>
            <w:r>
              <w:rPr>
                <w:rFonts w:ascii="Segoe UI" w:hAnsi="Segoe UI"/>
                <w:b/>
                <w:color w:val="FFFFFF"/>
                <w:sz w:val="20"/>
              </w:rPr>
              <w:t>Where it applies</w:t>
            </w:r>
          </w:p>
        </w:tc>
        <w:tc>
          <w:tcPr>
            <w:tcW w:type="dxa" w:w="4176"/>
            <w:shd w:val="clear" w:fill="1B3A6B"/>
          </w:tcPr>
          <w:p>
            <w:pPr>
              <w:spacing w:after="40" w:before="40"/>
            </w:pPr>
            <w:r>
              <w:rPr>
                <w:rFonts w:ascii="Segoe UI" w:hAnsi="Segoe UI"/>
                <w:b/>
                <w:color w:val="FFFFFF"/>
                <w:sz w:val="20"/>
              </w:rPr>
              <w:t>Primary controls</w:t>
            </w:r>
          </w:p>
        </w:tc>
      </w:tr>
      <w:tr>
        <w:tc>
          <w:tcPr>
            <w:tcW w:type="dxa" w:w="2160"/>
          </w:tcPr>
          <w:p>
            <w:pPr>
              <w:spacing w:after="40" w:before="40"/>
            </w:pPr>
            <w:r>
              <w:rPr>
                <w:rFonts w:ascii="Segoe UI" w:hAnsi="Segoe UI"/>
                <w:b/>
                <w:color w:val="121F3D"/>
                <w:sz w:val="19"/>
              </w:rPr>
              <w:t>PCI-DSS</w:t>
            </w:r>
          </w:p>
        </w:tc>
        <w:tc>
          <w:tcPr>
            <w:tcW w:type="dxa" w:w="2880"/>
          </w:tcPr>
          <w:p>
            <w:pPr>
              <w:spacing w:after="40" w:before="40"/>
            </w:pPr>
            <w:r>
              <w:rPr>
                <w:rFonts w:ascii="Segoe UI" w:hAnsi="Segoe UI"/>
                <w:sz w:val="19"/>
              </w:rPr>
              <w:t>Payment capture</w:t>
            </w:r>
          </w:p>
        </w:tc>
        <w:tc>
          <w:tcPr>
            <w:tcW w:type="dxa" w:w="4176"/>
          </w:tcPr>
          <w:p>
            <w:pPr>
              <w:spacing w:after="40" w:before="40"/>
            </w:pPr>
            <w:r>
              <w:rPr>
                <w:rFonts w:ascii="Segoe UI" w:hAnsi="Segoe UI"/>
                <w:sz w:val="19"/>
              </w:rPr>
              <w:t>Pause/mask, tokenization, scope isolation</w:t>
            </w:r>
          </w:p>
        </w:tc>
      </w:tr>
      <w:tr>
        <w:tc>
          <w:tcPr>
            <w:tcW w:type="dxa" w:w="2160"/>
            <w:shd w:val="clear" w:fill="EEF1F7"/>
          </w:tcPr>
          <w:p>
            <w:pPr>
              <w:spacing w:after="40" w:before="40"/>
            </w:pPr>
            <w:r>
              <w:rPr>
                <w:rFonts w:ascii="Segoe UI" w:hAnsi="Segoe UI"/>
                <w:b/>
                <w:color w:val="121F3D"/>
                <w:sz w:val="19"/>
              </w:rPr>
              <w:t>HIPAA</w:t>
            </w:r>
          </w:p>
        </w:tc>
        <w:tc>
          <w:tcPr>
            <w:tcW w:type="dxa" w:w="2880"/>
            <w:shd w:val="clear" w:fill="EEF1F7"/>
          </w:tcPr>
          <w:p>
            <w:pPr>
              <w:spacing w:after="40" w:before="40"/>
            </w:pPr>
            <w:r>
              <w:rPr>
                <w:rFonts w:ascii="Segoe UI" w:hAnsi="Segoe UI"/>
                <w:sz w:val="19"/>
              </w:rPr>
              <w:t>Healthcare programs</w:t>
            </w:r>
          </w:p>
        </w:tc>
        <w:tc>
          <w:tcPr>
            <w:tcW w:type="dxa" w:w="4176"/>
            <w:shd w:val="clear" w:fill="EEF1F7"/>
          </w:tcPr>
          <w:p>
            <w:pPr>
              <w:spacing w:after="40" w:before="40"/>
            </w:pPr>
            <w:r>
              <w:rPr>
                <w:rFonts w:ascii="Segoe UI" w:hAnsi="Segoe UI"/>
                <w:sz w:val="19"/>
              </w:rPr>
              <w:t>PHI handling, BAAs, access controls</w:t>
            </w:r>
          </w:p>
        </w:tc>
      </w:tr>
      <w:tr>
        <w:tc>
          <w:tcPr>
            <w:tcW w:type="dxa" w:w="2160"/>
          </w:tcPr>
          <w:p>
            <w:pPr>
              <w:spacing w:after="40" w:before="40"/>
            </w:pPr>
            <w:r>
              <w:rPr>
                <w:rFonts w:ascii="Segoe UI" w:hAnsi="Segoe UI"/>
                <w:b/>
                <w:color w:val="121F3D"/>
                <w:sz w:val="19"/>
              </w:rPr>
              <w:t>TCPA</w:t>
            </w:r>
          </w:p>
        </w:tc>
        <w:tc>
          <w:tcPr>
            <w:tcW w:type="dxa" w:w="2880"/>
          </w:tcPr>
          <w:p>
            <w:pPr>
              <w:spacing w:after="40" w:before="40"/>
            </w:pPr>
            <w:r>
              <w:rPr>
                <w:rFonts w:ascii="Segoe UI" w:hAnsi="Segoe UI"/>
                <w:sz w:val="19"/>
              </w:rPr>
              <w:t>Outbound voice</w:t>
            </w:r>
          </w:p>
        </w:tc>
        <w:tc>
          <w:tcPr>
            <w:tcW w:type="dxa" w:w="4176"/>
          </w:tcPr>
          <w:p>
            <w:pPr>
              <w:spacing w:after="40" w:before="40"/>
            </w:pPr>
            <w:r>
              <w:rPr>
                <w:rFonts w:ascii="Segoe UI" w:hAnsi="Segoe UI"/>
                <w:sz w:val="19"/>
              </w:rPr>
              <w:t>Consent, do-not-call, disclosures</w:t>
            </w:r>
          </w:p>
        </w:tc>
      </w:tr>
      <w:tr>
        <w:tc>
          <w:tcPr>
            <w:tcW w:type="dxa" w:w="2160"/>
            <w:shd w:val="clear" w:fill="EEF1F7"/>
          </w:tcPr>
          <w:p>
            <w:pPr>
              <w:spacing w:after="40" w:before="40"/>
            </w:pPr>
            <w:r>
              <w:rPr>
                <w:rFonts w:ascii="Segoe UI" w:hAnsi="Segoe UI"/>
                <w:b/>
                <w:color w:val="121F3D"/>
                <w:sz w:val="19"/>
              </w:rPr>
              <w:t>SOC 2</w:t>
            </w:r>
          </w:p>
        </w:tc>
        <w:tc>
          <w:tcPr>
            <w:tcW w:type="dxa" w:w="2880"/>
            <w:shd w:val="clear" w:fill="EEF1F7"/>
          </w:tcPr>
          <w:p>
            <w:pPr>
              <w:spacing w:after="40" w:before="40"/>
            </w:pPr>
            <w:r>
              <w:rPr>
                <w:rFonts w:ascii="Segoe UI" w:hAnsi="Segoe UI"/>
                <w:sz w:val="19"/>
              </w:rPr>
              <w:t>Platform</w:t>
            </w:r>
          </w:p>
        </w:tc>
        <w:tc>
          <w:tcPr>
            <w:tcW w:type="dxa" w:w="4176"/>
            <w:shd w:val="clear" w:fill="EEF1F7"/>
          </w:tcPr>
          <w:p>
            <w:pPr>
              <w:spacing w:after="40" w:before="40"/>
            </w:pPr>
            <w:r>
              <w:rPr>
                <w:rFonts w:ascii="Segoe UI" w:hAnsi="Segoe UI"/>
                <w:sz w:val="19"/>
              </w:rPr>
              <w:t>Control framework, audit evidence</w:t>
            </w:r>
          </w:p>
        </w:tc>
      </w:tr>
      <w:tr>
        <w:tc>
          <w:tcPr>
            <w:tcW w:type="dxa" w:w="2160"/>
          </w:tcPr>
          <w:p>
            <w:pPr>
              <w:spacing w:after="40" w:before="40"/>
            </w:pPr>
            <w:r>
              <w:rPr>
                <w:rFonts w:ascii="Segoe UI" w:hAnsi="Segoe UI"/>
                <w:b/>
                <w:color w:val="121F3D"/>
                <w:sz w:val="19"/>
              </w:rPr>
              <w:t>GDPR</w:t>
            </w:r>
          </w:p>
        </w:tc>
        <w:tc>
          <w:tcPr>
            <w:tcW w:type="dxa" w:w="2880"/>
          </w:tcPr>
          <w:p>
            <w:pPr>
              <w:spacing w:after="40" w:before="40"/>
            </w:pPr>
            <w:r>
              <w:rPr>
                <w:rFonts w:ascii="Segoe UI" w:hAnsi="Segoe UI"/>
                <w:sz w:val="19"/>
              </w:rPr>
              <w:t>PII</w:t>
            </w:r>
          </w:p>
        </w:tc>
        <w:tc>
          <w:tcPr>
            <w:tcW w:type="dxa" w:w="4176"/>
          </w:tcPr>
          <w:p>
            <w:pPr>
              <w:spacing w:after="40" w:before="40"/>
            </w:pPr>
            <w:r>
              <w:rPr>
                <w:rFonts w:ascii="Segoe UI" w:hAnsi="Segoe UI"/>
                <w:sz w:val="19"/>
              </w:rPr>
              <w:t>Data-subject rights, minimization</w:t>
            </w:r>
          </w:p>
        </w:tc>
      </w:tr>
      <w:tr>
        <w:tc>
          <w:tcPr>
            <w:tcW w:type="dxa" w:w="2160"/>
            <w:shd w:val="clear" w:fill="EEF1F7"/>
          </w:tcPr>
          <w:p>
            <w:pPr>
              <w:spacing w:after="40" w:before="40"/>
            </w:pPr>
            <w:r>
              <w:rPr>
                <w:rFonts w:ascii="Segoe UI" w:hAnsi="Segoe UI"/>
                <w:b/>
                <w:color w:val="121F3D"/>
                <w:sz w:val="19"/>
              </w:rPr>
              <w:t>EEOC / NYC LL144</w:t>
            </w:r>
          </w:p>
        </w:tc>
        <w:tc>
          <w:tcPr>
            <w:tcW w:type="dxa" w:w="2880"/>
            <w:shd w:val="clear" w:fill="EEF1F7"/>
          </w:tcPr>
          <w:p>
            <w:pPr>
              <w:spacing w:after="40" w:before="40"/>
            </w:pPr>
            <w:r>
              <w:rPr>
                <w:rFonts w:ascii="Segoe UI" w:hAnsi="Segoe UI"/>
                <w:sz w:val="19"/>
              </w:rPr>
              <w:t>Hiring</w:t>
            </w:r>
          </w:p>
        </w:tc>
        <w:tc>
          <w:tcPr>
            <w:tcW w:type="dxa" w:w="4176"/>
            <w:shd w:val="clear" w:fill="EEF1F7"/>
          </w:tcPr>
          <w:p>
            <w:pPr>
              <w:spacing w:after="40" w:before="40"/>
            </w:pPr>
            <w:r>
              <w:rPr>
                <w:rFonts w:ascii="Segoe UI" w:hAnsi="Segoe UI"/>
                <w:sz w:val="19"/>
              </w:rPr>
              <w:t>Bias audits, notice, human decision</w:t>
            </w:r>
          </w:p>
        </w:tc>
      </w:tr>
    </w:tbl>
    <w:p>
      <w:pPr>
        <w:spacing w:after="80" w:before="0"/>
      </w:pPr>
    </w:p>
    <w:p>
      <w:pPr>
        <w:pStyle w:val="Heading1"/>
      </w:pPr>
      <w:r>
        <w:t>10. Observability &amp; FinOps</w:t>
      </w:r>
    </w:p>
    <w:p>
      <w:pPr>
        <w:spacing w:after="120" w:before="0"/>
      </w:pPr>
      <w:r>
        <w:rPr>
          <w:rFonts w:ascii="Segoe UI" w:hAnsi="Segoe UI"/>
          <w:b w:val="0"/>
          <w:i w:val="0"/>
          <w:sz w:val="21"/>
        </w:rPr>
        <w:t>You cannot scale what you cannot see or cost. The platform instruments quality, groundedness, latency (p50/p95), errors, drift, safety events and token usage, traced end-to-end with OpenTelemetry GenAI semantic conventions into Application Insights and Azure Monitor, with dashboards for operations, engineering and governance.</w:t>
      </w:r>
    </w:p>
    <w:p>
      <w:pPr>
        <w:pStyle w:val="Heading2"/>
      </w:pPr>
      <w:r>
        <w:t>10.1 FinOps</w:t>
      </w:r>
    </w:p>
    <w:p>
      <w:pPr>
        <w:pStyle w:val="ListBullet"/>
        <w:spacing w:after="60"/>
      </w:pPr>
      <w:r>
        <w:rPr>
          <w:rFonts w:ascii="Segoe UI" w:hAnsi="Segoe UI"/>
          <w:sz w:val="21"/>
        </w:rPr>
        <w:t>token metering and quotas at the API Management gateway;</w:t>
      </w:r>
    </w:p>
    <w:p>
      <w:pPr>
        <w:pStyle w:val="ListBullet"/>
        <w:spacing w:after="60"/>
      </w:pPr>
      <w:r>
        <w:rPr>
          <w:rFonts w:ascii="Segoe UI" w:hAnsi="Segoe UI"/>
          <w:sz w:val="21"/>
        </w:rPr>
        <w:t>cost showback per use case and business unit;</w:t>
      </w:r>
    </w:p>
    <w:p>
      <w:pPr>
        <w:pStyle w:val="ListBullet"/>
        <w:spacing w:after="60"/>
      </w:pPr>
      <w:r>
        <w:rPr>
          <w:rFonts w:ascii="Segoe UI" w:hAnsi="Segoe UI"/>
          <w:sz w:val="21"/>
        </w:rPr>
        <w:t>model right-sizing (GPT-4o vs mini vs open-weight);</w:t>
      </w:r>
    </w:p>
    <w:p>
      <w:pPr>
        <w:pStyle w:val="ListBullet"/>
        <w:spacing w:after="60"/>
      </w:pPr>
      <w:r>
        <w:rPr>
          <w:rFonts w:ascii="Segoe UI" w:hAnsi="Segoe UI"/>
          <w:sz w:val="21"/>
        </w:rPr>
        <w:t>semantic caching and prompt compression;</w:t>
      </w:r>
    </w:p>
    <w:p>
      <w:pPr>
        <w:pStyle w:val="ListBullet"/>
        <w:spacing w:after="60"/>
      </w:pPr>
      <w:r>
        <w:rPr>
          <w:rFonts w:ascii="Segoe UI" w:hAnsi="Segoe UI"/>
          <w:sz w:val="21"/>
        </w:rPr>
        <w:t>budget guardrails and anomaly alerts;</w:t>
      </w:r>
    </w:p>
    <w:p>
      <w:pPr>
        <w:pStyle w:val="ListBullet"/>
        <w:spacing w:after="60"/>
      </w:pPr>
      <w:r>
        <w:rPr>
          <w:rFonts w:ascii="Segoe UI" w:hAnsi="Segoe UI"/>
          <w:sz w:val="21"/>
        </w:rPr>
        <w:t>cost-per-resolved-call and cost-per-screen tracked as first-class KPIs.</w:t>
      </w:r>
    </w:p>
    <w:tbl>
      <w:tblPr>
        <w:tblStyle w:val="TableGrid"/>
        <w:tblW w:type="auto" w:w="0"/>
        <w:jc w:val="center"/>
        <w:tblLook w:firstColumn="1" w:firstRow="1" w:lastColumn="0" w:lastRow="0" w:noHBand="0" w:noVBand="1" w:val="04A0"/>
      </w:tblPr>
      <w:tblGrid>
        <w:gridCol w:w="4680"/>
        <w:gridCol w:w="4680"/>
      </w:tblGrid>
      <w:tr>
        <w:tc>
          <w:tcPr>
            <w:tcW w:type="dxa" w:w="4608"/>
            <w:shd w:val="clear" w:fill="1B3A6B"/>
          </w:tcPr>
          <w:p>
            <w:pPr>
              <w:spacing w:after="40" w:before="40"/>
            </w:pPr>
            <w:r>
              <w:rPr>
                <w:rFonts w:ascii="Segoe UI" w:hAnsi="Segoe UI"/>
                <w:b/>
                <w:color w:val="FFFFFF"/>
                <w:sz w:val="20"/>
              </w:rPr>
              <w:t>Example SLO</w:t>
            </w:r>
          </w:p>
        </w:tc>
        <w:tc>
          <w:tcPr>
            <w:tcW w:type="dxa" w:w="4608"/>
            <w:shd w:val="clear" w:fill="1B3A6B"/>
          </w:tcPr>
          <w:p>
            <w:pPr>
              <w:spacing w:after="40" w:before="40"/>
            </w:pPr>
            <w:r>
              <w:rPr>
                <w:rFonts w:ascii="Segoe UI" w:hAnsi="Segoe UI"/>
                <w:b/>
                <w:color w:val="FFFFFF"/>
                <w:sz w:val="20"/>
              </w:rPr>
              <w:t>Target</w:t>
            </w:r>
          </w:p>
        </w:tc>
      </w:tr>
      <w:tr>
        <w:tc>
          <w:tcPr>
            <w:tcW w:type="dxa" w:w="4608"/>
          </w:tcPr>
          <w:p>
            <w:pPr>
              <w:spacing w:after="40" w:before="40"/>
            </w:pPr>
            <w:r>
              <w:rPr>
                <w:rFonts w:ascii="Segoe UI" w:hAnsi="Segoe UI"/>
                <w:b/>
                <w:color w:val="121F3D"/>
                <w:sz w:val="19"/>
              </w:rPr>
              <w:t>Voice turn latency (p95)</w:t>
            </w:r>
          </w:p>
        </w:tc>
        <w:tc>
          <w:tcPr>
            <w:tcW w:type="dxa" w:w="4608"/>
          </w:tcPr>
          <w:p>
            <w:pPr>
              <w:spacing w:after="40" w:before="40"/>
            </w:pPr>
            <w:r>
              <w:rPr>
                <w:rFonts w:ascii="Segoe UI" w:hAnsi="Segoe UI"/>
                <w:sz w:val="19"/>
              </w:rPr>
              <w:t>&lt; 1 second</w:t>
            </w:r>
          </w:p>
        </w:tc>
      </w:tr>
      <w:tr>
        <w:tc>
          <w:tcPr>
            <w:tcW w:type="dxa" w:w="4608"/>
            <w:shd w:val="clear" w:fill="EEF1F7"/>
          </w:tcPr>
          <w:p>
            <w:pPr>
              <w:spacing w:after="40" w:before="40"/>
            </w:pPr>
            <w:r>
              <w:rPr>
                <w:rFonts w:ascii="Segoe UI" w:hAnsi="Segoe UI"/>
                <w:b/>
                <w:color w:val="121F3D"/>
                <w:sz w:val="19"/>
              </w:rPr>
              <w:t>Groundedness score</w:t>
            </w:r>
          </w:p>
        </w:tc>
        <w:tc>
          <w:tcPr>
            <w:tcW w:type="dxa" w:w="4608"/>
            <w:shd w:val="clear" w:fill="EEF1F7"/>
          </w:tcPr>
          <w:p>
            <w:pPr>
              <w:spacing w:after="40" w:before="40"/>
            </w:pPr>
            <w:r>
              <w:rPr>
                <w:rFonts w:ascii="Segoe UI" w:hAnsi="Segoe UI"/>
                <w:sz w:val="19"/>
              </w:rPr>
              <w:t>≥ threshold, gated</w:t>
            </w:r>
          </w:p>
        </w:tc>
      </w:tr>
      <w:tr>
        <w:tc>
          <w:tcPr>
            <w:tcW w:type="dxa" w:w="4608"/>
          </w:tcPr>
          <w:p>
            <w:pPr>
              <w:spacing w:after="40" w:before="40"/>
            </w:pPr>
            <w:r>
              <w:rPr>
                <w:rFonts w:ascii="Segoe UI" w:hAnsi="Segoe UI"/>
                <w:b/>
                <w:color w:val="121F3D"/>
                <w:sz w:val="19"/>
              </w:rPr>
              <w:t>Availability</w:t>
            </w:r>
          </w:p>
        </w:tc>
        <w:tc>
          <w:tcPr>
            <w:tcW w:type="dxa" w:w="4608"/>
          </w:tcPr>
          <w:p>
            <w:pPr>
              <w:spacing w:after="40" w:before="40"/>
            </w:pPr>
            <w:r>
              <w:rPr>
                <w:rFonts w:ascii="Segoe UI" w:hAnsi="Segoe UI"/>
                <w:sz w:val="19"/>
              </w:rPr>
              <w:t>99.9%</w:t>
            </w:r>
          </w:p>
        </w:tc>
      </w:tr>
      <w:tr>
        <w:tc>
          <w:tcPr>
            <w:tcW w:type="dxa" w:w="4608"/>
            <w:shd w:val="clear" w:fill="EEF1F7"/>
          </w:tcPr>
          <w:p>
            <w:pPr>
              <w:spacing w:after="40" w:before="40"/>
            </w:pPr>
            <w:r>
              <w:rPr>
                <w:rFonts w:ascii="Segoe UI" w:hAnsi="Segoe UI"/>
                <w:b/>
                <w:color w:val="121F3D"/>
                <w:sz w:val="19"/>
              </w:rPr>
              <w:t>Safety-event rate</w:t>
            </w:r>
          </w:p>
        </w:tc>
        <w:tc>
          <w:tcPr>
            <w:tcW w:type="dxa" w:w="4608"/>
            <w:shd w:val="clear" w:fill="EEF1F7"/>
          </w:tcPr>
          <w:p>
            <w:pPr>
              <w:spacing w:after="40" w:before="40"/>
            </w:pPr>
            <w:r>
              <w:rPr>
                <w:rFonts w:ascii="Segoe UI" w:hAnsi="Segoe UI"/>
                <w:sz w:val="19"/>
              </w:rPr>
              <w:t>Below alert threshold</w:t>
            </w:r>
          </w:p>
        </w:tc>
      </w:tr>
    </w:tbl>
    <w:p>
      <w:pPr>
        <w:spacing w:after="80" w:before="0"/>
      </w:pPr>
    </w:p>
    <w:p>
      <w:pPr>
        <w:pStyle w:val="Heading1"/>
      </w:pPr>
      <w:r>
        <w:t>11. Operating Model &amp; Team</w:t>
      </w:r>
    </w:p>
    <w:p>
      <w:pPr>
        <w:spacing w:after="120" w:before="0"/>
      </w:pPr>
      <w:r>
        <w:rPr>
          <w:rFonts w:ascii="Segoe UI" w:hAnsi="Segoe UI"/>
          <w:b w:val="0"/>
          <w:i w:val="0"/>
          <w:sz w:val="21"/>
        </w:rPr>
        <w:t>A GenAI Center of Excellence (CoE) operates a federated hub-and-spoke model: the CoE owns the platform, guardrails and standards, while contact-center and HR 'spokes' own their use cases and outcomes. Subject-matter experts from Operations, HR, Compliance and Security embed into delivery pods.</w:t>
      </w:r>
    </w:p>
    <w:tbl>
      <w:tblPr>
        <w:tblStyle w:val="TableGrid"/>
        <w:tblW w:type="auto" w:w="0"/>
        <w:jc w:val="center"/>
        <w:tblLook w:firstColumn="1" w:firstRow="1" w:lastColumn="0" w:lastRow="0" w:noHBand="0" w:noVBand="1" w:val="04A0"/>
      </w:tblPr>
      <w:tblGrid>
        <w:gridCol w:w="4680"/>
        <w:gridCol w:w="4680"/>
      </w:tblGrid>
      <w:tr>
        <w:tc>
          <w:tcPr>
            <w:tcW w:type="dxa" w:w="3456"/>
            <w:shd w:val="clear" w:fill="1B3A6B"/>
          </w:tcPr>
          <w:p>
            <w:pPr>
              <w:spacing w:after="40" w:before="40"/>
            </w:pPr>
            <w:r>
              <w:rPr>
                <w:rFonts w:ascii="Segoe UI" w:hAnsi="Segoe UI"/>
                <w:b/>
                <w:color w:val="FFFFFF"/>
                <w:sz w:val="20"/>
              </w:rPr>
              <w:t>Role</w:t>
            </w:r>
          </w:p>
        </w:tc>
        <w:tc>
          <w:tcPr>
            <w:tcW w:type="dxa" w:w="5760"/>
            <w:shd w:val="clear" w:fill="1B3A6B"/>
          </w:tcPr>
          <w:p>
            <w:pPr>
              <w:spacing w:after="40" w:before="40"/>
            </w:pPr>
            <w:r>
              <w:rPr>
                <w:rFonts w:ascii="Segoe UI" w:hAnsi="Segoe UI"/>
                <w:b/>
                <w:color w:val="FFFFFF"/>
                <w:sz w:val="20"/>
              </w:rPr>
              <w:t>Focus</w:t>
            </w:r>
          </w:p>
        </w:tc>
      </w:tr>
      <w:tr>
        <w:tc>
          <w:tcPr>
            <w:tcW w:type="dxa" w:w="3456"/>
          </w:tcPr>
          <w:p>
            <w:pPr>
              <w:spacing w:after="40" w:before="40"/>
            </w:pPr>
            <w:r>
              <w:rPr>
                <w:rFonts w:ascii="Segoe UI" w:hAnsi="Segoe UI"/>
                <w:b/>
                <w:color w:val="121F3D"/>
                <w:sz w:val="19"/>
              </w:rPr>
              <w:t>Executive sponsor</w:t>
            </w:r>
          </w:p>
        </w:tc>
        <w:tc>
          <w:tcPr>
            <w:tcW w:type="dxa" w:w="5760"/>
          </w:tcPr>
          <w:p>
            <w:pPr>
              <w:spacing w:after="40" w:before="40"/>
            </w:pPr>
            <w:r>
              <w:rPr>
                <w:rFonts w:ascii="Segoe UI" w:hAnsi="Segoe UI"/>
                <w:sz w:val="19"/>
              </w:rPr>
              <w:t>Funding, priorities, unblock</w:t>
            </w:r>
          </w:p>
        </w:tc>
      </w:tr>
      <w:tr>
        <w:tc>
          <w:tcPr>
            <w:tcW w:type="dxa" w:w="3456"/>
            <w:shd w:val="clear" w:fill="EEF1F7"/>
          </w:tcPr>
          <w:p>
            <w:pPr>
              <w:spacing w:after="40" w:before="40"/>
            </w:pPr>
            <w:r>
              <w:rPr>
                <w:rFonts w:ascii="Segoe UI" w:hAnsi="Segoe UI"/>
                <w:b/>
                <w:color w:val="121F3D"/>
                <w:sz w:val="19"/>
              </w:rPr>
              <w:t>AI product owner</w:t>
            </w:r>
          </w:p>
        </w:tc>
        <w:tc>
          <w:tcPr>
            <w:tcW w:type="dxa" w:w="5760"/>
            <w:shd w:val="clear" w:fill="EEF1F7"/>
          </w:tcPr>
          <w:p>
            <w:pPr>
              <w:spacing w:after="40" w:before="40"/>
            </w:pPr>
            <w:r>
              <w:rPr>
                <w:rFonts w:ascii="Segoe UI" w:hAnsi="Segoe UI"/>
                <w:sz w:val="19"/>
              </w:rPr>
              <w:t>Backlog, outcomes, adoption</w:t>
            </w:r>
          </w:p>
        </w:tc>
      </w:tr>
      <w:tr>
        <w:tc>
          <w:tcPr>
            <w:tcW w:type="dxa" w:w="3456"/>
          </w:tcPr>
          <w:p>
            <w:pPr>
              <w:spacing w:after="40" w:before="40"/>
            </w:pPr>
            <w:r>
              <w:rPr>
                <w:rFonts w:ascii="Segoe UI" w:hAnsi="Segoe UI"/>
                <w:b/>
                <w:color w:val="121F3D"/>
                <w:sz w:val="19"/>
              </w:rPr>
              <w:t>GenAI architect (lead)</w:t>
            </w:r>
          </w:p>
        </w:tc>
        <w:tc>
          <w:tcPr>
            <w:tcW w:type="dxa" w:w="5760"/>
          </w:tcPr>
          <w:p>
            <w:pPr>
              <w:spacing w:after="40" w:before="40"/>
            </w:pPr>
            <w:r>
              <w:rPr>
                <w:rFonts w:ascii="Segoe UI" w:hAnsi="Segoe UI"/>
                <w:sz w:val="19"/>
              </w:rPr>
              <w:t>Architecture, standards, review</w:t>
            </w:r>
          </w:p>
        </w:tc>
      </w:tr>
      <w:tr>
        <w:tc>
          <w:tcPr>
            <w:tcW w:type="dxa" w:w="3456"/>
            <w:shd w:val="clear" w:fill="EEF1F7"/>
          </w:tcPr>
          <w:p>
            <w:pPr>
              <w:spacing w:after="40" w:before="40"/>
            </w:pPr>
            <w:r>
              <w:rPr>
                <w:rFonts w:ascii="Segoe UI" w:hAnsi="Segoe UI"/>
                <w:b/>
                <w:color w:val="121F3D"/>
                <w:sz w:val="19"/>
              </w:rPr>
              <w:t>Prompt / agent engineers</w:t>
            </w:r>
          </w:p>
        </w:tc>
        <w:tc>
          <w:tcPr>
            <w:tcW w:type="dxa" w:w="5760"/>
            <w:shd w:val="clear" w:fill="EEF1F7"/>
          </w:tcPr>
          <w:p>
            <w:pPr>
              <w:spacing w:after="40" w:before="40"/>
            </w:pPr>
            <w:r>
              <w:rPr>
                <w:rFonts w:ascii="Segoe UI" w:hAnsi="Segoe UI"/>
                <w:sz w:val="19"/>
              </w:rPr>
              <w:t>Agent design and evaluation</w:t>
            </w:r>
          </w:p>
        </w:tc>
      </w:tr>
      <w:tr>
        <w:tc>
          <w:tcPr>
            <w:tcW w:type="dxa" w:w="3456"/>
          </w:tcPr>
          <w:p>
            <w:pPr>
              <w:spacing w:after="40" w:before="40"/>
            </w:pPr>
            <w:r>
              <w:rPr>
                <w:rFonts w:ascii="Segoe UI" w:hAnsi="Segoe UI"/>
                <w:b/>
                <w:color w:val="121F3D"/>
                <w:sz w:val="19"/>
              </w:rPr>
              <w:t>LLMOps / MLOps engineers</w:t>
            </w:r>
          </w:p>
        </w:tc>
        <w:tc>
          <w:tcPr>
            <w:tcW w:type="dxa" w:w="5760"/>
          </w:tcPr>
          <w:p>
            <w:pPr>
              <w:spacing w:after="40" w:before="40"/>
            </w:pPr>
            <w:r>
              <w:rPr>
                <w:rFonts w:ascii="Segoe UI" w:hAnsi="Segoe UI"/>
                <w:sz w:val="19"/>
              </w:rPr>
              <w:t>CI/CD, serving, observability</w:t>
            </w:r>
          </w:p>
        </w:tc>
      </w:tr>
      <w:tr>
        <w:tc>
          <w:tcPr>
            <w:tcW w:type="dxa" w:w="3456"/>
            <w:shd w:val="clear" w:fill="EEF1F7"/>
          </w:tcPr>
          <w:p>
            <w:pPr>
              <w:spacing w:after="40" w:before="40"/>
            </w:pPr>
            <w:r>
              <w:rPr>
                <w:rFonts w:ascii="Segoe UI" w:hAnsi="Segoe UI"/>
                <w:b/>
                <w:color w:val="121F3D"/>
                <w:sz w:val="19"/>
              </w:rPr>
              <w:t>Data engineers</w:t>
            </w:r>
          </w:p>
        </w:tc>
        <w:tc>
          <w:tcPr>
            <w:tcW w:type="dxa" w:w="5760"/>
            <w:shd w:val="clear" w:fill="EEF1F7"/>
          </w:tcPr>
          <w:p>
            <w:pPr>
              <w:spacing w:after="40" w:before="40"/>
            </w:pPr>
            <w:r>
              <w:rPr>
                <w:rFonts w:ascii="Segoe UI" w:hAnsi="Segoe UI"/>
                <w:sz w:val="19"/>
              </w:rPr>
              <w:t>Knowledge pipelines, RAG data</w:t>
            </w:r>
          </w:p>
        </w:tc>
      </w:tr>
      <w:tr>
        <w:tc>
          <w:tcPr>
            <w:tcW w:type="dxa" w:w="3456"/>
          </w:tcPr>
          <w:p>
            <w:pPr>
              <w:spacing w:after="40" w:before="40"/>
            </w:pPr>
            <w:r>
              <w:rPr>
                <w:rFonts w:ascii="Segoe UI" w:hAnsi="Segoe UI"/>
                <w:b/>
                <w:color w:val="121F3D"/>
                <w:sz w:val="19"/>
              </w:rPr>
              <w:t>RAI / governance officer</w:t>
            </w:r>
          </w:p>
        </w:tc>
        <w:tc>
          <w:tcPr>
            <w:tcW w:type="dxa" w:w="5760"/>
          </w:tcPr>
          <w:p>
            <w:pPr>
              <w:spacing w:after="40" w:before="40"/>
            </w:pPr>
            <w:r>
              <w:rPr>
                <w:rFonts w:ascii="Segoe UI" w:hAnsi="Segoe UI"/>
                <w:sz w:val="19"/>
              </w:rPr>
              <w:t>Risk tiering, audits, policy</w:t>
            </w:r>
          </w:p>
        </w:tc>
      </w:tr>
      <w:tr>
        <w:tc>
          <w:tcPr>
            <w:tcW w:type="dxa" w:w="3456"/>
            <w:shd w:val="clear" w:fill="EEF1F7"/>
          </w:tcPr>
          <w:p>
            <w:pPr>
              <w:spacing w:after="40" w:before="40"/>
            </w:pPr>
            <w:r>
              <w:rPr>
                <w:rFonts w:ascii="Segoe UI" w:hAnsi="Segoe UI"/>
                <w:b/>
                <w:color w:val="121F3D"/>
                <w:sz w:val="19"/>
              </w:rPr>
              <w:t>Security engineer</w:t>
            </w:r>
          </w:p>
        </w:tc>
        <w:tc>
          <w:tcPr>
            <w:tcW w:type="dxa" w:w="5760"/>
            <w:shd w:val="clear" w:fill="EEF1F7"/>
          </w:tcPr>
          <w:p>
            <w:pPr>
              <w:spacing w:after="40" w:before="40"/>
            </w:pPr>
            <w:r>
              <w:rPr>
                <w:rFonts w:ascii="Segoe UI" w:hAnsi="Segoe UI"/>
                <w:sz w:val="19"/>
              </w:rPr>
              <w:t>Identity, network, compliance</w:t>
            </w:r>
          </w:p>
        </w:tc>
      </w:tr>
    </w:tbl>
    <w:p>
      <w:pPr>
        <w:spacing w:after="80" w:before="0"/>
      </w:pPr>
    </w:p>
    <w:p>
      <w:pPr>
        <w:pStyle w:val="Heading1"/>
      </w:pPr>
      <w:r>
        <w:t>12. Implementation Roadmap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fill="1B3A6B"/>
          </w:tcPr>
          <w:p>
            <w:pPr>
              <w:spacing w:after="40" w:before="40"/>
            </w:pPr>
            <w:r>
              <w:rPr>
                <w:rFonts w:ascii="Segoe UI" w:hAnsi="Segoe UI"/>
                <w:b/>
                <w:color w:val="FFFFFF"/>
                <w:sz w:val="20"/>
              </w:rPr>
              <w:t>Phase</w:t>
            </w:r>
          </w:p>
        </w:tc>
        <w:tc>
          <w:tcPr>
            <w:tcW w:type="dxa" w:w="1440"/>
            <w:shd w:val="clear" w:fill="1B3A6B"/>
          </w:tcPr>
          <w:p>
            <w:pPr>
              <w:spacing w:after="40" w:before="40"/>
            </w:pPr>
            <w:r>
              <w:rPr>
                <w:rFonts w:ascii="Segoe UI" w:hAnsi="Segoe UI"/>
                <w:b/>
                <w:color w:val="FFFFFF"/>
                <w:sz w:val="20"/>
              </w:rPr>
              <w:t>Timing</w:t>
            </w:r>
          </w:p>
        </w:tc>
        <w:tc>
          <w:tcPr>
            <w:tcW w:type="dxa" w:w="4176"/>
            <w:shd w:val="clear" w:fill="1B3A6B"/>
          </w:tcPr>
          <w:p>
            <w:pPr>
              <w:spacing w:after="40" w:before="40"/>
            </w:pPr>
            <w:r>
              <w:rPr>
                <w:rFonts w:ascii="Segoe UI" w:hAnsi="Segoe UI"/>
                <w:b/>
                <w:color w:val="FFFFFF"/>
                <w:sz w:val="20"/>
              </w:rPr>
              <w:t>Focus &amp; key deliverables</w:t>
            </w:r>
          </w:p>
        </w:tc>
        <w:tc>
          <w:tcPr>
            <w:tcW w:type="dxa" w:w="2304"/>
            <w:shd w:val="clear" w:fill="1B3A6B"/>
          </w:tcPr>
          <w:p>
            <w:pPr>
              <w:spacing w:after="40" w:before="40"/>
            </w:pPr>
            <w:r>
              <w:rPr>
                <w:rFonts w:ascii="Segoe UI" w:hAnsi="Segoe UI"/>
                <w:b/>
                <w:color w:val="FFFFFF"/>
                <w:sz w:val="20"/>
              </w:rPr>
              <w:t>Exit criteria</w:t>
            </w:r>
          </w:p>
        </w:tc>
      </w:tr>
      <w:tr>
        <w:tc>
          <w:tcPr>
            <w:tcW w:type="dxa" w:w="1872"/>
          </w:tcPr>
          <w:p>
            <w:pPr>
              <w:spacing w:after="40" w:before="40"/>
            </w:pPr>
            <w:r>
              <w:rPr>
                <w:rFonts w:ascii="Segoe UI" w:hAnsi="Segoe UI"/>
                <w:b/>
                <w:color w:val="121F3D"/>
                <w:sz w:val="19"/>
              </w:rPr>
              <w:t>Phase 0</w:t>
            </w:r>
          </w:p>
        </w:tc>
        <w:tc>
          <w:tcPr>
            <w:tcW w:type="dxa" w:w="1440"/>
          </w:tcPr>
          <w:p>
            <w:pPr>
              <w:spacing w:after="40" w:before="40"/>
            </w:pPr>
            <w:r>
              <w:rPr>
                <w:rFonts w:ascii="Segoe UI" w:hAnsi="Segoe UI"/>
                <w:sz w:val="19"/>
              </w:rPr>
              <w:t>Weeks 0–4</w:t>
            </w:r>
          </w:p>
        </w:tc>
        <w:tc>
          <w:tcPr>
            <w:tcW w:type="dxa" w:w="4176"/>
          </w:tcPr>
          <w:p>
            <w:pPr>
              <w:spacing w:after="40" w:before="40"/>
            </w:pPr>
            <w:r>
              <w:rPr>
                <w:rFonts w:ascii="Segoe UI" w:hAnsi="Segoe UI"/>
                <w:sz w:val="19"/>
              </w:rPr>
              <w:t>Landing zone, security baseline, use-case intake, metrics, data access</w:t>
            </w:r>
          </w:p>
        </w:tc>
        <w:tc>
          <w:tcPr>
            <w:tcW w:type="dxa" w:w="2304"/>
          </w:tcPr>
          <w:p>
            <w:pPr>
              <w:spacing w:after="40" w:before="40"/>
            </w:pPr>
            <w:r>
              <w:rPr>
                <w:rFonts w:ascii="Segoe UI" w:hAnsi="Segoe UI"/>
                <w:sz w:val="19"/>
              </w:rPr>
              <w:t>Foundations live; pilots scoped</w:t>
            </w:r>
          </w:p>
        </w:tc>
      </w:tr>
      <w:tr>
        <w:tc>
          <w:tcPr>
            <w:tcW w:type="dxa" w:w="1872"/>
            <w:shd w:val="clear" w:fill="EEF1F7"/>
          </w:tcPr>
          <w:p>
            <w:pPr>
              <w:spacing w:after="40" w:before="40"/>
            </w:pPr>
            <w:r>
              <w:rPr>
                <w:rFonts w:ascii="Segoe UI" w:hAnsi="Segoe UI"/>
                <w:b/>
                <w:color w:val="121F3D"/>
                <w:sz w:val="19"/>
              </w:rPr>
              <w:t>Phase 1 · Crawl</w:t>
            </w:r>
          </w:p>
        </w:tc>
        <w:tc>
          <w:tcPr>
            <w:tcW w:type="dxa" w:w="1440"/>
            <w:shd w:val="clear" w:fill="EEF1F7"/>
          </w:tcPr>
          <w:p>
            <w:pPr>
              <w:spacing w:after="40" w:before="40"/>
            </w:pPr>
            <w:r>
              <w:rPr>
                <w:rFonts w:ascii="Segoe UI" w:hAnsi="Segoe UI"/>
                <w:sz w:val="19"/>
              </w:rPr>
              <w:t>Months 1–3</w:t>
            </w:r>
          </w:p>
        </w:tc>
        <w:tc>
          <w:tcPr>
            <w:tcW w:type="dxa" w:w="4176"/>
            <w:shd w:val="clear" w:fill="EEF1F7"/>
          </w:tcPr>
          <w:p>
            <w:pPr>
              <w:spacing w:after="40" w:before="40"/>
            </w:pPr>
            <w:r>
              <w:rPr>
                <w:rFonts w:ascii="Segoe UI" w:hAnsi="Segoe UI"/>
                <w:sz w:val="19"/>
              </w:rPr>
              <w:t>Agent-assist copilot + HR screening pilots; eval harness; observability baseline</w:t>
            </w:r>
          </w:p>
        </w:tc>
        <w:tc>
          <w:tcPr>
            <w:tcW w:type="dxa" w:w="2304"/>
            <w:shd w:val="clear" w:fill="EEF1F7"/>
          </w:tcPr>
          <w:p>
            <w:pPr>
              <w:spacing w:after="40" w:before="40"/>
            </w:pPr>
            <w:r>
              <w:rPr>
                <w:rFonts w:ascii="Segoe UI" w:hAnsi="Segoe UI"/>
                <w:sz w:val="19"/>
              </w:rPr>
              <w:t>Pilots show measurable value</w:t>
            </w:r>
          </w:p>
        </w:tc>
      </w:tr>
      <w:tr>
        <w:tc>
          <w:tcPr>
            <w:tcW w:type="dxa" w:w="1872"/>
          </w:tcPr>
          <w:p>
            <w:pPr>
              <w:spacing w:after="40" w:before="40"/>
            </w:pPr>
            <w:r>
              <w:rPr>
                <w:rFonts w:ascii="Segoe UI" w:hAnsi="Segoe UI"/>
                <w:b/>
                <w:color w:val="121F3D"/>
                <w:sz w:val="19"/>
              </w:rPr>
              <w:t>Phase 2 · Walk</w:t>
            </w:r>
          </w:p>
        </w:tc>
        <w:tc>
          <w:tcPr>
            <w:tcW w:type="dxa" w:w="1440"/>
          </w:tcPr>
          <w:p>
            <w:pPr>
              <w:spacing w:after="40" w:before="40"/>
            </w:pPr>
            <w:r>
              <w:rPr>
                <w:rFonts w:ascii="Segoe UI" w:hAnsi="Segoe UI"/>
                <w:sz w:val="19"/>
              </w:rPr>
              <w:t>Months 4–7</w:t>
            </w:r>
          </w:p>
        </w:tc>
        <w:tc>
          <w:tcPr>
            <w:tcW w:type="dxa" w:w="4176"/>
          </w:tcPr>
          <w:p>
            <w:pPr>
              <w:spacing w:after="40" w:before="40"/>
            </w:pPr>
            <w:r>
              <w:rPr>
                <w:rFonts w:ascii="Segoe UI" w:hAnsi="Segoe UI"/>
                <w:sz w:val="19"/>
              </w:rPr>
              <w:t>Autonomous voice (scoped); HR voice pre-screen + scheduling; online eval; FinOps; CoE stood up</w:t>
            </w:r>
          </w:p>
        </w:tc>
        <w:tc>
          <w:tcPr>
            <w:tcW w:type="dxa" w:w="2304"/>
          </w:tcPr>
          <w:p>
            <w:pPr>
              <w:spacing w:after="40" w:before="40"/>
            </w:pPr>
            <w:r>
              <w:rPr>
                <w:rFonts w:ascii="Segoe UI" w:hAnsi="Segoe UI"/>
                <w:sz w:val="19"/>
              </w:rPr>
              <w:t>Production use at scale in ≥1 program</w:t>
            </w:r>
          </w:p>
        </w:tc>
      </w:tr>
      <w:tr>
        <w:tc>
          <w:tcPr>
            <w:tcW w:type="dxa" w:w="1872"/>
            <w:shd w:val="clear" w:fill="EEF1F7"/>
          </w:tcPr>
          <w:p>
            <w:pPr>
              <w:spacing w:after="40" w:before="40"/>
            </w:pPr>
            <w:r>
              <w:rPr>
                <w:rFonts w:ascii="Segoe UI" w:hAnsi="Segoe UI"/>
                <w:b/>
                <w:color w:val="121F3D"/>
                <w:sz w:val="19"/>
              </w:rPr>
              <w:t>Phase 3 · Run</w:t>
            </w:r>
          </w:p>
        </w:tc>
        <w:tc>
          <w:tcPr>
            <w:tcW w:type="dxa" w:w="1440"/>
            <w:shd w:val="clear" w:fill="EEF1F7"/>
          </w:tcPr>
          <w:p>
            <w:pPr>
              <w:spacing w:after="40" w:before="40"/>
            </w:pPr>
            <w:r>
              <w:rPr>
                <w:rFonts w:ascii="Segoe UI" w:hAnsi="Segoe UI"/>
                <w:sz w:val="19"/>
              </w:rPr>
              <w:t>Months 8–12</w:t>
            </w:r>
          </w:p>
        </w:tc>
        <w:tc>
          <w:tcPr>
            <w:tcW w:type="dxa" w:w="4176"/>
            <w:shd w:val="clear" w:fill="EEF1F7"/>
          </w:tcPr>
          <w:p>
            <w:pPr>
              <w:spacing w:after="40" w:before="40"/>
            </w:pPr>
            <w:r>
              <w:rPr>
                <w:rFonts w:ascii="Segoe UI" w:hAnsi="Segoe UI"/>
                <w:sz w:val="19"/>
              </w:rPr>
              <w:t>Multiple programs/geos; add subrogation &amp; QA analytics; full governance, DR</w:t>
            </w:r>
          </w:p>
        </w:tc>
        <w:tc>
          <w:tcPr>
            <w:tcW w:type="dxa" w:w="2304"/>
            <w:shd w:val="clear" w:fill="EEF1F7"/>
          </w:tcPr>
          <w:p>
            <w:pPr>
              <w:spacing w:after="40" w:before="40"/>
            </w:pPr>
            <w:r>
              <w:rPr>
                <w:rFonts w:ascii="Segoe UI" w:hAnsi="Segoe UI"/>
                <w:sz w:val="19"/>
              </w:rPr>
              <w:t>Enterprise scale; improvement flywheel running</w:t>
            </w:r>
          </w:p>
        </w:tc>
      </w:tr>
    </w:tbl>
    <w:p>
      <w:pPr>
        <w:spacing w:after="80" w:before="0"/>
      </w:pPr>
    </w:p>
    <w:p>
      <w:pPr>
        <w:spacing w:after="120" w:before="0"/>
      </w:pPr>
      <w:r>
        <w:rPr>
          <w:rFonts w:ascii="Segoe UI" w:hAnsi="Segoe UI"/>
          <w:b w:val="0"/>
          <w:i w:val="0"/>
          <w:sz w:val="21"/>
        </w:rPr>
        <w:t>Value is delivered from Phase 1 onward; each phase has explicit exit criteria before the next begins.</w:t>
      </w:r>
    </w:p>
    <w:p>
      <w:pPr>
        <w:pStyle w:val="Heading1"/>
      </w:pPr>
      <w:r>
        <w:t>13. Business Case &amp; ROI</w:t>
      </w:r>
    </w:p>
    <w:p>
      <w:pPr>
        <w:spacing w:after="120" w:before="0"/>
      </w:pPr>
      <w:r>
        <w:rPr>
          <w:rFonts w:ascii="Segoe UI" w:hAnsi="Segoe UI"/>
          <w:b w:val="0"/>
          <w:i/>
          <w:sz w:val="21"/>
        </w:rPr>
        <w:t>The value comes from a small number of well-understood levers. All figures below are illustrative placeholders, to be replaced with Afni's actual volumes, rates and cost structure during Phase 0 discovery.</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fill="1B3A6B"/>
          </w:tcPr>
          <w:p>
            <w:pPr>
              <w:spacing w:after="40" w:before="40"/>
            </w:pPr>
            <w:r>
              <w:rPr>
                <w:rFonts w:ascii="Segoe UI" w:hAnsi="Segoe UI"/>
                <w:b/>
                <w:color w:val="FFFFFF"/>
                <w:sz w:val="20"/>
              </w:rPr>
              <w:t>Value lever</w:t>
            </w:r>
          </w:p>
        </w:tc>
        <w:tc>
          <w:tcPr>
            <w:tcW w:type="dxa" w:w="1872"/>
            <w:shd w:val="clear" w:fill="1B3A6B"/>
          </w:tcPr>
          <w:p>
            <w:pPr>
              <w:spacing w:after="40" w:before="40"/>
            </w:pPr>
            <w:r>
              <w:rPr>
                <w:rFonts w:ascii="Segoe UI" w:hAnsi="Segoe UI"/>
                <w:b/>
                <w:color w:val="FFFFFF"/>
                <w:sz w:val="20"/>
              </w:rPr>
              <w:t>Use case</w:t>
            </w:r>
          </w:p>
        </w:tc>
        <w:tc>
          <w:tcPr>
            <w:tcW w:type="dxa" w:w="3888"/>
            <w:shd w:val="clear" w:fill="1B3A6B"/>
          </w:tcPr>
          <w:p>
            <w:pPr>
              <w:spacing w:after="40" w:before="40"/>
            </w:pPr>
            <w:r>
              <w:rPr>
                <w:rFonts w:ascii="Segoe UI" w:hAnsi="Segoe UI"/>
                <w:b/>
                <w:color w:val="FFFFFF"/>
                <w:sz w:val="20"/>
              </w:rPr>
              <w:t>Illustrative impact</w:t>
            </w:r>
          </w:p>
        </w:tc>
      </w:tr>
      <w:tr>
        <w:tc>
          <w:tcPr>
            <w:tcW w:type="dxa" w:w="3456"/>
          </w:tcPr>
          <w:p>
            <w:pPr>
              <w:spacing w:after="40" w:before="40"/>
            </w:pPr>
            <w:r>
              <w:rPr>
                <w:rFonts w:ascii="Segoe UI" w:hAnsi="Segoe UI"/>
                <w:b/>
                <w:color w:val="121F3D"/>
                <w:sz w:val="19"/>
              </w:rPr>
              <w:t>Call containment / deflection</w:t>
            </w:r>
          </w:p>
        </w:tc>
        <w:tc>
          <w:tcPr>
            <w:tcW w:type="dxa" w:w="1872"/>
          </w:tcPr>
          <w:p>
            <w:pPr>
              <w:spacing w:after="40" w:before="40"/>
            </w:pPr>
            <w:r>
              <w:rPr>
                <w:rFonts w:ascii="Segoe UI" w:hAnsi="Segoe UI"/>
                <w:sz w:val="19"/>
              </w:rPr>
              <w:t>Voice AI</w:t>
            </w:r>
          </w:p>
        </w:tc>
        <w:tc>
          <w:tcPr>
            <w:tcW w:type="dxa" w:w="3888"/>
          </w:tcPr>
          <w:p>
            <w:pPr>
              <w:spacing w:after="40" w:before="40"/>
            </w:pPr>
            <w:r>
              <w:rPr>
                <w:rFonts w:ascii="Segoe UI" w:hAnsi="Segoe UI"/>
                <w:sz w:val="19"/>
              </w:rPr>
              <w:t>20–40% of eligible calls automated</w:t>
            </w:r>
          </w:p>
        </w:tc>
      </w:tr>
      <w:tr>
        <w:tc>
          <w:tcPr>
            <w:tcW w:type="dxa" w:w="3456"/>
            <w:shd w:val="clear" w:fill="EEF1F7"/>
          </w:tcPr>
          <w:p>
            <w:pPr>
              <w:spacing w:after="40" w:before="40"/>
            </w:pPr>
            <w:r>
              <w:rPr>
                <w:rFonts w:ascii="Segoe UI" w:hAnsi="Segoe UI"/>
                <w:b/>
                <w:color w:val="121F3D"/>
                <w:sz w:val="19"/>
              </w:rPr>
              <w:t>AHT reduction (agent-assist)</w:t>
            </w:r>
          </w:p>
        </w:tc>
        <w:tc>
          <w:tcPr>
            <w:tcW w:type="dxa" w:w="1872"/>
            <w:shd w:val="clear" w:fill="EEF1F7"/>
          </w:tcPr>
          <w:p>
            <w:pPr>
              <w:spacing w:after="40" w:before="40"/>
            </w:pPr>
            <w:r>
              <w:rPr>
                <w:rFonts w:ascii="Segoe UI" w:hAnsi="Segoe UI"/>
                <w:sz w:val="19"/>
              </w:rPr>
              <w:t>Voice AI</w:t>
            </w:r>
          </w:p>
        </w:tc>
        <w:tc>
          <w:tcPr>
            <w:tcW w:type="dxa" w:w="3888"/>
            <w:shd w:val="clear" w:fill="EEF1F7"/>
          </w:tcPr>
          <w:p>
            <w:pPr>
              <w:spacing w:after="40" w:before="40"/>
            </w:pPr>
            <w:r>
              <w:rPr>
                <w:rFonts w:ascii="Segoe UI" w:hAnsi="Segoe UI"/>
                <w:sz w:val="19"/>
              </w:rPr>
              <w:t>15–25% shorter handle time</w:t>
            </w:r>
          </w:p>
        </w:tc>
      </w:tr>
      <w:tr>
        <w:tc>
          <w:tcPr>
            <w:tcW w:type="dxa" w:w="3456"/>
          </w:tcPr>
          <w:p>
            <w:pPr>
              <w:spacing w:after="40" w:before="40"/>
            </w:pPr>
            <w:r>
              <w:rPr>
                <w:rFonts w:ascii="Segoe UI" w:hAnsi="Segoe UI"/>
                <w:b/>
                <w:color w:val="121F3D"/>
                <w:sz w:val="19"/>
              </w:rPr>
              <w:t>QA coverage</w:t>
            </w:r>
          </w:p>
        </w:tc>
        <w:tc>
          <w:tcPr>
            <w:tcW w:type="dxa" w:w="1872"/>
          </w:tcPr>
          <w:p>
            <w:pPr>
              <w:spacing w:after="40" w:before="40"/>
            </w:pPr>
            <w:r>
              <w:rPr>
                <w:rFonts w:ascii="Segoe UI" w:hAnsi="Segoe UI"/>
                <w:sz w:val="19"/>
              </w:rPr>
              <w:t>Voice AI</w:t>
            </w:r>
          </w:p>
        </w:tc>
        <w:tc>
          <w:tcPr>
            <w:tcW w:type="dxa" w:w="3888"/>
          </w:tcPr>
          <w:p>
            <w:pPr>
              <w:spacing w:after="40" w:before="40"/>
            </w:pPr>
            <w:r>
              <w:rPr>
                <w:rFonts w:ascii="Segoe UI" w:hAnsi="Segoe UI"/>
                <w:sz w:val="19"/>
              </w:rPr>
              <w:t>From ~5% sampled to 100%</w:t>
            </w:r>
          </w:p>
        </w:tc>
      </w:tr>
      <w:tr>
        <w:tc>
          <w:tcPr>
            <w:tcW w:type="dxa" w:w="3456"/>
            <w:shd w:val="clear" w:fill="EEF1F7"/>
          </w:tcPr>
          <w:p>
            <w:pPr>
              <w:spacing w:after="40" w:before="40"/>
            </w:pPr>
            <w:r>
              <w:rPr>
                <w:rFonts w:ascii="Segoe UI" w:hAnsi="Segoe UI"/>
                <w:b/>
                <w:color w:val="121F3D"/>
                <w:sz w:val="19"/>
              </w:rPr>
              <w:t>Recruiter screening effort</w:t>
            </w:r>
          </w:p>
        </w:tc>
        <w:tc>
          <w:tcPr>
            <w:tcW w:type="dxa" w:w="1872"/>
            <w:shd w:val="clear" w:fill="EEF1F7"/>
          </w:tcPr>
          <w:p>
            <w:pPr>
              <w:spacing w:after="40" w:before="40"/>
            </w:pPr>
            <w:r>
              <w:rPr>
                <w:rFonts w:ascii="Segoe UI" w:hAnsi="Segoe UI"/>
                <w:sz w:val="19"/>
              </w:rPr>
              <w:t>HR</w:t>
            </w:r>
          </w:p>
        </w:tc>
        <w:tc>
          <w:tcPr>
            <w:tcW w:type="dxa" w:w="3888"/>
            <w:shd w:val="clear" w:fill="EEF1F7"/>
          </w:tcPr>
          <w:p>
            <w:pPr>
              <w:spacing w:after="40" w:before="40"/>
            </w:pPr>
            <w:r>
              <w:rPr>
                <w:rFonts w:ascii="Segoe UI" w:hAnsi="Segoe UI"/>
                <w:sz w:val="19"/>
              </w:rPr>
              <w:t>30–50% fewer manual hours</w:t>
            </w:r>
          </w:p>
        </w:tc>
      </w:tr>
      <w:tr>
        <w:tc>
          <w:tcPr>
            <w:tcW w:type="dxa" w:w="3456"/>
          </w:tcPr>
          <w:p>
            <w:pPr>
              <w:spacing w:after="40" w:before="40"/>
            </w:pPr>
            <w:r>
              <w:rPr>
                <w:rFonts w:ascii="Segoe UI" w:hAnsi="Segoe UI"/>
                <w:b/>
                <w:color w:val="121F3D"/>
                <w:sz w:val="19"/>
              </w:rPr>
              <w:t>Time-to-fill &amp; cost-per-hire</w:t>
            </w:r>
          </w:p>
        </w:tc>
        <w:tc>
          <w:tcPr>
            <w:tcW w:type="dxa" w:w="1872"/>
          </w:tcPr>
          <w:p>
            <w:pPr>
              <w:spacing w:after="40" w:before="40"/>
            </w:pPr>
            <w:r>
              <w:rPr>
                <w:rFonts w:ascii="Segoe UI" w:hAnsi="Segoe UI"/>
                <w:sz w:val="19"/>
              </w:rPr>
              <w:t>HR</w:t>
            </w:r>
          </w:p>
        </w:tc>
        <w:tc>
          <w:tcPr>
            <w:tcW w:type="dxa" w:w="3888"/>
          </w:tcPr>
          <w:p>
            <w:pPr>
              <w:spacing w:after="40" w:before="40"/>
            </w:pPr>
            <w:r>
              <w:rPr>
                <w:rFonts w:ascii="Segoe UI" w:hAnsi="Segoe UI"/>
                <w:sz w:val="19"/>
              </w:rPr>
              <w:t>Both materially reduced</w:t>
            </w:r>
          </w:p>
        </w:tc>
      </w:tr>
      <w:tr>
        <w:tc>
          <w:tcPr>
            <w:tcW w:type="dxa" w:w="3456"/>
            <w:shd w:val="clear" w:fill="EEF1F7"/>
          </w:tcPr>
          <w:p>
            <w:pPr>
              <w:spacing w:after="40" w:before="40"/>
            </w:pPr>
            <w:r>
              <w:rPr>
                <w:rFonts w:ascii="Segoe UI" w:hAnsi="Segoe UI"/>
                <w:b/>
                <w:color w:val="121F3D"/>
                <w:sz w:val="19"/>
              </w:rPr>
              <w:t>Attrition (better matching)</w:t>
            </w:r>
          </w:p>
        </w:tc>
        <w:tc>
          <w:tcPr>
            <w:tcW w:type="dxa" w:w="1872"/>
            <w:shd w:val="clear" w:fill="EEF1F7"/>
          </w:tcPr>
          <w:p>
            <w:pPr>
              <w:spacing w:after="40" w:before="40"/>
            </w:pPr>
            <w:r>
              <w:rPr>
                <w:rFonts w:ascii="Segoe UI" w:hAnsi="Segoe UI"/>
                <w:sz w:val="19"/>
              </w:rPr>
              <w:t>HR</w:t>
            </w:r>
          </w:p>
        </w:tc>
        <w:tc>
          <w:tcPr>
            <w:tcW w:type="dxa" w:w="3888"/>
            <w:shd w:val="clear" w:fill="EEF1F7"/>
          </w:tcPr>
          <w:p>
            <w:pPr>
              <w:spacing w:after="40" w:before="40"/>
            </w:pPr>
            <w:r>
              <w:rPr>
                <w:rFonts w:ascii="Segoe UI" w:hAnsi="Segoe UI"/>
                <w:sz w:val="19"/>
              </w:rPr>
              <w:t>Lower 90-day attrition</w:t>
            </w:r>
          </w:p>
        </w:tc>
      </w:tr>
    </w:tbl>
    <w:p>
      <w:pPr>
        <w:spacing w:after="80" w:before="0"/>
      </w:pPr>
    </w:p>
    <w:p>
      <w:pPr>
        <w:spacing w:after="120" w:before="0"/>
      </w:pPr>
      <w:r>
        <w:rPr>
          <w:rFonts w:ascii="Segoe UI" w:hAnsi="Segoe UI"/>
          <w:b/>
          <w:i w:val="0"/>
          <w:color w:val="121F3D"/>
          <w:sz w:val="21"/>
        </w:rPr>
        <w:t>Illustrative payback: 9–15 months, driven primarily by containment and recruiter-time savings, with QA coverage and attrition as compounding benefits. Under Afni's Gainshare model, efficiency gains improve shared margin directly.</w:t>
      </w:r>
    </w:p>
    <w:p>
      <w:pPr>
        <w:pStyle w:val="Heading1"/>
      </w:pPr>
      <w:r>
        <w:t>14. Risks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1B3A6B"/>
          </w:tcPr>
          <w:p>
            <w:pPr>
              <w:spacing w:after="40" w:before="40"/>
            </w:pPr>
            <w:r>
              <w:rPr>
                <w:rFonts w:ascii="Segoe UI" w:hAnsi="Segoe UI"/>
                <w:b/>
                <w:color w:val="FFFFFF"/>
                <w:sz w:val="20"/>
              </w:rPr>
              <w:t>Risk</w:t>
            </w:r>
          </w:p>
        </w:tc>
        <w:tc>
          <w:tcPr>
            <w:tcW w:type="dxa" w:w="1584"/>
            <w:shd w:val="clear" w:fill="1B3A6B"/>
          </w:tcPr>
          <w:p>
            <w:pPr>
              <w:spacing w:after="40" w:before="40"/>
            </w:pPr>
            <w:r>
              <w:rPr>
                <w:rFonts w:ascii="Segoe UI" w:hAnsi="Segoe UI"/>
                <w:b/>
                <w:color w:val="FFFFFF"/>
                <w:sz w:val="20"/>
              </w:rPr>
              <w:t>Category</w:t>
            </w:r>
          </w:p>
        </w:tc>
        <w:tc>
          <w:tcPr>
            <w:tcW w:type="dxa" w:w="4464"/>
            <w:shd w:val="clear" w:fill="1B3A6B"/>
          </w:tcPr>
          <w:p>
            <w:pPr>
              <w:spacing w:after="40" w:before="40"/>
            </w:pPr>
            <w:r>
              <w:rPr>
                <w:rFonts w:ascii="Segoe UI" w:hAnsi="Segoe UI"/>
                <w:b/>
                <w:color w:val="FFFFFF"/>
                <w:sz w:val="20"/>
              </w:rPr>
              <w:t>Mitigation</w:t>
            </w:r>
          </w:p>
        </w:tc>
      </w:tr>
      <w:tr>
        <w:tc>
          <w:tcPr>
            <w:tcW w:type="dxa" w:w="3168"/>
          </w:tcPr>
          <w:p>
            <w:pPr>
              <w:spacing w:after="40" w:before="40"/>
            </w:pPr>
            <w:r>
              <w:rPr>
                <w:rFonts w:ascii="Segoe UI" w:hAnsi="Segoe UI"/>
                <w:b/>
                <w:color w:val="121F3D"/>
                <w:sz w:val="19"/>
              </w:rPr>
              <w:t>Hallucination / wrong answers</w:t>
            </w:r>
          </w:p>
        </w:tc>
        <w:tc>
          <w:tcPr>
            <w:tcW w:type="dxa" w:w="1584"/>
          </w:tcPr>
          <w:p>
            <w:pPr>
              <w:spacing w:after="40" w:before="40"/>
            </w:pPr>
            <w:r>
              <w:rPr>
                <w:rFonts w:ascii="Segoe UI" w:hAnsi="Segoe UI"/>
                <w:sz w:val="19"/>
              </w:rPr>
              <w:t>Model/quality</w:t>
            </w:r>
          </w:p>
        </w:tc>
        <w:tc>
          <w:tcPr>
            <w:tcW w:type="dxa" w:w="4464"/>
          </w:tcPr>
          <w:p>
            <w:pPr>
              <w:spacing w:after="40" w:before="40"/>
            </w:pPr>
            <w:r>
              <w:rPr>
                <w:rFonts w:ascii="Segoe UI" w:hAnsi="Segoe UI"/>
                <w:sz w:val="19"/>
              </w:rPr>
              <w:t>RAG grounding, groundedness gates, HITL, guardrails</w:t>
            </w:r>
          </w:p>
        </w:tc>
      </w:tr>
      <w:tr>
        <w:tc>
          <w:tcPr>
            <w:tcW w:type="dxa" w:w="3168"/>
            <w:shd w:val="clear" w:fill="EEF1F7"/>
          </w:tcPr>
          <w:p>
            <w:pPr>
              <w:spacing w:after="40" w:before="40"/>
            </w:pPr>
            <w:r>
              <w:rPr>
                <w:rFonts w:ascii="Segoe UI" w:hAnsi="Segoe UI"/>
                <w:b/>
                <w:color w:val="121F3D"/>
                <w:sz w:val="19"/>
              </w:rPr>
              <w:t>Compliance breach (TCPA/PCI/EEOC)</w:t>
            </w:r>
          </w:p>
        </w:tc>
        <w:tc>
          <w:tcPr>
            <w:tcW w:type="dxa" w:w="1584"/>
            <w:shd w:val="clear" w:fill="EEF1F7"/>
          </w:tcPr>
          <w:p>
            <w:pPr>
              <w:spacing w:after="40" w:before="40"/>
            </w:pPr>
            <w:r>
              <w:rPr>
                <w:rFonts w:ascii="Segoe UI" w:hAnsi="Segoe UI"/>
                <w:sz w:val="19"/>
              </w:rPr>
              <w:t>Legal</w:t>
            </w:r>
          </w:p>
        </w:tc>
        <w:tc>
          <w:tcPr>
            <w:tcW w:type="dxa" w:w="4464"/>
            <w:shd w:val="clear" w:fill="EEF1F7"/>
          </w:tcPr>
          <w:p>
            <w:pPr>
              <w:spacing w:after="40" w:before="40"/>
            </w:pPr>
            <w:r>
              <w:rPr>
                <w:rFonts w:ascii="Segoe UI" w:hAnsi="Segoe UI"/>
                <w:sz w:val="19"/>
              </w:rPr>
              <w:t>Compliance agent, risk-tiering, bias audits, legal sign-off</w:t>
            </w:r>
          </w:p>
        </w:tc>
      </w:tr>
      <w:tr>
        <w:tc>
          <w:tcPr>
            <w:tcW w:type="dxa" w:w="3168"/>
          </w:tcPr>
          <w:p>
            <w:pPr>
              <w:spacing w:after="40" w:before="40"/>
            </w:pPr>
            <w:r>
              <w:rPr>
                <w:rFonts w:ascii="Segoe UI" w:hAnsi="Segoe UI"/>
                <w:b/>
                <w:color w:val="121F3D"/>
                <w:sz w:val="19"/>
              </w:rPr>
              <w:t>Runaway token cost</w:t>
            </w:r>
          </w:p>
        </w:tc>
        <w:tc>
          <w:tcPr>
            <w:tcW w:type="dxa" w:w="1584"/>
          </w:tcPr>
          <w:p>
            <w:pPr>
              <w:spacing w:after="40" w:before="40"/>
            </w:pPr>
            <w:r>
              <w:rPr>
                <w:rFonts w:ascii="Segoe UI" w:hAnsi="Segoe UI"/>
                <w:sz w:val="19"/>
              </w:rPr>
              <w:t>Cost</w:t>
            </w:r>
          </w:p>
        </w:tc>
        <w:tc>
          <w:tcPr>
            <w:tcW w:type="dxa" w:w="4464"/>
          </w:tcPr>
          <w:p>
            <w:pPr>
              <w:spacing w:after="40" w:before="40"/>
            </w:pPr>
            <w:r>
              <w:rPr>
                <w:rFonts w:ascii="Segoe UI" w:hAnsi="Segoe UI"/>
                <w:sz w:val="19"/>
              </w:rPr>
              <w:t>APIM metering, right-sizing, caching, budget alerts</w:t>
            </w:r>
          </w:p>
        </w:tc>
      </w:tr>
      <w:tr>
        <w:tc>
          <w:tcPr>
            <w:tcW w:type="dxa" w:w="3168"/>
            <w:shd w:val="clear" w:fill="EEF1F7"/>
          </w:tcPr>
          <w:p>
            <w:pPr>
              <w:spacing w:after="40" w:before="40"/>
            </w:pPr>
            <w:r>
              <w:rPr>
                <w:rFonts w:ascii="Segoe UI" w:hAnsi="Segoe UI"/>
                <w:b/>
                <w:color w:val="121F3D"/>
                <w:sz w:val="19"/>
              </w:rPr>
              <w:t>Quality regression on change</w:t>
            </w:r>
          </w:p>
        </w:tc>
        <w:tc>
          <w:tcPr>
            <w:tcW w:type="dxa" w:w="1584"/>
            <w:shd w:val="clear" w:fill="EEF1F7"/>
          </w:tcPr>
          <w:p>
            <w:pPr>
              <w:spacing w:after="40" w:before="40"/>
            </w:pPr>
            <w:r>
              <w:rPr>
                <w:rFonts w:ascii="Segoe UI" w:hAnsi="Segoe UI"/>
                <w:sz w:val="19"/>
              </w:rPr>
              <w:t>Delivery</w:t>
            </w:r>
          </w:p>
        </w:tc>
        <w:tc>
          <w:tcPr>
            <w:tcW w:type="dxa" w:w="4464"/>
            <w:shd w:val="clear" w:fill="EEF1F7"/>
          </w:tcPr>
          <w:p>
            <w:pPr>
              <w:spacing w:after="40" w:before="40"/>
            </w:pPr>
            <w:r>
              <w:rPr>
                <w:rFonts w:ascii="Segoe UI" w:hAnsi="Segoe UI"/>
                <w:sz w:val="19"/>
              </w:rPr>
              <w:t>Golden-set regression gates, canary + rollback</w:t>
            </w:r>
          </w:p>
        </w:tc>
      </w:tr>
      <w:tr>
        <w:tc>
          <w:tcPr>
            <w:tcW w:type="dxa" w:w="3168"/>
          </w:tcPr>
          <w:p>
            <w:pPr>
              <w:spacing w:after="40" w:before="40"/>
            </w:pPr>
            <w:r>
              <w:rPr>
                <w:rFonts w:ascii="Segoe UI" w:hAnsi="Segoe UI"/>
                <w:b/>
                <w:color w:val="121F3D"/>
                <w:sz w:val="19"/>
              </w:rPr>
              <w:t>Low adoption / change fatigue</w:t>
            </w:r>
          </w:p>
        </w:tc>
        <w:tc>
          <w:tcPr>
            <w:tcW w:type="dxa" w:w="1584"/>
          </w:tcPr>
          <w:p>
            <w:pPr>
              <w:spacing w:after="40" w:before="40"/>
            </w:pPr>
            <w:r>
              <w:rPr>
                <w:rFonts w:ascii="Segoe UI" w:hAnsi="Segoe UI"/>
                <w:sz w:val="19"/>
              </w:rPr>
              <w:t>Adoption</w:t>
            </w:r>
          </w:p>
        </w:tc>
        <w:tc>
          <w:tcPr>
            <w:tcW w:type="dxa" w:w="4464"/>
          </w:tcPr>
          <w:p>
            <w:pPr>
              <w:spacing w:after="40" w:before="40"/>
            </w:pPr>
            <w:r>
              <w:rPr>
                <w:rFonts w:ascii="Segoe UI" w:hAnsi="Segoe UI"/>
                <w:sz w:val="19"/>
              </w:rPr>
              <w:t>Copilot-first, agent involvement, enablement, clear ROI</w:t>
            </w:r>
          </w:p>
        </w:tc>
      </w:tr>
      <w:tr>
        <w:tc>
          <w:tcPr>
            <w:tcW w:type="dxa" w:w="3168"/>
            <w:shd w:val="clear" w:fill="EEF1F7"/>
          </w:tcPr>
          <w:p>
            <w:pPr>
              <w:spacing w:after="40" w:before="40"/>
            </w:pPr>
            <w:r>
              <w:rPr>
                <w:rFonts w:ascii="Segoe UI" w:hAnsi="Segoe UI"/>
                <w:b/>
                <w:color w:val="121F3D"/>
                <w:sz w:val="19"/>
              </w:rPr>
              <w:t>Vendor / model lock-in</w:t>
            </w:r>
          </w:p>
        </w:tc>
        <w:tc>
          <w:tcPr>
            <w:tcW w:type="dxa" w:w="1584"/>
            <w:shd w:val="clear" w:fill="EEF1F7"/>
          </w:tcPr>
          <w:p>
            <w:pPr>
              <w:spacing w:after="40" w:before="40"/>
            </w:pPr>
            <w:r>
              <w:rPr>
                <w:rFonts w:ascii="Segoe UI" w:hAnsi="Segoe UI"/>
                <w:sz w:val="19"/>
              </w:rPr>
              <w:t>Strategic</w:t>
            </w:r>
          </w:p>
        </w:tc>
        <w:tc>
          <w:tcPr>
            <w:tcW w:type="dxa" w:w="4464"/>
            <w:shd w:val="clear" w:fill="EEF1F7"/>
          </w:tcPr>
          <w:p>
            <w:pPr>
              <w:spacing w:after="40" w:before="40"/>
            </w:pPr>
            <w:r>
              <w:rPr>
                <w:rFonts w:ascii="Segoe UI" w:hAnsi="Segoe UI"/>
                <w:sz w:val="19"/>
              </w:rPr>
              <w:t>Gateway abstraction, model catalog, portable orchestration</w:t>
            </w:r>
          </w:p>
        </w:tc>
      </w:tr>
      <w:tr>
        <w:tc>
          <w:tcPr>
            <w:tcW w:type="dxa" w:w="3168"/>
          </w:tcPr>
          <w:p>
            <w:pPr>
              <w:spacing w:after="40" w:before="40"/>
            </w:pPr>
            <w:r>
              <w:rPr>
                <w:rFonts w:ascii="Segoe UI" w:hAnsi="Segoe UI"/>
                <w:b/>
                <w:color w:val="121F3D"/>
                <w:sz w:val="19"/>
              </w:rPr>
              <w:t>Data leakage / prompt injection</w:t>
            </w:r>
          </w:p>
        </w:tc>
        <w:tc>
          <w:tcPr>
            <w:tcW w:type="dxa" w:w="1584"/>
          </w:tcPr>
          <w:p>
            <w:pPr>
              <w:spacing w:after="40" w:before="40"/>
            </w:pPr>
            <w:r>
              <w:rPr>
                <w:rFonts w:ascii="Segoe UI" w:hAnsi="Segoe UI"/>
                <w:sz w:val="19"/>
              </w:rPr>
              <w:t>Security</w:t>
            </w:r>
          </w:p>
        </w:tc>
        <w:tc>
          <w:tcPr>
            <w:tcW w:type="dxa" w:w="4464"/>
          </w:tcPr>
          <w:p>
            <w:pPr>
              <w:spacing w:after="40" w:before="40"/>
            </w:pPr>
            <w:r>
              <w:rPr>
                <w:rFonts w:ascii="Segoe UI" w:hAnsi="Segoe UI"/>
                <w:sz w:val="19"/>
              </w:rPr>
              <w:t>Private networking, Content Safety, prompt shields, DLP</w:t>
            </w:r>
          </w:p>
        </w:tc>
      </w:tr>
    </w:tbl>
    <w:p>
      <w:pPr>
        <w:spacing w:after="80" w:before="0"/>
      </w:pPr>
    </w:p>
    <w:p>
      <w:pPr>
        <w:pStyle w:val="Heading1"/>
      </w:pPr>
      <w:r>
        <w:t>15. Recommendation &amp; Next Steps</w:t>
      </w:r>
    </w:p>
    <w:p>
      <w:pPr>
        <w:spacing w:after="120" w:before="0"/>
      </w:pPr>
      <w:r>
        <w:rPr>
          <w:rFonts w:ascii="Segoe UI" w:hAnsi="Segoe UI"/>
          <w:b/>
          <w:i w:val="0"/>
          <w:color w:val="121F3D"/>
          <w:sz w:val="21"/>
        </w:rPr>
        <w:t>Approve a four-week Phase 0 to lock the foundations and launch the initial pilots.</w:t>
      </w:r>
    </w:p>
    <w:p>
      <w:pPr>
        <w:pStyle w:val="ListBullet"/>
        <w:spacing w:after="60"/>
      </w:pPr>
      <w:r>
        <w:rPr>
          <w:rFonts w:ascii="Segoe UI" w:hAnsi="Segoe UI"/>
          <w:b/>
          <w:sz w:val="21"/>
        </w:rPr>
        <w:t xml:space="preserve">1.  </w:t>
      </w:r>
      <w:r>
        <w:rPr>
          <w:rFonts w:ascii="Segoe UI" w:hAnsi="Segoe UI"/>
          <w:sz w:val="21"/>
        </w:rPr>
        <w:t>Confirm the two flagship use cases and success metrics with Operations and HR leaders.</w:t>
      </w:r>
    </w:p>
    <w:p>
      <w:pPr>
        <w:pStyle w:val="ListBullet"/>
        <w:spacing w:after="60"/>
      </w:pPr>
      <w:r>
        <w:rPr>
          <w:rFonts w:ascii="Segoe UI" w:hAnsi="Segoe UI"/>
          <w:b/>
          <w:sz w:val="21"/>
        </w:rPr>
        <w:t xml:space="preserve">2.  </w:t>
      </w:r>
      <w:r>
        <w:rPr>
          <w:rFonts w:ascii="Segoe UI" w:hAnsi="Segoe UI"/>
          <w:sz w:val="21"/>
        </w:rPr>
        <w:t>Stand up the Azure landing zone, security baseline and guardrail policy.</w:t>
      </w:r>
    </w:p>
    <w:p>
      <w:pPr>
        <w:pStyle w:val="ListBullet"/>
        <w:spacing w:after="60"/>
      </w:pPr>
      <w:r>
        <w:rPr>
          <w:rFonts w:ascii="Segoe UI" w:hAnsi="Segoe UI"/>
          <w:b/>
          <w:sz w:val="21"/>
        </w:rPr>
        <w:t xml:space="preserve">3.  </w:t>
      </w:r>
      <w:r>
        <w:rPr>
          <w:rFonts w:ascii="Segoe UI" w:hAnsi="Segoe UI"/>
          <w:sz w:val="21"/>
        </w:rPr>
        <w:t>Run use-case intake and risk-tiering; secure data access.</w:t>
      </w:r>
    </w:p>
    <w:p>
      <w:pPr>
        <w:pStyle w:val="ListBullet"/>
        <w:spacing w:after="60"/>
      </w:pPr>
      <w:r>
        <w:rPr>
          <w:rFonts w:ascii="Segoe UI" w:hAnsi="Segoe UI"/>
          <w:b/>
          <w:sz w:val="21"/>
        </w:rPr>
        <w:t xml:space="preserve">4.  </w:t>
      </w:r>
      <w:r>
        <w:rPr>
          <w:rFonts w:ascii="Segoe UI" w:hAnsi="Segoe UI"/>
          <w:sz w:val="21"/>
        </w:rPr>
        <w:t>Launch the agent-assist copilot and HR-screening pilots in Phase 1.</w:t>
      </w:r>
    </w:p>
    <w:p>
      <w:pPr>
        <w:spacing w:after="120" w:before="0"/>
      </w:pPr>
    </w:p>
    <w:p>
      <w:pPr>
        <w:spacing w:after="120" w:before="0"/>
        <w:jc w:val="center"/>
      </w:pPr>
      <w:r>
        <w:rPr>
          <w:rFonts w:ascii="Segoe UI" w:hAnsi="Segoe UI"/>
          <w:b w:val="0"/>
          <w:i/>
          <w:color w:val="505A6A"/>
          <w:sz w:val="18"/>
        </w:rPr>
        <w:t>Evoke Technologies · GenAI Architecture Practice — prepared for Afni, Inc. Confidential.</w:t>
      </w:r>
    </w:p>
    <w:sectPr w:rsidR="00FC693F" w:rsidRPr="0006063C" w:rsidSect="00034616">
      <w:footerReference w:type="default" r:id="rId9"/>
      <w:pgSz w:w="12240" w:h="15840"/>
      <w:pgMar w:top="1296"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05A6A"/>
        <w:sz w:val="16"/>
      </w:rPr>
      <w:t xml:space="preserve">Evoke Technologies  ·  Enterprise LLMOps for Afni  ·  Confidential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Segoe UI" w:hAnsi="Segoe UI"/>
      <w:color w:val="22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Segoe UI" w:hAnsi="Segoe UI"/>
      <w:b/>
      <w:bCs/>
      <w:color w:val="121F3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Segoe UI" w:hAnsi="Segoe UI"/>
      <w:b/>
      <w:bCs/>
      <w:color w:val="1B3A6B"/>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Segoe UI" w:hAnsi="Segoe UI"/>
      <w:b/>
      <w:bCs/>
      <w:color w:val="007A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