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Times New Roman" w:hAnsi="Times New Roman"/>
          <w:b/>
          <w:color w:val="000000"/>
          <w:sz w:val="28"/>
        </w:rPr>
        <w:t>EXPLORATORY DATA ANALYSIS REPORT: EDUCATION ANALYTICS</w:t>
      </w:r>
    </w:p>
    <w:p>
      <w:pPr>
        <w:spacing w:line="360" w:lineRule="auto" w:after="120" w:before="0"/>
        <w:jc w:val="both"/>
      </w:pPr>
      <w:r>
        <w:rPr>
          <w:rFonts w:ascii="Times New Roman" w:hAnsi="Times New Roman"/>
          <w:b/>
          <w:color w:val="000000"/>
          <w:sz w:val="28"/>
        </w:rPr>
        <w:t>1. Raw Dataset Presentation</w:t>
      </w:r>
    </w:p>
    <w:p>
      <w:pPr>
        <w:spacing w:line="360" w:lineRule="auto" w:after="120" w:before="0"/>
        <w:jc w:val="both"/>
      </w:pPr>
      <w:r>
        <w:rPr>
          <w:rFonts w:ascii="Times New Roman" w:hAnsi="Times New Roman"/>
          <w:b w:val="0"/>
          <w:color w:val="000000"/>
          <w:sz w:val="24"/>
        </w:rPr>
        <w:t>The following table represents the complete source dataset collected by the college to analyze individual student academic tracks based on behavioral and assessment indicators:</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color w:val="000000"/>
                <w:sz w:val="24"/>
              </w:rPr>
              <w:t>Student_ID</w:t>
            </w:r>
          </w:p>
        </w:tc>
        <w:tc>
          <w:tcPr>
            <w:tcW w:type="dxa" w:w="1872"/>
          </w:tcPr>
          <w:p>
            <w:pPr>
              <w:jc w:val="center"/>
            </w:pPr>
            <w:r>
              <w:rPr>
                <w:rFonts w:ascii="Times New Roman" w:hAnsi="Times New Roman"/>
                <w:b/>
                <w:color w:val="000000"/>
                <w:sz w:val="24"/>
              </w:rPr>
              <w:t>Attendance</w:t>
            </w:r>
          </w:p>
        </w:tc>
        <w:tc>
          <w:tcPr>
            <w:tcW w:type="dxa" w:w="1872"/>
          </w:tcPr>
          <w:p>
            <w:pPr>
              <w:jc w:val="center"/>
            </w:pPr>
            <w:r>
              <w:rPr>
                <w:rFonts w:ascii="Times New Roman" w:hAnsi="Times New Roman"/>
                <w:b/>
                <w:color w:val="000000"/>
                <w:sz w:val="24"/>
              </w:rPr>
              <w:t>Study_Hours</w:t>
            </w:r>
          </w:p>
        </w:tc>
        <w:tc>
          <w:tcPr>
            <w:tcW w:type="dxa" w:w="1872"/>
          </w:tcPr>
          <w:p>
            <w:pPr>
              <w:jc w:val="center"/>
            </w:pPr>
            <w:r>
              <w:rPr>
                <w:rFonts w:ascii="Times New Roman" w:hAnsi="Times New Roman"/>
                <w:b/>
                <w:color w:val="000000"/>
                <w:sz w:val="24"/>
              </w:rPr>
              <w:t>Internal_Marks</w:t>
            </w:r>
          </w:p>
        </w:tc>
        <w:tc>
          <w:tcPr>
            <w:tcW w:type="dxa" w:w="1872"/>
          </w:tcPr>
          <w:p>
            <w:pPr>
              <w:jc w:val="center"/>
            </w:pPr>
            <w:r>
              <w:rPr>
                <w:rFonts w:ascii="Times New Roman" w:hAnsi="Times New Roman"/>
                <w:b/>
                <w:color w:val="000000"/>
                <w:sz w:val="24"/>
              </w:rPr>
              <w:t>Result</w:t>
            </w:r>
          </w:p>
        </w:tc>
      </w:tr>
      <w:tr>
        <w:tc>
          <w:tcPr>
            <w:tcW w:type="dxa" w:w="1872"/>
          </w:tcPr>
          <w:p>
            <w:pPr>
              <w:jc w:val="center"/>
            </w:pPr>
            <w:r>
              <w:rPr>
                <w:rFonts w:ascii="Times New Roman" w:hAnsi="Times New Roman"/>
                <w:color w:val="000000"/>
                <w:sz w:val="24"/>
              </w:rPr>
              <w:t>S01</w:t>
            </w:r>
          </w:p>
        </w:tc>
        <w:tc>
          <w:tcPr>
            <w:tcW w:type="dxa" w:w="1872"/>
          </w:tcPr>
          <w:p>
            <w:pPr>
              <w:jc w:val="center"/>
            </w:pPr>
            <w:r>
              <w:rPr>
                <w:rFonts w:ascii="Times New Roman" w:hAnsi="Times New Roman"/>
                <w:color w:val="000000"/>
                <w:sz w:val="24"/>
              </w:rPr>
              <w:t>92</w:t>
            </w:r>
          </w:p>
        </w:tc>
        <w:tc>
          <w:tcPr>
            <w:tcW w:type="dxa" w:w="1872"/>
          </w:tcPr>
          <w:p>
            <w:pPr>
              <w:jc w:val="center"/>
            </w:pPr>
            <w:r>
              <w:rPr>
                <w:rFonts w:ascii="Times New Roman" w:hAnsi="Times New Roman"/>
                <w:color w:val="000000"/>
                <w:sz w:val="24"/>
              </w:rPr>
              <w:t>5</w:t>
            </w:r>
          </w:p>
        </w:tc>
        <w:tc>
          <w:tcPr>
            <w:tcW w:type="dxa" w:w="1872"/>
          </w:tcPr>
          <w:p>
            <w:pPr>
              <w:jc w:val="center"/>
            </w:pPr>
            <w:r>
              <w:rPr>
                <w:rFonts w:ascii="Times New Roman" w:hAnsi="Times New Roman"/>
                <w:color w:val="000000"/>
                <w:sz w:val="24"/>
              </w:rPr>
              <w:t>45</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S02</w:t>
            </w:r>
          </w:p>
        </w:tc>
        <w:tc>
          <w:tcPr>
            <w:tcW w:type="dxa" w:w="1872"/>
          </w:tcPr>
          <w:p>
            <w:pPr>
              <w:jc w:val="center"/>
            </w:pPr>
            <w:r>
              <w:rPr>
                <w:rFonts w:ascii="Times New Roman" w:hAnsi="Times New Roman"/>
                <w:color w:val="000000"/>
                <w:sz w:val="24"/>
              </w:rPr>
              <w:t>55</w:t>
            </w:r>
          </w:p>
        </w:tc>
        <w:tc>
          <w:tcPr>
            <w:tcW w:type="dxa" w:w="1872"/>
          </w:tcPr>
          <w:p>
            <w:pPr>
              <w:jc w:val="center"/>
            </w:pPr>
            <w:r>
              <w:rPr>
                <w:rFonts w:ascii="Times New Roman" w:hAnsi="Times New Roman"/>
                <w:color w:val="000000"/>
                <w:sz w:val="24"/>
              </w:rPr>
              <w:t>2</w:t>
            </w:r>
          </w:p>
        </w:tc>
        <w:tc>
          <w:tcPr>
            <w:tcW w:type="dxa" w:w="1872"/>
          </w:tcPr>
          <w:p>
            <w:pPr>
              <w:jc w:val="center"/>
            </w:pPr>
            <w:r>
              <w:rPr>
                <w:rFonts w:ascii="Times New Roman" w:hAnsi="Times New Roman"/>
                <w:color w:val="000000"/>
                <w:sz w:val="24"/>
              </w:rPr>
              <w:t>24</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S03</w:t>
            </w:r>
          </w:p>
        </w:tc>
        <w:tc>
          <w:tcPr>
            <w:tcW w:type="dxa" w:w="1872"/>
          </w:tcPr>
          <w:p>
            <w:pPr>
              <w:jc w:val="center"/>
            </w:pPr>
            <w:r>
              <w:rPr>
                <w:rFonts w:ascii="Times New Roman" w:hAnsi="Times New Roman"/>
                <w:color w:val="000000"/>
                <w:sz w:val="24"/>
              </w:rPr>
              <w:t>78</w:t>
            </w:r>
          </w:p>
        </w:tc>
        <w:tc>
          <w:tcPr>
            <w:tcW w:type="dxa" w:w="1872"/>
          </w:tcPr>
          <w:p>
            <w:pPr>
              <w:jc w:val="center"/>
            </w:pPr>
            <w:r>
              <w:rPr>
                <w:rFonts w:ascii="Times New Roman" w:hAnsi="Times New Roman"/>
                <w:color w:val="000000"/>
                <w:sz w:val="24"/>
              </w:rPr>
              <w:t>4</w:t>
            </w:r>
          </w:p>
        </w:tc>
        <w:tc>
          <w:tcPr>
            <w:tcW w:type="dxa" w:w="1872"/>
          </w:tcPr>
          <w:p>
            <w:pPr>
              <w:jc w:val="center"/>
            </w:pPr>
            <w:r>
              <w:rPr>
                <w:rFonts w:ascii="Times New Roman" w:hAnsi="Times New Roman"/>
                <w:color w:val="000000"/>
                <w:sz w:val="24"/>
              </w:rPr>
              <w:t>38</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S04</w:t>
            </w:r>
          </w:p>
        </w:tc>
        <w:tc>
          <w:tcPr>
            <w:tcW w:type="dxa" w:w="1872"/>
          </w:tcPr>
          <w:p>
            <w:pPr>
              <w:jc w:val="center"/>
            </w:pPr>
            <w:r>
              <w:rPr>
                <w:rFonts w:ascii="Times New Roman" w:hAnsi="Times New Roman"/>
                <w:color w:val="000000"/>
                <w:sz w:val="24"/>
              </w:rPr>
              <w:t>60</w:t>
            </w:r>
          </w:p>
        </w:tc>
        <w:tc>
          <w:tcPr>
            <w:tcW w:type="dxa" w:w="1872"/>
          </w:tcPr>
          <w:p>
            <w:pPr>
              <w:jc w:val="center"/>
            </w:pPr>
            <w:r>
              <w:rPr>
                <w:rFonts w:ascii="Times New Roman" w:hAnsi="Times New Roman"/>
                <w:color w:val="000000"/>
                <w:sz w:val="24"/>
              </w:rPr>
              <w:t>3</w:t>
            </w:r>
          </w:p>
        </w:tc>
        <w:tc>
          <w:tcPr>
            <w:tcW w:type="dxa" w:w="1872"/>
          </w:tcPr>
          <w:p>
            <w:pPr>
              <w:jc w:val="center"/>
            </w:pPr>
            <w:r>
              <w:rPr>
                <w:rFonts w:ascii="Times New Roman" w:hAnsi="Times New Roman"/>
                <w:color w:val="000000"/>
                <w:sz w:val="24"/>
              </w:rPr>
              <w:t>28</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S05</w:t>
            </w:r>
          </w:p>
        </w:tc>
        <w:tc>
          <w:tcPr>
            <w:tcW w:type="dxa" w:w="1872"/>
          </w:tcPr>
          <w:p>
            <w:pPr>
              <w:jc w:val="center"/>
            </w:pPr>
            <w:r>
              <w:rPr>
                <w:rFonts w:ascii="Times New Roman" w:hAnsi="Times New Roman"/>
                <w:color w:val="000000"/>
                <w:sz w:val="24"/>
              </w:rPr>
              <w:t>88</w:t>
            </w:r>
          </w:p>
        </w:tc>
        <w:tc>
          <w:tcPr>
            <w:tcW w:type="dxa" w:w="1872"/>
          </w:tcPr>
          <w:p>
            <w:pPr>
              <w:jc w:val="center"/>
            </w:pPr>
            <w:r>
              <w:rPr>
                <w:rFonts w:ascii="Times New Roman" w:hAnsi="Times New Roman"/>
                <w:color w:val="000000"/>
                <w:sz w:val="24"/>
              </w:rPr>
              <w:t>5</w:t>
            </w:r>
          </w:p>
        </w:tc>
        <w:tc>
          <w:tcPr>
            <w:tcW w:type="dxa" w:w="1872"/>
          </w:tcPr>
          <w:p>
            <w:pPr>
              <w:jc w:val="center"/>
            </w:pPr>
            <w:r>
              <w:rPr>
                <w:rFonts w:ascii="Times New Roman" w:hAnsi="Times New Roman"/>
                <w:color w:val="000000"/>
                <w:sz w:val="24"/>
              </w:rPr>
              <w:t>42</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S06</w:t>
            </w:r>
          </w:p>
        </w:tc>
        <w:tc>
          <w:tcPr>
            <w:tcW w:type="dxa" w:w="1872"/>
          </w:tcPr>
          <w:p>
            <w:pPr>
              <w:jc w:val="center"/>
            </w:pPr>
            <w:r>
              <w:rPr>
                <w:rFonts w:ascii="Times New Roman" w:hAnsi="Times New Roman"/>
                <w:color w:val="000000"/>
                <w:sz w:val="24"/>
              </w:rPr>
              <w:t>47</w:t>
            </w:r>
          </w:p>
        </w:tc>
        <w:tc>
          <w:tcPr>
            <w:tcW w:type="dxa" w:w="1872"/>
          </w:tcPr>
          <w:p>
            <w:pPr>
              <w:jc w:val="center"/>
            </w:pPr>
            <w:r>
              <w:rPr>
                <w:rFonts w:ascii="Times New Roman" w:hAnsi="Times New Roman"/>
                <w:color w:val="000000"/>
                <w:sz w:val="24"/>
              </w:rPr>
              <w:t>1</w:t>
            </w:r>
          </w:p>
        </w:tc>
        <w:tc>
          <w:tcPr>
            <w:tcW w:type="dxa" w:w="1872"/>
          </w:tcPr>
          <w:p>
            <w:pPr>
              <w:jc w:val="center"/>
            </w:pPr>
            <w:r>
              <w:rPr>
                <w:rFonts w:ascii="Times New Roman" w:hAnsi="Times New Roman"/>
                <w:color w:val="000000"/>
                <w:sz w:val="24"/>
              </w:rPr>
              <w:t>20</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S07</w:t>
            </w:r>
          </w:p>
        </w:tc>
        <w:tc>
          <w:tcPr>
            <w:tcW w:type="dxa" w:w="1872"/>
          </w:tcPr>
          <w:p>
            <w:pPr>
              <w:jc w:val="center"/>
            </w:pPr>
            <w:r>
              <w:rPr>
                <w:rFonts w:ascii="Times New Roman" w:hAnsi="Times New Roman"/>
                <w:color w:val="000000"/>
                <w:sz w:val="24"/>
              </w:rPr>
              <w:t>95</w:t>
            </w:r>
          </w:p>
        </w:tc>
        <w:tc>
          <w:tcPr>
            <w:tcW w:type="dxa" w:w="1872"/>
          </w:tcPr>
          <w:p>
            <w:pPr>
              <w:jc w:val="center"/>
            </w:pPr>
            <w:r>
              <w:rPr>
                <w:rFonts w:ascii="Times New Roman" w:hAnsi="Times New Roman"/>
                <w:color w:val="000000"/>
                <w:sz w:val="24"/>
              </w:rPr>
              <w:t>6</w:t>
            </w:r>
          </w:p>
        </w:tc>
        <w:tc>
          <w:tcPr>
            <w:tcW w:type="dxa" w:w="1872"/>
          </w:tcPr>
          <w:p>
            <w:pPr>
              <w:jc w:val="center"/>
            </w:pPr>
            <w:r>
              <w:rPr>
                <w:rFonts w:ascii="Times New Roman" w:hAnsi="Times New Roman"/>
                <w:color w:val="000000"/>
                <w:sz w:val="24"/>
              </w:rPr>
              <w:t>48</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S08</w:t>
            </w:r>
          </w:p>
        </w:tc>
        <w:tc>
          <w:tcPr>
            <w:tcW w:type="dxa" w:w="1872"/>
          </w:tcPr>
          <w:p>
            <w:pPr>
              <w:jc w:val="center"/>
            </w:pPr>
            <w:r>
              <w:rPr>
                <w:rFonts w:ascii="Times New Roman" w:hAnsi="Times New Roman"/>
                <w:color w:val="000000"/>
                <w:sz w:val="24"/>
              </w:rPr>
              <w:t>72</w:t>
            </w:r>
          </w:p>
        </w:tc>
        <w:tc>
          <w:tcPr>
            <w:tcW w:type="dxa" w:w="1872"/>
          </w:tcPr>
          <w:p>
            <w:pPr>
              <w:jc w:val="center"/>
            </w:pPr>
            <w:r>
              <w:rPr>
                <w:rFonts w:ascii="Times New Roman" w:hAnsi="Times New Roman"/>
                <w:color w:val="000000"/>
                <w:sz w:val="24"/>
              </w:rPr>
              <w:t>3</w:t>
            </w:r>
          </w:p>
        </w:tc>
        <w:tc>
          <w:tcPr>
            <w:tcW w:type="dxa" w:w="1872"/>
          </w:tcPr>
          <w:p>
            <w:pPr>
              <w:jc w:val="center"/>
            </w:pPr>
            <w:r>
              <w:rPr>
                <w:rFonts w:ascii="Times New Roman" w:hAnsi="Times New Roman"/>
                <w:color w:val="000000"/>
                <w:sz w:val="24"/>
              </w:rPr>
              <w:t>35</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S09</w:t>
            </w:r>
          </w:p>
        </w:tc>
        <w:tc>
          <w:tcPr>
            <w:tcW w:type="dxa" w:w="1872"/>
          </w:tcPr>
          <w:p>
            <w:pPr>
              <w:jc w:val="center"/>
            </w:pPr>
            <w:r>
              <w:rPr>
                <w:rFonts w:ascii="Times New Roman" w:hAnsi="Times New Roman"/>
                <w:color w:val="000000"/>
                <w:sz w:val="24"/>
              </w:rPr>
              <w:t>50</w:t>
            </w:r>
          </w:p>
        </w:tc>
        <w:tc>
          <w:tcPr>
            <w:tcW w:type="dxa" w:w="1872"/>
          </w:tcPr>
          <w:p>
            <w:pPr>
              <w:jc w:val="center"/>
            </w:pPr>
            <w:r>
              <w:rPr>
                <w:rFonts w:ascii="Times New Roman" w:hAnsi="Times New Roman"/>
                <w:color w:val="000000"/>
                <w:sz w:val="24"/>
              </w:rPr>
              <w:t>2</w:t>
            </w:r>
          </w:p>
        </w:tc>
        <w:tc>
          <w:tcPr>
            <w:tcW w:type="dxa" w:w="1872"/>
          </w:tcPr>
          <w:p>
            <w:pPr>
              <w:jc w:val="center"/>
            </w:pPr>
            <w:r>
              <w:rPr>
                <w:rFonts w:ascii="Times New Roman" w:hAnsi="Times New Roman"/>
                <w:color w:val="000000"/>
                <w:sz w:val="24"/>
              </w:rPr>
              <w:t>22</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S10</w:t>
            </w:r>
          </w:p>
        </w:tc>
        <w:tc>
          <w:tcPr>
            <w:tcW w:type="dxa" w:w="1872"/>
          </w:tcPr>
          <w:p>
            <w:pPr>
              <w:jc w:val="center"/>
            </w:pPr>
            <w:r>
              <w:rPr>
                <w:rFonts w:ascii="Times New Roman" w:hAnsi="Times New Roman"/>
                <w:color w:val="000000"/>
                <w:sz w:val="24"/>
              </w:rPr>
              <w:t>83</w:t>
            </w:r>
          </w:p>
        </w:tc>
        <w:tc>
          <w:tcPr>
            <w:tcW w:type="dxa" w:w="1872"/>
          </w:tcPr>
          <w:p>
            <w:pPr>
              <w:jc w:val="center"/>
            </w:pPr>
            <w:r>
              <w:rPr>
                <w:rFonts w:ascii="Times New Roman" w:hAnsi="Times New Roman"/>
                <w:color w:val="000000"/>
                <w:sz w:val="24"/>
              </w:rPr>
              <w:t>4</w:t>
            </w:r>
          </w:p>
        </w:tc>
        <w:tc>
          <w:tcPr>
            <w:tcW w:type="dxa" w:w="1872"/>
          </w:tcPr>
          <w:p>
            <w:pPr>
              <w:jc w:val="center"/>
            </w:pPr>
            <w:r>
              <w:rPr>
                <w:rFonts w:ascii="Times New Roman" w:hAnsi="Times New Roman"/>
                <w:color w:val="000000"/>
                <w:sz w:val="24"/>
              </w:rPr>
              <w:t>40</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S11</w:t>
            </w:r>
          </w:p>
        </w:tc>
        <w:tc>
          <w:tcPr>
            <w:tcW w:type="dxa" w:w="1872"/>
          </w:tcPr>
          <w:p>
            <w:pPr>
              <w:jc w:val="center"/>
            </w:pPr>
            <w:r>
              <w:rPr>
                <w:rFonts w:ascii="Times New Roman" w:hAnsi="Times New Roman"/>
                <w:color w:val="000000"/>
                <w:sz w:val="24"/>
              </w:rPr>
              <w:t>66</w:t>
            </w:r>
          </w:p>
        </w:tc>
        <w:tc>
          <w:tcPr>
            <w:tcW w:type="dxa" w:w="1872"/>
          </w:tcPr>
          <w:p>
            <w:pPr>
              <w:jc w:val="center"/>
            </w:pPr>
            <w:r>
              <w:rPr>
                <w:rFonts w:ascii="Times New Roman" w:hAnsi="Times New Roman"/>
                <w:color w:val="000000"/>
                <w:sz w:val="24"/>
              </w:rPr>
              <w:t>3</w:t>
            </w:r>
          </w:p>
        </w:tc>
        <w:tc>
          <w:tcPr>
            <w:tcW w:type="dxa" w:w="1872"/>
          </w:tcPr>
          <w:p>
            <w:pPr>
              <w:jc w:val="center"/>
            </w:pPr>
            <w:r>
              <w:rPr>
                <w:rFonts w:ascii="Times New Roman" w:hAnsi="Times New Roman"/>
                <w:color w:val="000000"/>
                <w:sz w:val="24"/>
              </w:rPr>
              <w:t>30</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S12</w:t>
            </w:r>
          </w:p>
        </w:tc>
        <w:tc>
          <w:tcPr>
            <w:tcW w:type="dxa" w:w="1872"/>
          </w:tcPr>
          <w:p>
            <w:pPr>
              <w:jc w:val="center"/>
            </w:pPr>
            <w:r>
              <w:rPr>
                <w:rFonts w:ascii="Times New Roman" w:hAnsi="Times New Roman"/>
                <w:color w:val="000000"/>
                <w:sz w:val="24"/>
              </w:rPr>
              <w:t>90</w:t>
            </w:r>
          </w:p>
        </w:tc>
        <w:tc>
          <w:tcPr>
            <w:tcW w:type="dxa" w:w="1872"/>
          </w:tcPr>
          <w:p>
            <w:pPr>
              <w:jc w:val="center"/>
            </w:pPr>
            <w:r>
              <w:rPr>
                <w:rFonts w:ascii="Times New Roman" w:hAnsi="Times New Roman"/>
                <w:color w:val="000000"/>
                <w:sz w:val="24"/>
              </w:rPr>
              <w:t>5</w:t>
            </w:r>
          </w:p>
        </w:tc>
        <w:tc>
          <w:tcPr>
            <w:tcW w:type="dxa" w:w="1872"/>
          </w:tcPr>
          <w:p>
            <w:pPr>
              <w:jc w:val="center"/>
            </w:pPr>
            <w:r>
              <w:rPr>
                <w:rFonts w:ascii="Times New Roman" w:hAnsi="Times New Roman"/>
                <w:color w:val="000000"/>
                <w:sz w:val="24"/>
              </w:rPr>
              <w:t>44</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S13</w:t>
            </w:r>
          </w:p>
        </w:tc>
        <w:tc>
          <w:tcPr>
            <w:tcW w:type="dxa" w:w="1872"/>
          </w:tcPr>
          <w:p>
            <w:pPr>
              <w:jc w:val="center"/>
            </w:pPr>
            <w:r>
              <w:rPr>
                <w:rFonts w:ascii="Times New Roman" w:hAnsi="Times New Roman"/>
                <w:color w:val="000000"/>
                <w:sz w:val="24"/>
              </w:rPr>
              <w:t>58</w:t>
            </w:r>
          </w:p>
        </w:tc>
        <w:tc>
          <w:tcPr>
            <w:tcW w:type="dxa" w:w="1872"/>
          </w:tcPr>
          <w:p>
            <w:pPr>
              <w:jc w:val="center"/>
            </w:pPr>
            <w:r>
              <w:rPr>
                <w:rFonts w:ascii="Times New Roman" w:hAnsi="Times New Roman"/>
                <w:color w:val="000000"/>
                <w:sz w:val="24"/>
              </w:rPr>
              <w:t>2</w:t>
            </w:r>
          </w:p>
        </w:tc>
        <w:tc>
          <w:tcPr>
            <w:tcW w:type="dxa" w:w="1872"/>
          </w:tcPr>
          <w:p>
            <w:pPr>
              <w:jc w:val="center"/>
            </w:pPr>
            <w:r>
              <w:rPr>
                <w:rFonts w:ascii="Times New Roman" w:hAnsi="Times New Roman"/>
                <w:color w:val="000000"/>
                <w:sz w:val="24"/>
              </w:rPr>
              <w:t>25</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S14</w:t>
            </w:r>
          </w:p>
        </w:tc>
        <w:tc>
          <w:tcPr>
            <w:tcW w:type="dxa" w:w="1872"/>
          </w:tcPr>
          <w:p>
            <w:pPr>
              <w:jc w:val="center"/>
            </w:pPr>
            <w:r>
              <w:rPr>
                <w:rFonts w:ascii="Times New Roman" w:hAnsi="Times New Roman"/>
                <w:color w:val="000000"/>
                <w:sz w:val="24"/>
              </w:rPr>
              <w:t>76</w:t>
            </w:r>
          </w:p>
        </w:tc>
        <w:tc>
          <w:tcPr>
            <w:tcW w:type="dxa" w:w="1872"/>
          </w:tcPr>
          <w:p>
            <w:pPr>
              <w:jc w:val="center"/>
            </w:pPr>
            <w:r>
              <w:rPr>
                <w:rFonts w:ascii="Times New Roman" w:hAnsi="Times New Roman"/>
                <w:color w:val="000000"/>
                <w:sz w:val="24"/>
              </w:rPr>
              <w:t>4</w:t>
            </w:r>
          </w:p>
        </w:tc>
        <w:tc>
          <w:tcPr>
            <w:tcW w:type="dxa" w:w="1872"/>
          </w:tcPr>
          <w:p>
            <w:pPr>
              <w:jc w:val="center"/>
            </w:pPr>
            <w:r>
              <w:rPr>
                <w:rFonts w:ascii="Times New Roman" w:hAnsi="Times New Roman"/>
                <w:color w:val="000000"/>
                <w:sz w:val="24"/>
              </w:rPr>
              <w:t>36</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S15</w:t>
            </w:r>
          </w:p>
        </w:tc>
        <w:tc>
          <w:tcPr>
            <w:tcW w:type="dxa" w:w="1872"/>
          </w:tcPr>
          <w:p>
            <w:pPr>
              <w:jc w:val="center"/>
            </w:pPr>
            <w:r>
              <w:rPr>
                <w:rFonts w:ascii="Times New Roman" w:hAnsi="Times New Roman"/>
                <w:color w:val="000000"/>
                <w:sz w:val="24"/>
              </w:rPr>
              <w:t>62</w:t>
            </w:r>
          </w:p>
        </w:tc>
        <w:tc>
          <w:tcPr>
            <w:tcW w:type="dxa" w:w="1872"/>
          </w:tcPr>
          <w:p>
            <w:pPr>
              <w:jc w:val="center"/>
            </w:pPr>
            <w:r>
              <w:rPr>
                <w:rFonts w:ascii="Times New Roman" w:hAnsi="Times New Roman"/>
                <w:color w:val="000000"/>
                <w:sz w:val="24"/>
              </w:rPr>
              <w:t>3</w:t>
            </w:r>
          </w:p>
        </w:tc>
        <w:tc>
          <w:tcPr>
            <w:tcW w:type="dxa" w:w="1872"/>
          </w:tcPr>
          <w:p>
            <w:pPr>
              <w:jc w:val="center"/>
            </w:pPr>
            <w:r>
              <w:rPr>
                <w:rFonts w:ascii="Times New Roman" w:hAnsi="Times New Roman"/>
                <w:color w:val="000000"/>
                <w:sz w:val="24"/>
              </w:rPr>
              <w:t>29</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S16</w:t>
            </w:r>
          </w:p>
        </w:tc>
        <w:tc>
          <w:tcPr>
            <w:tcW w:type="dxa" w:w="1872"/>
          </w:tcPr>
          <w:p>
            <w:pPr>
              <w:jc w:val="center"/>
            </w:pPr>
            <w:r>
              <w:rPr>
                <w:rFonts w:ascii="Times New Roman" w:hAnsi="Times New Roman"/>
                <w:color w:val="000000"/>
                <w:sz w:val="24"/>
              </w:rPr>
              <w:t>85</w:t>
            </w:r>
          </w:p>
        </w:tc>
        <w:tc>
          <w:tcPr>
            <w:tcW w:type="dxa" w:w="1872"/>
          </w:tcPr>
          <w:p>
            <w:pPr>
              <w:jc w:val="center"/>
            </w:pPr>
            <w:r>
              <w:rPr>
                <w:rFonts w:ascii="Times New Roman" w:hAnsi="Times New Roman"/>
                <w:color w:val="000000"/>
                <w:sz w:val="24"/>
              </w:rPr>
              <w:t>5</w:t>
            </w:r>
          </w:p>
        </w:tc>
        <w:tc>
          <w:tcPr>
            <w:tcW w:type="dxa" w:w="1872"/>
          </w:tcPr>
          <w:p>
            <w:pPr>
              <w:jc w:val="center"/>
            </w:pPr>
            <w:r>
              <w:rPr>
                <w:rFonts w:ascii="Times New Roman" w:hAnsi="Times New Roman"/>
                <w:color w:val="000000"/>
                <w:sz w:val="24"/>
              </w:rPr>
              <w:t>41</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S17</w:t>
            </w:r>
          </w:p>
        </w:tc>
        <w:tc>
          <w:tcPr>
            <w:tcW w:type="dxa" w:w="1872"/>
          </w:tcPr>
          <w:p>
            <w:pPr>
              <w:jc w:val="center"/>
            </w:pPr>
            <w:r>
              <w:rPr>
                <w:rFonts w:ascii="Times New Roman" w:hAnsi="Times New Roman"/>
                <w:color w:val="000000"/>
                <w:sz w:val="24"/>
              </w:rPr>
              <w:t>45</w:t>
            </w:r>
          </w:p>
        </w:tc>
        <w:tc>
          <w:tcPr>
            <w:tcW w:type="dxa" w:w="1872"/>
          </w:tcPr>
          <w:p>
            <w:pPr>
              <w:jc w:val="center"/>
            </w:pPr>
            <w:r>
              <w:rPr>
                <w:rFonts w:ascii="Times New Roman" w:hAnsi="Times New Roman"/>
                <w:color w:val="000000"/>
                <w:sz w:val="24"/>
              </w:rPr>
              <w:t>1</w:t>
            </w:r>
          </w:p>
        </w:tc>
        <w:tc>
          <w:tcPr>
            <w:tcW w:type="dxa" w:w="1872"/>
          </w:tcPr>
          <w:p>
            <w:pPr>
              <w:jc w:val="center"/>
            </w:pPr>
            <w:r>
              <w:rPr>
                <w:rFonts w:ascii="Times New Roman" w:hAnsi="Times New Roman"/>
                <w:color w:val="000000"/>
                <w:sz w:val="24"/>
              </w:rPr>
              <w:t>18</w:t>
            </w:r>
          </w:p>
        </w:tc>
        <w:tc>
          <w:tcPr>
            <w:tcW w:type="dxa" w:w="1872"/>
          </w:tcPr>
          <w:p>
            <w:pPr>
              <w:jc w:val="center"/>
            </w:pPr>
            <w:r>
              <w:rPr>
                <w:rFonts w:ascii="Times New Roman" w:hAnsi="Times New Roman"/>
                <w:color w:val="000000"/>
                <w:sz w:val="24"/>
              </w:rPr>
              <w:t>Fail</w:t>
            </w:r>
          </w:p>
        </w:tc>
      </w:tr>
      <w:tr>
        <w:tc>
          <w:tcPr>
            <w:tcW w:type="dxa" w:w="1872"/>
          </w:tcPr>
          <w:p>
            <w:pPr>
              <w:jc w:val="center"/>
            </w:pPr>
            <w:r>
              <w:rPr>
                <w:rFonts w:ascii="Times New Roman" w:hAnsi="Times New Roman"/>
                <w:color w:val="000000"/>
                <w:sz w:val="24"/>
              </w:rPr>
              <w:t>S18</w:t>
            </w:r>
          </w:p>
        </w:tc>
        <w:tc>
          <w:tcPr>
            <w:tcW w:type="dxa" w:w="1872"/>
          </w:tcPr>
          <w:p>
            <w:pPr>
              <w:jc w:val="center"/>
            </w:pPr>
            <w:r>
              <w:rPr>
                <w:rFonts w:ascii="Times New Roman" w:hAnsi="Times New Roman"/>
                <w:color w:val="000000"/>
                <w:sz w:val="24"/>
              </w:rPr>
              <w:t>80</w:t>
            </w:r>
          </w:p>
        </w:tc>
        <w:tc>
          <w:tcPr>
            <w:tcW w:type="dxa" w:w="1872"/>
          </w:tcPr>
          <w:p>
            <w:pPr>
              <w:jc w:val="center"/>
            </w:pPr>
            <w:r>
              <w:rPr>
                <w:rFonts w:ascii="Times New Roman" w:hAnsi="Times New Roman"/>
                <w:color w:val="000000"/>
                <w:sz w:val="24"/>
              </w:rPr>
              <w:t>4</w:t>
            </w:r>
          </w:p>
        </w:tc>
        <w:tc>
          <w:tcPr>
            <w:tcW w:type="dxa" w:w="1872"/>
          </w:tcPr>
          <w:p>
            <w:pPr>
              <w:jc w:val="center"/>
            </w:pPr>
            <w:r>
              <w:rPr>
                <w:rFonts w:ascii="Times New Roman" w:hAnsi="Times New Roman"/>
                <w:color w:val="000000"/>
                <w:sz w:val="24"/>
              </w:rPr>
              <w:t>39</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S19</w:t>
            </w:r>
          </w:p>
        </w:tc>
        <w:tc>
          <w:tcPr>
            <w:tcW w:type="dxa" w:w="1872"/>
          </w:tcPr>
          <w:p>
            <w:pPr>
              <w:jc w:val="center"/>
            </w:pPr>
            <w:r>
              <w:rPr>
                <w:rFonts w:ascii="Times New Roman" w:hAnsi="Times New Roman"/>
                <w:color w:val="000000"/>
                <w:sz w:val="24"/>
              </w:rPr>
              <w:t>68</w:t>
            </w:r>
          </w:p>
        </w:tc>
        <w:tc>
          <w:tcPr>
            <w:tcW w:type="dxa" w:w="1872"/>
          </w:tcPr>
          <w:p>
            <w:pPr>
              <w:jc w:val="center"/>
            </w:pPr>
            <w:r>
              <w:rPr>
                <w:rFonts w:ascii="Times New Roman" w:hAnsi="Times New Roman"/>
                <w:color w:val="000000"/>
                <w:sz w:val="24"/>
              </w:rPr>
              <w:t>3</w:t>
            </w:r>
          </w:p>
        </w:tc>
        <w:tc>
          <w:tcPr>
            <w:tcW w:type="dxa" w:w="1872"/>
          </w:tcPr>
          <w:p>
            <w:pPr>
              <w:jc w:val="center"/>
            </w:pPr>
            <w:r>
              <w:rPr>
                <w:rFonts w:ascii="Times New Roman" w:hAnsi="Times New Roman"/>
                <w:color w:val="000000"/>
                <w:sz w:val="24"/>
              </w:rPr>
              <w:t>32</w:t>
            </w:r>
          </w:p>
        </w:tc>
        <w:tc>
          <w:tcPr>
            <w:tcW w:type="dxa" w:w="1872"/>
          </w:tcPr>
          <w:p>
            <w:pPr>
              <w:jc w:val="center"/>
            </w:pPr>
            <w:r>
              <w:rPr>
                <w:rFonts w:ascii="Times New Roman" w:hAnsi="Times New Roman"/>
                <w:color w:val="000000"/>
                <w:sz w:val="24"/>
              </w:rPr>
              <w:t>Pass</w:t>
            </w:r>
          </w:p>
        </w:tc>
      </w:tr>
      <w:tr>
        <w:tc>
          <w:tcPr>
            <w:tcW w:type="dxa" w:w="1872"/>
          </w:tcPr>
          <w:p>
            <w:pPr>
              <w:jc w:val="center"/>
            </w:pPr>
            <w:r>
              <w:rPr>
                <w:rFonts w:ascii="Times New Roman" w:hAnsi="Times New Roman"/>
                <w:color w:val="000000"/>
                <w:sz w:val="24"/>
              </w:rPr>
              <w:t>S20</w:t>
            </w:r>
          </w:p>
        </w:tc>
        <w:tc>
          <w:tcPr>
            <w:tcW w:type="dxa" w:w="1872"/>
          </w:tcPr>
          <w:p>
            <w:pPr>
              <w:jc w:val="center"/>
            </w:pPr>
            <w:r>
              <w:rPr>
                <w:rFonts w:ascii="Times New Roman" w:hAnsi="Times New Roman"/>
                <w:color w:val="000000"/>
                <w:sz w:val="24"/>
              </w:rPr>
              <w:t>53</w:t>
            </w:r>
          </w:p>
        </w:tc>
        <w:tc>
          <w:tcPr>
            <w:tcW w:type="dxa" w:w="1872"/>
          </w:tcPr>
          <w:p>
            <w:pPr>
              <w:jc w:val="center"/>
            </w:pPr>
            <w:r>
              <w:rPr>
                <w:rFonts w:ascii="Times New Roman" w:hAnsi="Times New Roman"/>
                <w:color w:val="000000"/>
                <w:sz w:val="24"/>
              </w:rPr>
              <w:t>2</w:t>
            </w:r>
          </w:p>
        </w:tc>
        <w:tc>
          <w:tcPr>
            <w:tcW w:type="dxa" w:w="1872"/>
          </w:tcPr>
          <w:p>
            <w:pPr>
              <w:jc w:val="center"/>
            </w:pPr>
            <w:r>
              <w:rPr>
                <w:rFonts w:ascii="Times New Roman" w:hAnsi="Times New Roman"/>
                <w:color w:val="000000"/>
                <w:sz w:val="24"/>
              </w:rPr>
              <w:t>23</w:t>
            </w:r>
          </w:p>
        </w:tc>
        <w:tc>
          <w:tcPr>
            <w:tcW w:type="dxa" w:w="1872"/>
          </w:tcPr>
          <w:p>
            <w:pPr>
              <w:jc w:val="center"/>
            </w:pPr>
            <w:r>
              <w:rPr>
                <w:rFonts w:ascii="Times New Roman" w:hAnsi="Times New Roman"/>
                <w:color w:val="000000"/>
                <w:sz w:val="24"/>
              </w:rPr>
              <w:t>Fail</w:t>
            </w:r>
          </w:p>
        </w:tc>
      </w:tr>
    </w:tbl>
    <w:p>
      <w:pPr>
        <w:spacing w:line="360" w:lineRule="auto" w:after="120" w:before="0"/>
        <w:jc w:val="both"/>
      </w:pPr>
      <w:r>
        <w:rPr>
          <w:rFonts w:ascii="Times New Roman" w:hAnsi="Times New Roman"/>
          <w:b/>
          <w:color w:val="000000"/>
          <w:sz w:val="28"/>
        </w:rPr>
        <w:t>2. Dataset Description, Purpose, and Significance</w:t>
      </w:r>
    </w:p>
    <w:p>
      <w:pPr>
        <w:spacing w:line="360" w:lineRule="auto" w:after="120" w:before="0"/>
        <w:jc w:val="both"/>
      </w:pPr>
      <w:r>
        <w:rPr>
          <w:rFonts w:ascii="Times New Roman" w:hAnsi="Times New Roman"/>
          <w:b w:val="0"/>
          <w:color w:val="000000"/>
          <w:sz w:val="24"/>
        </w:rPr>
        <w:t>This dataset contains exactly 20 individual records and 5 features. The attributes consist of Student_ID (categorical text identifier), Attendance (numerical integer representing percentage), Study_Hours (numerical integer tracking weekly focus), Internal_Marks (numerical integer scaled out of 50), and Result (categorical nominal label displaying Pass or Fail outcomes). The explicit purpose of compiling this data matrix is to discover behavioral and diagnostic root causes that heavily influence a student's concluding academic performance. Identifying these metrics helps educators predict academic vulnerability long before the final exam period arrives.</w:t>
      </w:r>
    </w:p>
    <w:p>
      <w:pPr>
        <w:spacing w:line="360" w:lineRule="auto" w:after="120" w:before="0"/>
        <w:jc w:val="both"/>
      </w:pPr>
      <w:r>
        <w:rPr>
          <w:rFonts w:ascii="Times New Roman" w:hAnsi="Times New Roman"/>
          <w:b/>
          <w:color w:val="000000"/>
          <w:sz w:val="28"/>
        </w:rPr>
        <w:t>3. Data Auditing, Cleaning, and Preprocessing</w:t>
      </w:r>
    </w:p>
    <w:p>
      <w:pPr>
        <w:spacing w:line="360" w:lineRule="auto" w:after="120" w:before="0"/>
        <w:jc w:val="both"/>
      </w:pPr>
      <w:r>
        <w:rPr>
          <w:rFonts w:ascii="Times New Roman" w:hAnsi="Times New Roman"/>
          <w:b w:val="0"/>
          <w:color w:val="000000"/>
          <w:sz w:val="24"/>
        </w:rPr>
        <w:t>A rigorous data validation pipeline was carried out to guarantee structural integrity before applying mathematical equations. A systematic programmatic scan confirmed that zero missing values exist across all five metrics. Additionally, row uniqueness evaluation returned no duplicated student entries, confirming that every record represents an individual dataset point. The ranges for attendance scales and internal testing numbers align properly, meaning no structural inconsistencies are present.</w:t>
      </w:r>
    </w:p>
    <w:p>
      <w:pPr>
        <w:spacing w:line="360" w:lineRule="auto" w:after="120" w:before="0"/>
        <w:jc w:val="both"/>
      </w:pPr>
      <w:r>
        <w:rPr>
          <w:rFonts w:ascii="Times New Roman" w:hAnsi="Times New Roman"/>
          <w:b/>
          <w:color w:val="000000"/>
          <w:sz w:val="28"/>
        </w:rPr>
        <w:t>4. Descriptive Statistics and Feature Analysis</w:t>
      </w:r>
    </w:p>
    <w:p>
      <w:pPr>
        <w:spacing w:line="360" w:lineRule="auto" w:after="120" w:before="0"/>
        <w:jc w:val="both"/>
      </w:pPr>
      <w:r>
        <w:rPr>
          <w:rFonts w:ascii="Times New Roman" w:hAnsi="Times New Roman"/>
          <w:b w:val="0"/>
          <w:color w:val="000000"/>
          <w:sz w:val="24"/>
        </w:rPr>
        <w:t>The dataset shows a balanced outcome pattern across the class: 11 students passed (55.0 percent) and 9 students failed (45.0 percent). Across the entire cohort, the mean attendance rate sits at 70.15 percent with a standard deviation of 15.94 percent, while independent study time averages 3.35 hours per week. When splitting the metrics by the final outcome, distinct patterns become clear: passing students maintain a high average attendance rate of 82.45 percent, spend 4.36 hours studying, and score 40.00 marks in internal assessments. In comparison, failing students average just 55.11 percent class attendance, commit only 2.11 hours to independent study, and drop to an average internal mark of 24.33.</w:t>
      </w:r>
    </w:p>
    <w:p>
      <w:pPr>
        <w:spacing w:line="360" w:lineRule="auto" w:after="120" w:before="0"/>
        <w:jc w:val="both"/>
      </w:pPr>
      <w:r>
        <w:rPr>
          <w:rFonts w:ascii="Times New Roman" w:hAnsi="Times New Roman"/>
          <w:b/>
          <w:color w:val="000000"/>
          <w:sz w:val="28"/>
        </w:rPr>
        <w:t>5. Analytical Trends, Distributions, and Relationships</w:t>
      </w:r>
    </w:p>
    <w:p>
      <w:pPr>
        <w:spacing w:line="360" w:lineRule="auto" w:after="120" w:before="0"/>
        <w:jc w:val="both"/>
      </w:pPr>
      <w:r>
        <w:rPr>
          <w:rFonts w:ascii="Times New Roman" w:hAnsi="Times New Roman"/>
          <w:b w:val="0"/>
          <w:color w:val="000000"/>
          <w:sz w:val="24"/>
        </w:rPr>
        <w:t>Calculating correlation metrics shows an exceptionally high level of positive linear relationships among the continuous metrics. The link between class attendance and internal mark achievements stands at an almost absolute value of r = 0.998. The relationship between independent study hours and internal marks is similarly high at r = 0.977. This demonstrates that positive academic metrics occur together: students who routinely attend classes are the exact same individuals who dedicate time to independent reading, leading directly to strong continuous assessment marks. A clear success threshold is evident: every single student who maintained internal assessment marks of 32 or above, or class attendance of 68 percent or higher, passed the course, while those below these lines failed.</w:t>
      </w:r>
    </w:p>
    <w:p>
      <w:pPr>
        <w:spacing w:line="360" w:lineRule="auto" w:after="120" w:before="0"/>
        <w:jc w:val="both"/>
      </w:pPr>
      <w:r>
        <w:rPr>
          <w:rFonts w:ascii="Times New Roman" w:hAnsi="Times New Roman"/>
          <w:b/>
          <w:color w:val="000000"/>
          <w:sz w:val="28"/>
        </w:rPr>
        <w:t>6. Clean Programmatic Analysis Source Code</w:t>
      </w:r>
    </w:p>
    <w:p>
      <w:pPr>
        <w:spacing w:line="276" w:lineRule="auto" w:after="120"/>
        <w:jc w:val="left"/>
      </w:pPr>
      <w:r>
        <w:rPr>
          <w:rFonts w:ascii="Consolas" w:hAnsi="Consolas"/>
          <w:color w:val="000000"/>
          <w:sz w:val="20"/>
        </w:rPr>
        <w:t>import pandas as pd</w:t>
        <w:br/>
        <w:t>import numpy as np</w:t>
        <w:br/>
        <w:t>import matplotlib.pyplot as plt</w:t>
        <w:br/>
        <w:t>import seaborn as sns</w:t>
        <w:br/>
        <w:br/>
        <w:t>data_dict = {</w:t>
        <w:br/>
        <w:t xml:space="preserve">    'Student_ID': ['S01', 'S02', 'S03', 'S04', 'S05', 'S06', 'S07', 'S08', 'S09', 'S10', </w:t>
        <w:br/>
        <w:t xml:space="preserve">                  'S11', 'S12', 'S13', 'S14', 'S15', 'S16', 'S17', 'S18', 'S19', 'S20'],</w:t>
        <w:br/>
        <w:t xml:space="preserve">    'Attendance': [92, 55, 78, 60, 88, 47, 95, 72, 50, 83, 66, 90, 58, 76, 62, 85, 45, 80, 68, 53],</w:t>
        <w:br/>
        <w:t xml:space="preserve">    'Study_Hours': [5, 2, 4, 3, 5, 1, 6, 3, 2, 4, 3, 5, 2, 4, 3, 5, 1, 4, 3, 2],</w:t>
        <w:br/>
        <w:t xml:space="preserve">    'Internal_Marks': [45, 24, 38, 28, 42, 20, 48, 35, 22, 40, 30, 44, 25, 36, 29, 41, 18, 39, 32, 23],</w:t>
        <w:br/>
        <w:t xml:space="preserve">    'Result': ['Pass', 'Fail', 'Pass', 'Fail', 'Pass', 'Fail', 'Pass', 'Pass', 'Fail', 'Pass', </w:t>
        <w:br/>
        <w:t xml:space="preserve">               'Fail', 'Pass', 'Fail', 'Pass', 'Fail', 'Pass', 'Fail', 'Pass', 'Pass', 'Fail']</w:t>
        <w:br/>
        <w:t>}</w:t>
        <w:br/>
        <w:t>df = pd.DataFrame(data_dict)</w:t>
        <w:br/>
        <w:br/>
        <w:t>print(df.isnull().sum())</w:t>
        <w:br/>
        <w:t>print(df.duplicated().sum())</w:t>
        <w:br/>
        <w:t>print(df.groupby('Result').mean(numeric_only=True))</w:t>
        <w:br/>
        <w:t>print(df.corr(numeric_only=True))</w:t>
        <w:br/>
        <w:br/>
        <w:t>sns.set_theme(style="whitegrid")</w:t>
        <w:br/>
        <w:t>fig, axes = plt.subplots(2, 2, figsize=(14, 10))</w:t>
        <w:br/>
        <w:t>sns.boxplot(x='Result', y='Attendance', data=df, ax=axes[0, 0], palette='Set2')</w:t>
        <w:br/>
        <w:t>sns.boxplot(x='Result', y='Internal_Marks', data=df, ax=axes[0, 1], palette='Set2')</w:t>
        <w:br/>
        <w:t>sns.scatterplot(x='Attendance', y='Internal_Marks', hue='Result', style='Result', data=df, s=120, ax=axes[1, 0], palette='Set1')</w:t>
        <w:br/>
        <w:t>sns.heatmap(df.corr(numeric_only=True), annot=True, cmap='coolwarm', fmt=".3f", ax=axes[1, 1])</w:t>
        <w:br/>
        <w:t>plt.tight_layout()</w:t>
        <w:br/>
        <w:t>plt.savefig('eda_plots.png', dpi=300)</w:t>
        <w:br/>
        <w:t>plt.show()</w:t>
      </w:r>
    </w:p>
    <w:p>
      <w:pPr>
        <w:spacing w:line="360" w:lineRule="auto" w:after="120" w:before="0"/>
        <w:jc w:val="both"/>
      </w:pPr>
      <w:r>
        <w:rPr>
          <w:rFonts w:ascii="Times New Roman" w:hAnsi="Times New Roman"/>
          <w:b/>
          <w:color w:val="000000"/>
          <w:sz w:val="28"/>
        </w:rPr>
        <w:t>7. Integrated Exploratory Data Analysis Output Images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eda_plots.png"/>
                    <pic:cNvPicPr/>
                  </pic:nvPicPr>
                  <pic:blipFill>
                    <a:blip r:embed="rId9"/>
                    <a:stretch>
                      <a:fillRect/>
                    </a:stretch>
                  </pic:blipFill>
                  <pic:spPr>
                    <a:xfrm>
                      <a:off x="0" y="0"/>
                      <a:ext cx="5486400" cy="3918857"/>
                    </a:xfrm>
                    <a:prstGeom prst="rect"/>
                  </pic:spPr>
                </pic:pic>
              </a:graphicData>
            </a:graphic>
          </wp:inline>
        </w:drawing>
      </w:r>
    </w:p>
    <w:p>
      <w:pPr>
        <w:spacing w:line="360" w:lineRule="auto" w:after="120" w:before="0"/>
        <w:jc w:val="both"/>
      </w:pPr>
      <w:r>
        <w:rPr>
          <w:rFonts w:ascii="Times New Roman" w:hAnsi="Times New Roman"/>
          <w:b/>
          <w:color w:val="000000"/>
          <w:sz w:val="28"/>
        </w:rPr>
        <w:t>8. Key Findings, Meaningful Insights, and Strategic Conclusions</w:t>
      </w:r>
    </w:p>
    <w:p>
      <w:pPr>
        <w:spacing w:line="360" w:lineRule="auto" w:after="120" w:before="0"/>
        <w:jc w:val="both"/>
      </w:pPr>
      <w:r>
        <w:rPr>
          <w:rFonts w:ascii="Times New Roman" w:hAnsi="Times New Roman"/>
          <w:b w:val="0"/>
          <w:color w:val="000000"/>
          <w:sz w:val="24"/>
        </w:rPr>
        <w:t>The visual and statistical outputs present clear rules governing student results. Box plots show a total structural gap between passing and failing regions, with no overlapping values. The scatter plot confirms a clear division line at 68 percent attendance and an internal score of 32. Academic performance follows a clear pattern: a student's internal score reflects their presence in the classroom.</w:t>
      </w:r>
    </w:p>
    <w:p>
      <w:pPr>
        <w:spacing w:line="360" w:lineRule="auto" w:after="120" w:before="0"/>
        <w:jc w:val="both"/>
      </w:pPr>
      <w:r>
        <w:rPr>
          <w:rFonts w:ascii="Times New Roman" w:hAnsi="Times New Roman"/>
          <w:b/>
          <w:color w:val="000000"/>
          <w:sz w:val="28"/>
        </w:rPr>
        <w:t>9. Data-Driven Decision Support for College Administration</w:t>
      </w:r>
    </w:p>
    <w:p>
      <w:pPr>
        <w:spacing w:line="360" w:lineRule="auto" w:after="120" w:before="0"/>
        <w:jc w:val="both"/>
      </w:pPr>
      <w:r>
        <w:rPr>
          <w:rFonts w:ascii="Times New Roman" w:hAnsi="Times New Roman"/>
          <w:b w:val="0"/>
          <w:color w:val="000000"/>
          <w:sz w:val="24"/>
        </w:rPr>
        <w:t>These insights translate directly into operational strategies for the college administration. First, institutional software can be set to automatically flag a student the moment their class attendance falls under 70 percent. Faculty members do not need to wait for mid-term exam metrics to identify risk; the near-perfect correlation means drops in attendance signal performance risks immediately. Second, because passing students spend more than twice as much time on independent study compared to struggling peers, academic support plans should focus on introducing mandatory, structured study blocks rather than just providing general advisory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