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jc w:val="both"/>
      </w:pPr>
      <w:r>
        <w:rPr>
          <w:rFonts w:ascii="Times New Roman" w:hAnsi="Times New Roman"/>
          <w:b/>
          <w:color w:val="000000"/>
          <w:sz w:val="28"/>
        </w:rPr>
        <w:t>EXPLORATORY DATA ANALYSIS REPORT: HEALTHCARE ANALYTICS</w:t>
      </w:r>
    </w:p>
    <w:p>
      <w:pPr>
        <w:spacing w:line="360" w:lineRule="auto" w:after="120" w:before="0"/>
        <w:jc w:val="both"/>
      </w:pPr>
      <w:r>
        <w:rPr>
          <w:rFonts w:ascii="Times New Roman" w:hAnsi="Times New Roman"/>
          <w:b/>
          <w:color w:val="000000"/>
          <w:sz w:val="28"/>
        </w:rPr>
        <w:t>1. Raw Dataset Presentation</w:t>
      </w:r>
    </w:p>
    <w:p>
      <w:pPr>
        <w:spacing w:line="360" w:lineRule="auto" w:after="120" w:before="0"/>
        <w:jc w:val="both"/>
      </w:pPr>
      <w:r>
        <w:rPr>
          <w:rFonts w:ascii="Times New Roman" w:hAnsi="Times New Roman"/>
          <w:b w:val="0"/>
          <w:color w:val="000000"/>
          <w:sz w:val="24"/>
        </w:rPr>
        <w:t>The following table represents the complete source dataset collected by the hospital to analyze patient health risks based on clinical and demographic indicators: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color w:val="000000"/>
                <w:sz w:val="24"/>
              </w:rPr>
              <w:t>Patient_ID</w:t>
            </w:r>
          </w:p>
        </w:tc>
        <w:tc>
          <w:tcPr>
            <w:tcW w:type="dxa" w:w="1560"/>
          </w:tcPr>
          <w:p>
            <w:pPr>
              <w:jc w:val="center"/>
            </w:pPr>
            <w:r>
              <w:rPr>
                <w:rFonts w:ascii="Times New Roman" w:hAnsi="Times New Roman"/>
                <w:b/>
                <w:color w:val="000000"/>
                <w:sz w:val="24"/>
              </w:rPr>
              <w:t>Age</w:t>
            </w:r>
          </w:p>
        </w:tc>
        <w:tc>
          <w:tcPr>
            <w:tcW w:type="dxa" w:w="1560"/>
          </w:tcPr>
          <w:p>
            <w:pPr>
              <w:jc w:val="center"/>
            </w:pPr>
            <w:r>
              <w:rPr>
                <w:rFonts w:ascii="Times New Roman" w:hAnsi="Times New Roman"/>
                <w:b/>
                <w:color w:val="000000"/>
                <w:sz w:val="24"/>
              </w:rPr>
              <w:t>Sugar_Level</w:t>
            </w:r>
          </w:p>
        </w:tc>
        <w:tc>
          <w:tcPr>
            <w:tcW w:type="dxa" w:w="1560"/>
          </w:tcPr>
          <w:p>
            <w:pPr>
              <w:jc w:val="center"/>
            </w:pPr>
            <w:r>
              <w:rPr>
                <w:rFonts w:ascii="Times New Roman" w:hAnsi="Times New Roman"/>
                <w:b/>
                <w:color w:val="000000"/>
                <w:sz w:val="24"/>
              </w:rPr>
              <w:t>BP</w:t>
            </w:r>
          </w:p>
        </w:tc>
        <w:tc>
          <w:tcPr>
            <w:tcW w:type="dxa" w:w="1560"/>
          </w:tcPr>
          <w:p>
            <w:pPr>
              <w:jc w:val="center"/>
            </w:pPr>
            <w:r>
              <w:rPr>
                <w:rFonts w:ascii="Times New Roman" w:hAnsi="Times New Roman"/>
                <w:b/>
                <w:color w:val="000000"/>
                <w:sz w:val="24"/>
              </w:rPr>
              <w:t>BMI</w:t>
            </w:r>
          </w:p>
        </w:tc>
        <w:tc>
          <w:tcPr>
            <w:tcW w:type="dxa" w:w="1560"/>
          </w:tcPr>
          <w:p>
            <w:pPr>
              <w:jc w:val="center"/>
            </w:pPr>
            <w:r>
              <w:rPr>
                <w:rFonts w:ascii="Times New Roman" w:hAnsi="Times New Roman"/>
                <w:b/>
                <w:color w:val="000000"/>
                <w:sz w:val="24"/>
              </w:rPr>
              <w:t>Disease_Status</w:t>
            </w:r>
          </w:p>
        </w:tc>
      </w:tr>
      <w:tr>
        <w:tc>
          <w:tcPr>
            <w:tcW w:type="dxa" w:w="1560"/>
          </w:tcPr>
          <w:p>
            <w:pPr>
              <w:jc w:val="center"/>
            </w:pPr>
            <w:r>
              <w:rPr>
                <w:rFonts w:ascii="Times New Roman" w:hAnsi="Times New Roman"/>
                <w:color w:val="000000"/>
                <w:sz w:val="24"/>
              </w:rPr>
              <w:t>P01</w:t>
            </w:r>
          </w:p>
        </w:tc>
        <w:tc>
          <w:tcPr>
            <w:tcW w:type="dxa" w:w="1560"/>
          </w:tcPr>
          <w:p>
            <w:pPr>
              <w:jc w:val="center"/>
            </w:pPr>
            <w:r>
              <w:rPr>
                <w:rFonts w:ascii="Times New Roman" w:hAnsi="Times New Roman"/>
                <w:color w:val="000000"/>
                <w:sz w:val="24"/>
              </w:rPr>
              <w:t>45</w:t>
            </w:r>
          </w:p>
        </w:tc>
        <w:tc>
          <w:tcPr>
            <w:tcW w:type="dxa" w:w="1560"/>
          </w:tcPr>
          <w:p>
            <w:pPr>
              <w:jc w:val="center"/>
            </w:pPr>
            <w:r>
              <w:rPr>
                <w:rFonts w:ascii="Times New Roman" w:hAnsi="Times New Roman"/>
                <w:color w:val="000000"/>
                <w:sz w:val="24"/>
              </w:rPr>
              <w:t>145</w:t>
            </w:r>
          </w:p>
        </w:tc>
        <w:tc>
          <w:tcPr>
            <w:tcW w:type="dxa" w:w="1560"/>
          </w:tcPr>
          <w:p>
            <w:pPr>
              <w:jc w:val="center"/>
            </w:pPr>
            <w:r>
              <w:rPr>
                <w:rFonts w:ascii="Times New Roman" w:hAnsi="Times New Roman"/>
                <w:color w:val="000000"/>
                <w:sz w:val="24"/>
              </w:rPr>
              <w:t>130</w:t>
            </w:r>
          </w:p>
        </w:tc>
        <w:tc>
          <w:tcPr>
            <w:tcW w:type="dxa" w:w="1560"/>
          </w:tcPr>
          <w:p>
            <w:pPr>
              <w:jc w:val="center"/>
            </w:pPr>
            <w:r>
              <w:rPr>
                <w:rFonts w:ascii="Times New Roman" w:hAnsi="Times New Roman"/>
                <w:color w:val="000000"/>
                <w:sz w:val="24"/>
              </w:rPr>
              <w:t>28</w:t>
            </w:r>
          </w:p>
        </w:tc>
        <w:tc>
          <w:tcPr>
            <w:tcW w:type="dxa" w:w="1560"/>
          </w:tcPr>
          <w:p>
            <w:pPr>
              <w:jc w:val="center"/>
            </w:pPr>
            <w:r>
              <w:rPr>
                <w:rFonts w:ascii="Times New Roman" w:hAnsi="Times New Roman"/>
                <w:color w:val="000000"/>
                <w:sz w:val="24"/>
              </w:rPr>
              <w:t>Yes</w:t>
            </w:r>
          </w:p>
        </w:tc>
      </w:tr>
      <w:tr>
        <w:tc>
          <w:tcPr>
            <w:tcW w:type="dxa" w:w="1560"/>
          </w:tcPr>
          <w:p>
            <w:pPr>
              <w:jc w:val="center"/>
            </w:pPr>
            <w:r>
              <w:rPr>
                <w:rFonts w:ascii="Times New Roman" w:hAnsi="Times New Roman"/>
                <w:color w:val="000000"/>
                <w:sz w:val="24"/>
              </w:rPr>
              <w:t>P02</w:t>
            </w:r>
          </w:p>
        </w:tc>
        <w:tc>
          <w:tcPr>
            <w:tcW w:type="dxa" w:w="1560"/>
          </w:tcPr>
          <w:p>
            <w:pPr>
              <w:jc w:val="center"/>
            </w:pPr>
            <w:r>
              <w:rPr>
                <w:rFonts w:ascii="Times New Roman" w:hAnsi="Times New Roman"/>
                <w:color w:val="000000"/>
                <w:sz w:val="24"/>
              </w:rPr>
              <w:t>32</w:t>
            </w:r>
          </w:p>
        </w:tc>
        <w:tc>
          <w:tcPr>
            <w:tcW w:type="dxa" w:w="1560"/>
          </w:tcPr>
          <w:p>
            <w:pPr>
              <w:jc w:val="center"/>
            </w:pPr>
            <w:r>
              <w:rPr>
                <w:rFonts w:ascii="Times New Roman" w:hAnsi="Times New Roman"/>
                <w:color w:val="000000"/>
                <w:sz w:val="24"/>
              </w:rPr>
              <w:t>98</w:t>
            </w:r>
          </w:p>
        </w:tc>
        <w:tc>
          <w:tcPr>
            <w:tcW w:type="dxa" w:w="1560"/>
          </w:tcPr>
          <w:p>
            <w:pPr>
              <w:jc w:val="center"/>
            </w:pPr>
            <w:r>
              <w:rPr>
                <w:rFonts w:ascii="Times New Roman" w:hAnsi="Times New Roman"/>
                <w:color w:val="000000"/>
                <w:sz w:val="24"/>
              </w:rPr>
              <w:t>118</w:t>
            </w:r>
          </w:p>
        </w:tc>
        <w:tc>
          <w:tcPr>
            <w:tcW w:type="dxa" w:w="1560"/>
          </w:tcPr>
          <w:p>
            <w:pPr>
              <w:jc w:val="center"/>
            </w:pPr>
            <w:r>
              <w:rPr>
                <w:rFonts w:ascii="Times New Roman" w:hAnsi="Times New Roman"/>
                <w:color w:val="000000"/>
                <w:sz w:val="24"/>
              </w:rPr>
              <w:t>23</w:t>
            </w:r>
          </w:p>
        </w:tc>
        <w:tc>
          <w:tcPr>
            <w:tcW w:type="dxa" w:w="1560"/>
          </w:tcPr>
          <w:p>
            <w:pPr>
              <w:jc w:val="center"/>
            </w:pPr>
            <w:r>
              <w:rPr>
                <w:rFonts w:ascii="Times New Roman" w:hAnsi="Times New Roman"/>
                <w:color w:val="000000"/>
                <w:sz w:val="24"/>
              </w:rPr>
              <w:t>No</w:t>
            </w:r>
          </w:p>
        </w:tc>
      </w:tr>
      <w:tr>
        <w:tc>
          <w:tcPr>
            <w:tcW w:type="dxa" w:w="1560"/>
          </w:tcPr>
          <w:p>
            <w:pPr>
              <w:jc w:val="center"/>
            </w:pPr>
            <w:r>
              <w:rPr>
                <w:rFonts w:ascii="Times New Roman" w:hAnsi="Times New Roman"/>
                <w:color w:val="000000"/>
                <w:sz w:val="24"/>
              </w:rPr>
              <w:t>P03</w:t>
            </w:r>
          </w:p>
        </w:tc>
        <w:tc>
          <w:tcPr>
            <w:tcW w:type="dxa" w:w="1560"/>
          </w:tcPr>
          <w:p>
            <w:pPr>
              <w:jc w:val="center"/>
            </w:pPr>
            <w:r>
              <w:rPr>
                <w:rFonts w:ascii="Times New Roman" w:hAnsi="Times New Roman"/>
                <w:color w:val="000000"/>
                <w:sz w:val="24"/>
              </w:rPr>
              <w:t>55</w:t>
            </w:r>
          </w:p>
        </w:tc>
        <w:tc>
          <w:tcPr>
            <w:tcW w:type="dxa" w:w="1560"/>
          </w:tcPr>
          <w:p>
            <w:pPr>
              <w:jc w:val="center"/>
            </w:pPr>
            <w:r>
              <w:rPr>
                <w:rFonts w:ascii="Times New Roman" w:hAnsi="Times New Roman"/>
                <w:color w:val="000000"/>
                <w:sz w:val="24"/>
              </w:rPr>
              <w:t>180</w:t>
            </w:r>
          </w:p>
        </w:tc>
        <w:tc>
          <w:tcPr>
            <w:tcW w:type="dxa" w:w="1560"/>
          </w:tcPr>
          <w:p>
            <w:pPr>
              <w:jc w:val="center"/>
            </w:pPr>
            <w:r>
              <w:rPr>
                <w:rFonts w:ascii="Times New Roman" w:hAnsi="Times New Roman"/>
                <w:color w:val="000000"/>
                <w:sz w:val="24"/>
              </w:rPr>
              <w:t>145</w:t>
            </w:r>
          </w:p>
        </w:tc>
        <w:tc>
          <w:tcPr>
            <w:tcW w:type="dxa" w:w="1560"/>
          </w:tcPr>
          <w:p>
            <w:pPr>
              <w:jc w:val="center"/>
            </w:pPr>
            <w:r>
              <w:rPr>
                <w:rFonts w:ascii="Times New Roman" w:hAnsi="Times New Roman"/>
                <w:color w:val="000000"/>
                <w:sz w:val="24"/>
              </w:rPr>
              <w:t>31</w:t>
            </w:r>
          </w:p>
        </w:tc>
        <w:tc>
          <w:tcPr>
            <w:tcW w:type="dxa" w:w="1560"/>
          </w:tcPr>
          <w:p>
            <w:pPr>
              <w:jc w:val="center"/>
            </w:pPr>
            <w:r>
              <w:rPr>
                <w:rFonts w:ascii="Times New Roman" w:hAnsi="Times New Roman"/>
                <w:color w:val="000000"/>
                <w:sz w:val="24"/>
              </w:rPr>
              <w:t>Yes</w:t>
            </w:r>
          </w:p>
        </w:tc>
      </w:tr>
      <w:tr>
        <w:tc>
          <w:tcPr>
            <w:tcW w:type="dxa" w:w="1560"/>
          </w:tcPr>
          <w:p>
            <w:pPr>
              <w:jc w:val="center"/>
            </w:pPr>
            <w:r>
              <w:rPr>
                <w:rFonts w:ascii="Times New Roman" w:hAnsi="Times New Roman"/>
                <w:color w:val="000000"/>
                <w:sz w:val="24"/>
              </w:rPr>
              <w:t>P04</w:t>
            </w:r>
          </w:p>
        </w:tc>
        <w:tc>
          <w:tcPr>
            <w:tcW w:type="dxa" w:w="1560"/>
          </w:tcPr>
          <w:p>
            <w:pPr>
              <w:jc w:val="center"/>
            </w:pPr>
            <w:r>
              <w:rPr>
                <w:rFonts w:ascii="Times New Roman" w:hAnsi="Times New Roman"/>
                <w:color w:val="000000"/>
                <w:sz w:val="24"/>
              </w:rPr>
              <w:t>28</w:t>
            </w:r>
          </w:p>
        </w:tc>
        <w:tc>
          <w:tcPr>
            <w:tcW w:type="dxa" w:w="1560"/>
          </w:tcPr>
          <w:p>
            <w:pPr>
              <w:jc w:val="center"/>
            </w:pPr>
            <w:r>
              <w:rPr>
                <w:rFonts w:ascii="Times New Roman" w:hAnsi="Times New Roman"/>
                <w:color w:val="000000"/>
                <w:sz w:val="24"/>
              </w:rPr>
              <w:t>90</w:t>
            </w:r>
          </w:p>
        </w:tc>
        <w:tc>
          <w:tcPr>
            <w:tcW w:type="dxa" w:w="1560"/>
          </w:tcPr>
          <w:p>
            <w:pPr>
              <w:jc w:val="center"/>
            </w:pPr>
            <w:r>
              <w:rPr>
                <w:rFonts w:ascii="Times New Roman" w:hAnsi="Times New Roman"/>
                <w:color w:val="000000"/>
                <w:sz w:val="24"/>
              </w:rPr>
              <w:t>110</w:t>
            </w:r>
          </w:p>
        </w:tc>
        <w:tc>
          <w:tcPr>
            <w:tcW w:type="dxa" w:w="1560"/>
          </w:tcPr>
          <w:p>
            <w:pPr>
              <w:jc w:val="center"/>
            </w:pPr>
            <w:r>
              <w:rPr>
                <w:rFonts w:ascii="Times New Roman" w:hAnsi="Times New Roman"/>
                <w:color w:val="000000"/>
                <w:sz w:val="24"/>
              </w:rPr>
              <w:t>22</w:t>
            </w:r>
          </w:p>
        </w:tc>
        <w:tc>
          <w:tcPr>
            <w:tcW w:type="dxa" w:w="1560"/>
          </w:tcPr>
          <w:p>
            <w:pPr>
              <w:jc w:val="center"/>
            </w:pPr>
            <w:r>
              <w:rPr>
                <w:rFonts w:ascii="Times New Roman" w:hAnsi="Times New Roman"/>
                <w:color w:val="000000"/>
                <w:sz w:val="24"/>
              </w:rPr>
              <w:t>No</w:t>
            </w:r>
          </w:p>
        </w:tc>
      </w:tr>
      <w:tr>
        <w:tc>
          <w:tcPr>
            <w:tcW w:type="dxa" w:w="1560"/>
          </w:tcPr>
          <w:p>
            <w:pPr>
              <w:jc w:val="center"/>
            </w:pPr>
            <w:r>
              <w:rPr>
                <w:rFonts w:ascii="Times New Roman" w:hAnsi="Times New Roman"/>
                <w:color w:val="000000"/>
                <w:sz w:val="24"/>
              </w:rPr>
              <w:t>P05</w:t>
            </w:r>
          </w:p>
        </w:tc>
        <w:tc>
          <w:tcPr>
            <w:tcW w:type="dxa" w:w="1560"/>
          </w:tcPr>
          <w:p>
            <w:pPr>
              <w:jc w:val="center"/>
            </w:pPr>
            <w:r>
              <w:rPr>
                <w:rFonts w:ascii="Times New Roman" w:hAnsi="Times New Roman"/>
                <w:color w:val="000000"/>
                <w:sz w:val="24"/>
              </w:rPr>
              <w:t>60</w:t>
            </w:r>
          </w:p>
        </w:tc>
        <w:tc>
          <w:tcPr>
            <w:tcW w:type="dxa" w:w="1560"/>
          </w:tcPr>
          <w:p>
            <w:pPr>
              <w:jc w:val="center"/>
            </w:pPr>
            <w:r>
              <w:rPr>
                <w:rFonts w:ascii="Times New Roman" w:hAnsi="Times New Roman"/>
                <w:color w:val="000000"/>
                <w:sz w:val="24"/>
              </w:rPr>
              <w:t>200</w:t>
            </w:r>
          </w:p>
        </w:tc>
        <w:tc>
          <w:tcPr>
            <w:tcW w:type="dxa" w:w="1560"/>
          </w:tcPr>
          <w:p>
            <w:pPr>
              <w:jc w:val="center"/>
            </w:pPr>
            <w:r>
              <w:rPr>
                <w:rFonts w:ascii="Times New Roman" w:hAnsi="Times New Roman"/>
                <w:color w:val="000000"/>
                <w:sz w:val="24"/>
              </w:rPr>
              <w:t>150</w:t>
            </w:r>
          </w:p>
        </w:tc>
        <w:tc>
          <w:tcPr>
            <w:tcW w:type="dxa" w:w="1560"/>
          </w:tcPr>
          <w:p>
            <w:pPr>
              <w:jc w:val="center"/>
            </w:pPr>
            <w:r>
              <w:rPr>
                <w:rFonts w:ascii="Times New Roman" w:hAnsi="Times New Roman"/>
                <w:color w:val="000000"/>
                <w:sz w:val="24"/>
              </w:rPr>
              <w:t>34</w:t>
            </w:r>
          </w:p>
        </w:tc>
        <w:tc>
          <w:tcPr>
            <w:tcW w:type="dxa" w:w="1560"/>
          </w:tcPr>
          <w:p>
            <w:pPr>
              <w:jc w:val="center"/>
            </w:pPr>
            <w:r>
              <w:rPr>
                <w:rFonts w:ascii="Times New Roman" w:hAnsi="Times New Roman"/>
                <w:color w:val="000000"/>
                <w:sz w:val="24"/>
              </w:rPr>
              <w:t>Yes</w:t>
            </w:r>
          </w:p>
        </w:tc>
      </w:tr>
      <w:tr>
        <w:tc>
          <w:tcPr>
            <w:tcW w:type="dxa" w:w="1560"/>
          </w:tcPr>
          <w:p>
            <w:pPr>
              <w:jc w:val="center"/>
            </w:pPr>
            <w:r>
              <w:rPr>
                <w:rFonts w:ascii="Times New Roman" w:hAnsi="Times New Roman"/>
                <w:color w:val="000000"/>
                <w:sz w:val="24"/>
              </w:rPr>
              <w:t>P06</w:t>
            </w:r>
          </w:p>
        </w:tc>
        <w:tc>
          <w:tcPr>
            <w:tcW w:type="dxa" w:w="1560"/>
          </w:tcPr>
          <w:p>
            <w:pPr>
              <w:jc w:val="center"/>
            </w:pPr>
            <w:r>
              <w:rPr>
                <w:rFonts w:ascii="Times New Roman" w:hAnsi="Times New Roman"/>
                <w:color w:val="000000"/>
                <w:sz w:val="24"/>
              </w:rPr>
              <w:t>40</w:t>
            </w:r>
          </w:p>
        </w:tc>
        <w:tc>
          <w:tcPr>
            <w:tcW w:type="dxa" w:w="1560"/>
          </w:tcPr>
          <w:p>
            <w:pPr>
              <w:jc w:val="center"/>
            </w:pPr>
            <w:r>
              <w:rPr>
                <w:rFonts w:ascii="Times New Roman" w:hAnsi="Times New Roman"/>
                <w:color w:val="000000"/>
                <w:sz w:val="24"/>
              </w:rPr>
              <w:t>120</w:t>
            </w:r>
          </w:p>
        </w:tc>
        <w:tc>
          <w:tcPr>
            <w:tcW w:type="dxa" w:w="1560"/>
          </w:tcPr>
          <w:p>
            <w:pPr>
              <w:jc w:val="center"/>
            </w:pPr>
            <w:r>
              <w:rPr>
                <w:rFonts w:ascii="Times New Roman" w:hAnsi="Times New Roman"/>
                <w:color w:val="000000"/>
                <w:sz w:val="24"/>
              </w:rPr>
              <w:t>125</w:t>
            </w:r>
          </w:p>
        </w:tc>
        <w:tc>
          <w:tcPr>
            <w:tcW w:type="dxa" w:w="1560"/>
          </w:tcPr>
          <w:p>
            <w:pPr>
              <w:jc w:val="center"/>
            </w:pPr>
            <w:r>
              <w:rPr>
                <w:rFonts w:ascii="Times New Roman" w:hAnsi="Times New Roman"/>
                <w:color w:val="000000"/>
                <w:sz w:val="24"/>
              </w:rPr>
              <w:t>26</w:t>
            </w:r>
          </w:p>
        </w:tc>
        <w:tc>
          <w:tcPr>
            <w:tcW w:type="dxa" w:w="1560"/>
          </w:tcPr>
          <w:p>
            <w:pPr>
              <w:jc w:val="center"/>
            </w:pPr>
            <w:r>
              <w:rPr>
                <w:rFonts w:ascii="Times New Roman" w:hAnsi="Times New Roman"/>
                <w:color w:val="000000"/>
                <w:sz w:val="24"/>
              </w:rPr>
              <w:t>No</w:t>
            </w:r>
          </w:p>
        </w:tc>
      </w:tr>
      <w:tr>
        <w:tc>
          <w:tcPr>
            <w:tcW w:type="dxa" w:w="1560"/>
          </w:tcPr>
          <w:p>
            <w:pPr>
              <w:jc w:val="center"/>
            </w:pPr>
            <w:r>
              <w:rPr>
                <w:rFonts w:ascii="Times New Roman" w:hAnsi="Times New Roman"/>
                <w:color w:val="000000"/>
                <w:sz w:val="24"/>
              </w:rPr>
              <w:t>P07</w:t>
            </w:r>
          </w:p>
        </w:tc>
        <w:tc>
          <w:tcPr>
            <w:tcW w:type="dxa" w:w="1560"/>
          </w:tcPr>
          <w:p>
            <w:pPr>
              <w:jc w:val="center"/>
            </w:pPr>
            <w:r>
              <w:rPr>
                <w:rFonts w:ascii="Times New Roman" w:hAnsi="Times New Roman"/>
                <w:color w:val="000000"/>
                <w:sz w:val="24"/>
              </w:rPr>
              <w:t>52</w:t>
            </w:r>
          </w:p>
        </w:tc>
        <w:tc>
          <w:tcPr>
            <w:tcW w:type="dxa" w:w="1560"/>
          </w:tcPr>
          <w:p>
            <w:pPr>
              <w:jc w:val="center"/>
            </w:pPr>
            <w:r>
              <w:rPr>
                <w:rFonts w:ascii="Times New Roman" w:hAnsi="Times New Roman"/>
                <w:color w:val="000000"/>
                <w:sz w:val="24"/>
              </w:rPr>
              <w:t>165</w:t>
            </w:r>
          </w:p>
        </w:tc>
        <w:tc>
          <w:tcPr>
            <w:tcW w:type="dxa" w:w="1560"/>
          </w:tcPr>
          <w:p>
            <w:pPr>
              <w:jc w:val="center"/>
            </w:pPr>
            <w:r>
              <w:rPr>
                <w:rFonts w:ascii="Times New Roman" w:hAnsi="Times New Roman"/>
                <w:color w:val="000000"/>
                <w:sz w:val="24"/>
              </w:rPr>
              <w:t>140</w:t>
            </w:r>
          </w:p>
        </w:tc>
        <w:tc>
          <w:tcPr>
            <w:tcW w:type="dxa" w:w="1560"/>
          </w:tcPr>
          <w:p>
            <w:pPr>
              <w:jc w:val="center"/>
            </w:pPr>
            <w:r>
              <w:rPr>
                <w:rFonts w:ascii="Times New Roman" w:hAnsi="Times New Roman"/>
                <w:color w:val="000000"/>
                <w:sz w:val="24"/>
              </w:rPr>
              <w:t>30</w:t>
            </w:r>
          </w:p>
        </w:tc>
        <w:tc>
          <w:tcPr>
            <w:tcW w:type="dxa" w:w="1560"/>
          </w:tcPr>
          <w:p>
            <w:pPr>
              <w:jc w:val="center"/>
            </w:pPr>
            <w:r>
              <w:rPr>
                <w:rFonts w:ascii="Times New Roman" w:hAnsi="Times New Roman"/>
                <w:color w:val="000000"/>
                <w:sz w:val="24"/>
              </w:rPr>
              <w:t>Yes</w:t>
            </w:r>
          </w:p>
        </w:tc>
      </w:tr>
      <w:tr>
        <w:tc>
          <w:tcPr>
            <w:tcW w:type="dxa" w:w="1560"/>
          </w:tcPr>
          <w:p>
            <w:pPr>
              <w:jc w:val="center"/>
            </w:pPr>
            <w:r>
              <w:rPr>
                <w:rFonts w:ascii="Times New Roman" w:hAnsi="Times New Roman"/>
                <w:color w:val="000000"/>
                <w:sz w:val="24"/>
              </w:rPr>
              <w:t>P08</w:t>
            </w:r>
          </w:p>
        </w:tc>
        <w:tc>
          <w:tcPr>
            <w:tcW w:type="dxa" w:w="1560"/>
          </w:tcPr>
          <w:p>
            <w:pPr>
              <w:jc w:val="center"/>
            </w:pPr>
            <w:r>
              <w:rPr>
                <w:rFonts w:ascii="Times New Roman" w:hAnsi="Times New Roman"/>
                <w:color w:val="000000"/>
                <w:sz w:val="24"/>
              </w:rPr>
              <w:t>35</w:t>
            </w:r>
          </w:p>
        </w:tc>
        <w:tc>
          <w:tcPr>
            <w:tcW w:type="dxa" w:w="1560"/>
          </w:tcPr>
          <w:p>
            <w:pPr>
              <w:jc w:val="center"/>
            </w:pPr>
            <w:r>
              <w:rPr>
                <w:rFonts w:ascii="Times New Roman" w:hAnsi="Times New Roman"/>
                <w:color w:val="000000"/>
                <w:sz w:val="24"/>
              </w:rPr>
              <w:t>105</w:t>
            </w:r>
          </w:p>
        </w:tc>
        <w:tc>
          <w:tcPr>
            <w:tcW w:type="dxa" w:w="1560"/>
          </w:tcPr>
          <w:p>
            <w:pPr>
              <w:jc w:val="center"/>
            </w:pPr>
            <w:r>
              <w:rPr>
                <w:rFonts w:ascii="Times New Roman" w:hAnsi="Times New Roman"/>
                <w:color w:val="000000"/>
                <w:sz w:val="24"/>
              </w:rPr>
              <w:t>120</w:t>
            </w:r>
          </w:p>
        </w:tc>
        <w:tc>
          <w:tcPr>
            <w:tcW w:type="dxa" w:w="1560"/>
          </w:tcPr>
          <w:p>
            <w:pPr>
              <w:jc w:val="center"/>
            </w:pPr>
            <w:r>
              <w:rPr>
                <w:rFonts w:ascii="Times New Roman" w:hAnsi="Times New Roman"/>
                <w:color w:val="000000"/>
                <w:sz w:val="24"/>
              </w:rPr>
              <w:t>24</w:t>
            </w:r>
          </w:p>
        </w:tc>
        <w:tc>
          <w:tcPr>
            <w:tcW w:type="dxa" w:w="1560"/>
          </w:tcPr>
          <w:p>
            <w:pPr>
              <w:jc w:val="center"/>
            </w:pPr>
            <w:r>
              <w:rPr>
                <w:rFonts w:ascii="Times New Roman" w:hAnsi="Times New Roman"/>
                <w:color w:val="000000"/>
                <w:sz w:val="24"/>
              </w:rPr>
              <w:t>No</w:t>
            </w:r>
          </w:p>
        </w:tc>
      </w:tr>
      <w:tr>
        <w:tc>
          <w:tcPr>
            <w:tcW w:type="dxa" w:w="1560"/>
          </w:tcPr>
          <w:p>
            <w:pPr>
              <w:jc w:val="center"/>
            </w:pPr>
            <w:r>
              <w:rPr>
                <w:rFonts w:ascii="Times New Roman" w:hAnsi="Times New Roman"/>
                <w:color w:val="000000"/>
                <w:sz w:val="24"/>
              </w:rPr>
              <w:t>P09</w:t>
            </w:r>
          </w:p>
        </w:tc>
        <w:tc>
          <w:tcPr>
            <w:tcW w:type="dxa" w:w="1560"/>
          </w:tcPr>
          <w:p>
            <w:pPr>
              <w:jc w:val="center"/>
            </w:pPr>
            <w:r>
              <w:rPr>
                <w:rFonts w:ascii="Times New Roman" w:hAnsi="Times New Roman"/>
                <w:color w:val="000000"/>
                <w:sz w:val="24"/>
              </w:rPr>
              <w:t>48</w:t>
            </w:r>
          </w:p>
        </w:tc>
        <w:tc>
          <w:tcPr>
            <w:tcW w:type="dxa" w:w="1560"/>
          </w:tcPr>
          <w:p>
            <w:pPr>
              <w:jc w:val="center"/>
            </w:pPr>
            <w:r>
              <w:rPr>
                <w:rFonts w:ascii="Times New Roman" w:hAnsi="Times New Roman"/>
                <w:color w:val="000000"/>
                <w:sz w:val="24"/>
              </w:rPr>
              <w:t>155</w:t>
            </w:r>
          </w:p>
        </w:tc>
        <w:tc>
          <w:tcPr>
            <w:tcW w:type="dxa" w:w="1560"/>
          </w:tcPr>
          <w:p>
            <w:pPr>
              <w:jc w:val="center"/>
            </w:pPr>
            <w:r>
              <w:rPr>
                <w:rFonts w:ascii="Times New Roman" w:hAnsi="Times New Roman"/>
                <w:color w:val="000000"/>
                <w:sz w:val="24"/>
              </w:rPr>
              <w:t>135</w:t>
            </w:r>
          </w:p>
        </w:tc>
        <w:tc>
          <w:tcPr>
            <w:tcW w:type="dxa" w:w="1560"/>
          </w:tcPr>
          <w:p>
            <w:pPr>
              <w:jc w:val="center"/>
            </w:pPr>
            <w:r>
              <w:rPr>
                <w:rFonts w:ascii="Times New Roman" w:hAnsi="Times New Roman"/>
                <w:color w:val="000000"/>
                <w:sz w:val="24"/>
              </w:rPr>
              <w:t>29</w:t>
            </w:r>
          </w:p>
        </w:tc>
        <w:tc>
          <w:tcPr>
            <w:tcW w:type="dxa" w:w="1560"/>
          </w:tcPr>
          <w:p>
            <w:pPr>
              <w:jc w:val="center"/>
            </w:pPr>
            <w:r>
              <w:rPr>
                <w:rFonts w:ascii="Times New Roman" w:hAnsi="Times New Roman"/>
                <w:color w:val="000000"/>
                <w:sz w:val="24"/>
              </w:rPr>
              <w:t>Yes</w:t>
            </w:r>
          </w:p>
        </w:tc>
      </w:tr>
      <w:tr>
        <w:tc>
          <w:tcPr>
            <w:tcW w:type="dxa" w:w="1560"/>
          </w:tcPr>
          <w:p>
            <w:pPr>
              <w:jc w:val="center"/>
            </w:pPr>
            <w:r>
              <w:rPr>
                <w:rFonts w:ascii="Times New Roman" w:hAnsi="Times New Roman"/>
                <w:color w:val="000000"/>
                <w:sz w:val="24"/>
              </w:rPr>
              <w:t>P10</w:t>
            </w:r>
          </w:p>
        </w:tc>
        <w:tc>
          <w:tcPr>
            <w:tcW w:type="dxa" w:w="1560"/>
          </w:tcPr>
          <w:p>
            <w:pPr>
              <w:jc w:val="center"/>
            </w:pPr>
            <w:r>
              <w:rPr>
                <w:rFonts w:ascii="Times New Roman" w:hAnsi="Times New Roman"/>
                <w:color w:val="000000"/>
                <w:sz w:val="24"/>
              </w:rPr>
              <w:t>30</w:t>
            </w:r>
          </w:p>
        </w:tc>
        <w:tc>
          <w:tcPr>
            <w:tcW w:type="dxa" w:w="1560"/>
          </w:tcPr>
          <w:p>
            <w:pPr>
              <w:jc w:val="center"/>
            </w:pPr>
            <w:r>
              <w:rPr>
                <w:rFonts w:ascii="Times New Roman" w:hAnsi="Times New Roman"/>
                <w:color w:val="000000"/>
                <w:sz w:val="24"/>
              </w:rPr>
              <w:t>95</w:t>
            </w:r>
          </w:p>
        </w:tc>
        <w:tc>
          <w:tcPr>
            <w:tcW w:type="dxa" w:w="1560"/>
          </w:tcPr>
          <w:p>
            <w:pPr>
              <w:jc w:val="center"/>
            </w:pPr>
            <w:r>
              <w:rPr>
                <w:rFonts w:ascii="Times New Roman" w:hAnsi="Times New Roman"/>
                <w:color w:val="000000"/>
                <w:sz w:val="24"/>
              </w:rPr>
              <w:t>115</w:t>
            </w:r>
          </w:p>
        </w:tc>
        <w:tc>
          <w:tcPr>
            <w:tcW w:type="dxa" w:w="1560"/>
          </w:tcPr>
          <w:p>
            <w:pPr>
              <w:jc w:val="center"/>
            </w:pPr>
            <w:r>
              <w:rPr>
                <w:rFonts w:ascii="Times New Roman" w:hAnsi="Times New Roman"/>
                <w:color w:val="000000"/>
                <w:sz w:val="24"/>
              </w:rPr>
              <w:t>23</w:t>
            </w:r>
          </w:p>
        </w:tc>
        <w:tc>
          <w:tcPr>
            <w:tcW w:type="dxa" w:w="1560"/>
          </w:tcPr>
          <w:p>
            <w:pPr>
              <w:jc w:val="center"/>
            </w:pPr>
            <w:r>
              <w:rPr>
                <w:rFonts w:ascii="Times New Roman" w:hAnsi="Times New Roman"/>
                <w:color w:val="000000"/>
                <w:sz w:val="24"/>
              </w:rPr>
              <w:t>No</w:t>
            </w:r>
          </w:p>
        </w:tc>
      </w:tr>
      <w:tr>
        <w:tc>
          <w:tcPr>
            <w:tcW w:type="dxa" w:w="1560"/>
          </w:tcPr>
          <w:p>
            <w:pPr>
              <w:jc w:val="center"/>
            </w:pPr>
            <w:r>
              <w:rPr>
                <w:rFonts w:ascii="Times New Roman" w:hAnsi="Times New Roman"/>
                <w:color w:val="000000"/>
                <w:sz w:val="24"/>
              </w:rPr>
              <w:t>P11</w:t>
            </w:r>
          </w:p>
        </w:tc>
        <w:tc>
          <w:tcPr>
            <w:tcW w:type="dxa" w:w="1560"/>
          </w:tcPr>
          <w:p>
            <w:pPr>
              <w:jc w:val="center"/>
            </w:pPr>
            <w:r>
              <w:rPr>
                <w:rFonts w:ascii="Times New Roman" w:hAnsi="Times New Roman"/>
                <w:color w:val="000000"/>
                <w:sz w:val="24"/>
              </w:rPr>
              <w:t>62</w:t>
            </w:r>
          </w:p>
        </w:tc>
        <w:tc>
          <w:tcPr>
            <w:tcW w:type="dxa" w:w="1560"/>
          </w:tcPr>
          <w:p>
            <w:pPr>
              <w:jc w:val="center"/>
            </w:pPr>
            <w:r>
              <w:rPr>
                <w:rFonts w:ascii="Times New Roman" w:hAnsi="Times New Roman"/>
                <w:color w:val="000000"/>
                <w:sz w:val="24"/>
              </w:rPr>
              <w:t>210</w:t>
            </w:r>
          </w:p>
        </w:tc>
        <w:tc>
          <w:tcPr>
            <w:tcW w:type="dxa" w:w="1560"/>
          </w:tcPr>
          <w:p>
            <w:pPr>
              <w:jc w:val="center"/>
            </w:pPr>
            <w:r>
              <w:rPr>
                <w:rFonts w:ascii="Times New Roman" w:hAnsi="Times New Roman"/>
                <w:color w:val="000000"/>
                <w:sz w:val="24"/>
              </w:rPr>
              <w:t>155</w:t>
            </w:r>
          </w:p>
        </w:tc>
        <w:tc>
          <w:tcPr>
            <w:tcW w:type="dxa" w:w="1560"/>
          </w:tcPr>
          <w:p>
            <w:pPr>
              <w:jc w:val="center"/>
            </w:pPr>
            <w:r>
              <w:rPr>
                <w:rFonts w:ascii="Times New Roman" w:hAnsi="Times New Roman"/>
                <w:color w:val="000000"/>
                <w:sz w:val="24"/>
              </w:rPr>
              <w:t>35</w:t>
            </w:r>
          </w:p>
        </w:tc>
        <w:tc>
          <w:tcPr>
            <w:tcW w:type="dxa" w:w="1560"/>
          </w:tcPr>
          <w:p>
            <w:pPr>
              <w:jc w:val="center"/>
            </w:pPr>
            <w:r>
              <w:rPr>
                <w:rFonts w:ascii="Times New Roman" w:hAnsi="Times New Roman"/>
                <w:color w:val="000000"/>
                <w:sz w:val="24"/>
              </w:rPr>
              <w:t>Yes</w:t>
            </w:r>
          </w:p>
        </w:tc>
      </w:tr>
      <w:tr>
        <w:tc>
          <w:tcPr>
            <w:tcW w:type="dxa" w:w="1560"/>
          </w:tcPr>
          <w:p>
            <w:pPr>
              <w:jc w:val="center"/>
            </w:pPr>
            <w:r>
              <w:rPr>
                <w:rFonts w:ascii="Times New Roman" w:hAnsi="Times New Roman"/>
                <w:color w:val="000000"/>
                <w:sz w:val="24"/>
              </w:rPr>
              <w:t>P12</w:t>
            </w:r>
          </w:p>
        </w:tc>
        <w:tc>
          <w:tcPr>
            <w:tcW w:type="dxa" w:w="1560"/>
          </w:tcPr>
          <w:p>
            <w:pPr>
              <w:jc w:val="center"/>
            </w:pPr>
            <w:r>
              <w:rPr>
                <w:rFonts w:ascii="Times New Roman" w:hAnsi="Times New Roman"/>
                <w:color w:val="000000"/>
                <w:sz w:val="24"/>
              </w:rPr>
              <w:t>38</w:t>
            </w:r>
          </w:p>
        </w:tc>
        <w:tc>
          <w:tcPr>
            <w:tcW w:type="dxa" w:w="1560"/>
          </w:tcPr>
          <w:p>
            <w:pPr>
              <w:jc w:val="center"/>
            </w:pPr>
            <w:r>
              <w:rPr>
                <w:rFonts w:ascii="Times New Roman" w:hAnsi="Times New Roman"/>
                <w:color w:val="000000"/>
                <w:sz w:val="24"/>
              </w:rPr>
              <w:t>115</w:t>
            </w:r>
          </w:p>
        </w:tc>
        <w:tc>
          <w:tcPr>
            <w:tcW w:type="dxa" w:w="1560"/>
          </w:tcPr>
          <w:p>
            <w:pPr>
              <w:jc w:val="center"/>
            </w:pPr>
            <w:r>
              <w:rPr>
                <w:rFonts w:ascii="Times New Roman" w:hAnsi="Times New Roman"/>
                <w:color w:val="000000"/>
                <w:sz w:val="24"/>
              </w:rPr>
              <w:t>122</w:t>
            </w:r>
          </w:p>
        </w:tc>
        <w:tc>
          <w:tcPr>
            <w:tcW w:type="dxa" w:w="1560"/>
          </w:tcPr>
          <w:p>
            <w:pPr>
              <w:jc w:val="center"/>
            </w:pPr>
            <w:r>
              <w:rPr>
                <w:rFonts w:ascii="Times New Roman" w:hAnsi="Times New Roman"/>
                <w:color w:val="000000"/>
                <w:sz w:val="24"/>
              </w:rPr>
              <w:t>25</w:t>
            </w:r>
          </w:p>
        </w:tc>
        <w:tc>
          <w:tcPr>
            <w:tcW w:type="dxa" w:w="1560"/>
          </w:tcPr>
          <w:p>
            <w:pPr>
              <w:jc w:val="center"/>
            </w:pPr>
            <w:r>
              <w:rPr>
                <w:rFonts w:ascii="Times New Roman" w:hAnsi="Times New Roman"/>
                <w:color w:val="000000"/>
                <w:sz w:val="24"/>
              </w:rPr>
              <w:t>No</w:t>
            </w:r>
          </w:p>
        </w:tc>
      </w:tr>
      <w:tr>
        <w:tc>
          <w:tcPr>
            <w:tcW w:type="dxa" w:w="1560"/>
          </w:tcPr>
          <w:p>
            <w:pPr>
              <w:jc w:val="center"/>
            </w:pPr>
            <w:r>
              <w:rPr>
                <w:rFonts w:ascii="Times New Roman" w:hAnsi="Times New Roman"/>
                <w:color w:val="000000"/>
                <w:sz w:val="24"/>
              </w:rPr>
              <w:t>P13</w:t>
            </w:r>
          </w:p>
        </w:tc>
        <w:tc>
          <w:tcPr>
            <w:tcW w:type="dxa" w:w="1560"/>
          </w:tcPr>
          <w:p>
            <w:pPr>
              <w:jc w:val="center"/>
            </w:pPr>
            <w:r>
              <w:rPr>
                <w:rFonts w:ascii="Times New Roman" w:hAnsi="Times New Roman"/>
                <w:color w:val="000000"/>
                <w:sz w:val="24"/>
              </w:rPr>
              <w:t>50</w:t>
            </w:r>
          </w:p>
        </w:tc>
        <w:tc>
          <w:tcPr>
            <w:tcW w:type="dxa" w:w="1560"/>
          </w:tcPr>
          <w:p>
            <w:pPr>
              <w:jc w:val="center"/>
            </w:pPr>
            <w:r>
              <w:rPr>
                <w:rFonts w:ascii="Times New Roman" w:hAnsi="Times New Roman"/>
                <w:color w:val="000000"/>
                <w:sz w:val="24"/>
              </w:rPr>
              <w:t>170</w:t>
            </w:r>
          </w:p>
        </w:tc>
        <w:tc>
          <w:tcPr>
            <w:tcW w:type="dxa" w:w="1560"/>
          </w:tcPr>
          <w:p>
            <w:pPr>
              <w:jc w:val="center"/>
            </w:pPr>
            <w:r>
              <w:rPr>
                <w:rFonts w:ascii="Times New Roman" w:hAnsi="Times New Roman"/>
                <w:color w:val="000000"/>
                <w:sz w:val="24"/>
              </w:rPr>
              <w:t>142</w:t>
            </w:r>
          </w:p>
        </w:tc>
        <w:tc>
          <w:tcPr>
            <w:tcW w:type="dxa" w:w="1560"/>
          </w:tcPr>
          <w:p>
            <w:pPr>
              <w:jc w:val="center"/>
            </w:pPr>
            <w:r>
              <w:rPr>
                <w:rFonts w:ascii="Times New Roman" w:hAnsi="Times New Roman"/>
                <w:color w:val="000000"/>
                <w:sz w:val="24"/>
              </w:rPr>
              <w:t>30</w:t>
            </w:r>
          </w:p>
        </w:tc>
        <w:tc>
          <w:tcPr>
            <w:tcW w:type="dxa" w:w="1560"/>
          </w:tcPr>
          <w:p>
            <w:pPr>
              <w:jc w:val="center"/>
            </w:pPr>
            <w:r>
              <w:rPr>
                <w:rFonts w:ascii="Times New Roman" w:hAnsi="Times New Roman"/>
                <w:color w:val="000000"/>
                <w:sz w:val="24"/>
              </w:rPr>
              <w:t>Yes</w:t>
            </w:r>
          </w:p>
        </w:tc>
      </w:tr>
      <w:tr>
        <w:tc>
          <w:tcPr>
            <w:tcW w:type="dxa" w:w="1560"/>
          </w:tcPr>
          <w:p>
            <w:pPr>
              <w:jc w:val="center"/>
            </w:pPr>
            <w:r>
              <w:rPr>
                <w:rFonts w:ascii="Times New Roman" w:hAnsi="Times New Roman"/>
                <w:color w:val="000000"/>
                <w:sz w:val="24"/>
              </w:rPr>
              <w:t>P14</w:t>
            </w:r>
          </w:p>
        </w:tc>
        <w:tc>
          <w:tcPr>
            <w:tcW w:type="dxa" w:w="1560"/>
          </w:tcPr>
          <w:p>
            <w:pPr>
              <w:jc w:val="center"/>
            </w:pPr>
            <w:r>
              <w:rPr>
                <w:rFonts w:ascii="Times New Roman" w:hAnsi="Times New Roman"/>
                <w:color w:val="000000"/>
                <w:sz w:val="24"/>
              </w:rPr>
              <w:t>27</w:t>
            </w:r>
          </w:p>
        </w:tc>
        <w:tc>
          <w:tcPr>
            <w:tcW w:type="dxa" w:w="1560"/>
          </w:tcPr>
          <w:p>
            <w:pPr>
              <w:jc w:val="center"/>
            </w:pPr>
            <w:r>
              <w:rPr>
                <w:rFonts w:ascii="Times New Roman" w:hAnsi="Times New Roman"/>
                <w:color w:val="000000"/>
                <w:sz w:val="24"/>
              </w:rPr>
              <w:t>88</w:t>
            </w:r>
          </w:p>
        </w:tc>
        <w:tc>
          <w:tcPr>
            <w:tcW w:type="dxa" w:w="1560"/>
          </w:tcPr>
          <w:p>
            <w:pPr>
              <w:jc w:val="center"/>
            </w:pPr>
            <w:r>
              <w:rPr>
                <w:rFonts w:ascii="Times New Roman" w:hAnsi="Times New Roman"/>
                <w:color w:val="000000"/>
                <w:sz w:val="24"/>
              </w:rPr>
              <w:t>108</w:t>
            </w:r>
          </w:p>
        </w:tc>
        <w:tc>
          <w:tcPr>
            <w:tcW w:type="dxa" w:w="1560"/>
          </w:tcPr>
          <w:p>
            <w:pPr>
              <w:jc w:val="center"/>
            </w:pPr>
            <w:r>
              <w:rPr>
                <w:rFonts w:ascii="Times New Roman" w:hAnsi="Times New Roman"/>
                <w:color w:val="000000"/>
                <w:sz w:val="24"/>
              </w:rPr>
              <w:t>21</w:t>
            </w:r>
          </w:p>
        </w:tc>
        <w:tc>
          <w:tcPr>
            <w:tcW w:type="dxa" w:w="1560"/>
          </w:tcPr>
          <w:p>
            <w:pPr>
              <w:jc w:val="center"/>
            </w:pPr>
            <w:r>
              <w:rPr>
                <w:rFonts w:ascii="Times New Roman" w:hAnsi="Times New Roman"/>
                <w:color w:val="000000"/>
                <w:sz w:val="24"/>
              </w:rPr>
              <w:t>No</w:t>
            </w:r>
          </w:p>
        </w:tc>
      </w:tr>
      <w:tr>
        <w:tc>
          <w:tcPr>
            <w:tcW w:type="dxa" w:w="1560"/>
          </w:tcPr>
          <w:p>
            <w:pPr>
              <w:jc w:val="center"/>
            </w:pPr>
            <w:r>
              <w:rPr>
                <w:rFonts w:ascii="Times New Roman" w:hAnsi="Times New Roman"/>
                <w:color w:val="000000"/>
                <w:sz w:val="24"/>
              </w:rPr>
              <w:t>P15</w:t>
            </w:r>
          </w:p>
        </w:tc>
        <w:tc>
          <w:tcPr>
            <w:tcW w:type="dxa" w:w="1560"/>
          </w:tcPr>
          <w:p>
            <w:pPr>
              <w:jc w:val="center"/>
            </w:pPr>
            <w:r>
              <w:rPr>
                <w:rFonts w:ascii="Times New Roman" w:hAnsi="Times New Roman"/>
                <w:color w:val="000000"/>
                <w:sz w:val="24"/>
              </w:rPr>
              <w:t>58</w:t>
            </w:r>
          </w:p>
        </w:tc>
        <w:tc>
          <w:tcPr>
            <w:tcW w:type="dxa" w:w="1560"/>
          </w:tcPr>
          <w:p>
            <w:pPr>
              <w:jc w:val="center"/>
            </w:pPr>
            <w:r>
              <w:rPr>
                <w:rFonts w:ascii="Times New Roman" w:hAnsi="Times New Roman"/>
                <w:color w:val="000000"/>
                <w:sz w:val="24"/>
              </w:rPr>
              <w:t>190</w:t>
            </w:r>
          </w:p>
        </w:tc>
        <w:tc>
          <w:tcPr>
            <w:tcW w:type="dxa" w:w="1560"/>
          </w:tcPr>
          <w:p>
            <w:pPr>
              <w:jc w:val="center"/>
            </w:pPr>
            <w:r>
              <w:rPr>
                <w:rFonts w:ascii="Times New Roman" w:hAnsi="Times New Roman"/>
                <w:color w:val="000000"/>
                <w:sz w:val="24"/>
              </w:rPr>
              <w:t>148</w:t>
            </w:r>
          </w:p>
        </w:tc>
        <w:tc>
          <w:tcPr>
            <w:tcW w:type="dxa" w:w="1560"/>
          </w:tcPr>
          <w:p>
            <w:pPr>
              <w:jc w:val="center"/>
            </w:pPr>
            <w:r>
              <w:rPr>
                <w:rFonts w:ascii="Times New Roman" w:hAnsi="Times New Roman"/>
                <w:color w:val="000000"/>
                <w:sz w:val="24"/>
              </w:rPr>
              <w:t>33</w:t>
            </w:r>
          </w:p>
        </w:tc>
        <w:tc>
          <w:tcPr>
            <w:tcW w:type="dxa" w:w="1560"/>
          </w:tcPr>
          <w:p>
            <w:pPr>
              <w:jc w:val="center"/>
            </w:pPr>
            <w:r>
              <w:rPr>
                <w:rFonts w:ascii="Times New Roman" w:hAnsi="Times New Roman"/>
                <w:color w:val="000000"/>
                <w:sz w:val="24"/>
              </w:rPr>
              <w:t>Yes</w:t>
            </w:r>
          </w:p>
        </w:tc>
      </w:tr>
      <w:tr>
        <w:tc>
          <w:tcPr>
            <w:tcW w:type="dxa" w:w="1560"/>
          </w:tcPr>
          <w:p>
            <w:pPr>
              <w:jc w:val="center"/>
            </w:pPr>
            <w:r>
              <w:rPr>
                <w:rFonts w:ascii="Times New Roman" w:hAnsi="Times New Roman"/>
                <w:color w:val="000000"/>
                <w:sz w:val="24"/>
              </w:rPr>
              <w:t>P16</w:t>
            </w:r>
          </w:p>
        </w:tc>
        <w:tc>
          <w:tcPr>
            <w:tcW w:type="dxa" w:w="1560"/>
          </w:tcPr>
          <w:p>
            <w:pPr>
              <w:jc w:val="center"/>
            </w:pPr>
            <w:r>
              <w:rPr>
                <w:rFonts w:ascii="Times New Roman" w:hAnsi="Times New Roman"/>
                <w:color w:val="000000"/>
                <w:sz w:val="24"/>
              </w:rPr>
              <w:t>42</w:t>
            </w:r>
          </w:p>
        </w:tc>
        <w:tc>
          <w:tcPr>
            <w:tcW w:type="dxa" w:w="1560"/>
          </w:tcPr>
          <w:p>
            <w:pPr>
              <w:jc w:val="center"/>
            </w:pPr>
            <w:r>
              <w:rPr>
                <w:rFonts w:ascii="Times New Roman" w:hAnsi="Times New Roman"/>
                <w:color w:val="000000"/>
                <w:sz w:val="24"/>
              </w:rPr>
              <w:t>130</w:t>
            </w:r>
          </w:p>
        </w:tc>
        <w:tc>
          <w:tcPr>
            <w:tcW w:type="dxa" w:w="1560"/>
          </w:tcPr>
          <w:p>
            <w:pPr>
              <w:jc w:val="center"/>
            </w:pPr>
            <w:r>
              <w:rPr>
                <w:rFonts w:ascii="Times New Roman" w:hAnsi="Times New Roman"/>
                <w:color w:val="000000"/>
                <w:sz w:val="24"/>
              </w:rPr>
              <w:t>128</w:t>
            </w:r>
          </w:p>
        </w:tc>
        <w:tc>
          <w:tcPr>
            <w:tcW w:type="dxa" w:w="1560"/>
          </w:tcPr>
          <w:p>
            <w:pPr>
              <w:jc w:val="center"/>
            </w:pPr>
            <w:r>
              <w:rPr>
                <w:rFonts w:ascii="Times New Roman" w:hAnsi="Times New Roman"/>
                <w:color w:val="000000"/>
                <w:sz w:val="24"/>
              </w:rPr>
              <w:t>27</w:t>
            </w:r>
          </w:p>
        </w:tc>
        <w:tc>
          <w:tcPr>
            <w:tcW w:type="dxa" w:w="1560"/>
          </w:tcPr>
          <w:p>
            <w:pPr>
              <w:jc w:val="center"/>
            </w:pPr>
            <w:r>
              <w:rPr>
                <w:rFonts w:ascii="Times New Roman" w:hAnsi="Times New Roman"/>
                <w:color w:val="000000"/>
                <w:sz w:val="24"/>
              </w:rPr>
              <w:t>No</w:t>
            </w:r>
          </w:p>
        </w:tc>
      </w:tr>
      <w:tr>
        <w:tc>
          <w:tcPr>
            <w:tcW w:type="dxa" w:w="1560"/>
          </w:tcPr>
          <w:p>
            <w:pPr>
              <w:jc w:val="center"/>
            </w:pPr>
            <w:r>
              <w:rPr>
                <w:rFonts w:ascii="Times New Roman" w:hAnsi="Times New Roman"/>
                <w:color w:val="000000"/>
                <w:sz w:val="24"/>
              </w:rPr>
              <w:t>P17</w:t>
            </w:r>
          </w:p>
        </w:tc>
        <w:tc>
          <w:tcPr>
            <w:tcW w:type="dxa" w:w="1560"/>
          </w:tcPr>
          <w:p>
            <w:pPr>
              <w:jc w:val="center"/>
            </w:pPr>
            <w:r>
              <w:rPr>
                <w:rFonts w:ascii="Times New Roman" w:hAnsi="Times New Roman"/>
                <w:color w:val="000000"/>
                <w:sz w:val="24"/>
              </w:rPr>
              <w:t>46</w:t>
            </w:r>
          </w:p>
        </w:tc>
        <w:tc>
          <w:tcPr>
            <w:tcW w:type="dxa" w:w="1560"/>
          </w:tcPr>
          <w:p>
            <w:pPr>
              <w:jc w:val="center"/>
            </w:pPr>
            <w:r>
              <w:rPr>
                <w:rFonts w:ascii="Times New Roman" w:hAnsi="Times New Roman"/>
                <w:color w:val="000000"/>
                <w:sz w:val="24"/>
              </w:rPr>
              <w:t>150</w:t>
            </w:r>
          </w:p>
        </w:tc>
        <w:tc>
          <w:tcPr>
            <w:tcW w:type="dxa" w:w="1560"/>
          </w:tcPr>
          <w:p>
            <w:pPr>
              <w:jc w:val="center"/>
            </w:pPr>
            <w:r>
              <w:rPr>
                <w:rFonts w:ascii="Times New Roman" w:hAnsi="Times New Roman"/>
                <w:color w:val="000000"/>
                <w:sz w:val="24"/>
              </w:rPr>
              <w:t>132</w:t>
            </w:r>
          </w:p>
        </w:tc>
        <w:tc>
          <w:tcPr>
            <w:tcW w:type="dxa" w:w="1560"/>
          </w:tcPr>
          <w:p>
            <w:pPr>
              <w:jc w:val="center"/>
            </w:pPr>
            <w:r>
              <w:rPr>
                <w:rFonts w:ascii="Times New Roman" w:hAnsi="Times New Roman"/>
                <w:color w:val="000000"/>
                <w:sz w:val="24"/>
              </w:rPr>
              <w:t>28</w:t>
            </w:r>
          </w:p>
        </w:tc>
        <w:tc>
          <w:tcPr>
            <w:tcW w:type="dxa" w:w="1560"/>
          </w:tcPr>
          <w:p>
            <w:pPr>
              <w:jc w:val="center"/>
            </w:pPr>
            <w:r>
              <w:rPr>
                <w:rFonts w:ascii="Times New Roman" w:hAnsi="Times New Roman"/>
                <w:color w:val="000000"/>
                <w:sz w:val="24"/>
              </w:rPr>
              <w:t>Yes</w:t>
            </w:r>
          </w:p>
        </w:tc>
      </w:tr>
      <w:tr>
        <w:tc>
          <w:tcPr>
            <w:tcW w:type="dxa" w:w="1560"/>
          </w:tcPr>
          <w:p>
            <w:pPr>
              <w:jc w:val="center"/>
            </w:pPr>
            <w:r>
              <w:rPr>
                <w:rFonts w:ascii="Times New Roman" w:hAnsi="Times New Roman"/>
                <w:color w:val="000000"/>
                <w:sz w:val="24"/>
              </w:rPr>
              <w:t>P18</w:t>
            </w:r>
          </w:p>
        </w:tc>
        <w:tc>
          <w:tcPr>
            <w:tcW w:type="dxa" w:w="1560"/>
          </w:tcPr>
          <w:p>
            <w:pPr>
              <w:jc w:val="center"/>
            </w:pPr>
            <w:r>
              <w:rPr>
                <w:rFonts w:ascii="Times New Roman" w:hAnsi="Times New Roman"/>
                <w:color w:val="000000"/>
                <w:sz w:val="24"/>
              </w:rPr>
              <w:t>34</w:t>
            </w:r>
          </w:p>
        </w:tc>
        <w:tc>
          <w:tcPr>
            <w:tcW w:type="dxa" w:w="1560"/>
          </w:tcPr>
          <w:p>
            <w:pPr>
              <w:jc w:val="center"/>
            </w:pPr>
            <w:r>
              <w:rPr>
                <w:rFonts w:ascii="Times New Roman" w:hAnsi="Times New Roman"/>
                <w:color w:val="000000"/>
                <w:sz w:val="24"/>
              </w:rPr>
              <w:t>100</w:t>
            </w:r>
          </w:p>
        </w:tc>
        <w:tc>
          <w:tcPr>
            <w:tcW w:type="dxa" w:w="1560"/>
          </w:tcPr>
          <w:p>
            <w:pPr>
              <w:jc w:val="center"/>
            </w:pPr>
            <w:r>
              <w:rPr>
                <w:rFonts w:ascii="Times New Roman" w:hAnsi="Times New Roman"/>
                <w:color w:val="000000"/>
                <w:sz w:val="24"/>
              </w:rPr>
              <w:t>116</w:t>
            </w:r>
          </w:p>
        </w:tc>
        <w:tc>
          <w:tcPr>
            <w:tcW w:type="dxa" w:w="1560"/>
          </w:tcPr>
          <w:p>
            <w:pPr>
              <w:jc w:val="center"/>
            </w:pPr>
            <w:r>
              <w:rPr>
                <w:rFonts w:ascii="Times New Roman" w:hAnsi="Times New Roman"/>
                <w:color w:val="000000"/>
                <w:sz w:val="24"/>
              </w:rPr>
              <w:t>24</w:t>
            </w:r>
          </w:p>
        </w:tc>
        <w:tc>
          <w:tcPr>
            <w:tcW w:type="dxa" w:w="1560"/>
          </w:tcPr>
          <w:p>
            <w:pPr>
              <w:jc w:val="center"/>
            </w:pPr>
            <w:r>
              <w:rPr>
                <w:rFonts w:ascii="Times New Roman" w:hAnsi="Times New Roman"/>
                <w:color w:val="000000"/>
                <w:sz w:val="24"/>
              </w:rPr>
              <w:t>No</w:t>
            </w:r>
          </w:p>
        </w:tc>
      </w:tr>
      <w:tr>
        <w:tc>
          <w:tcPr>
            <w:tcW w:type="dxa" w:w="1560"/>
          </w:tcPr>
          <w:p>
            <w:pPr>
              <w:jc w:val="center"/>
            </w:pPr>
            <w:r>
              <w:rPr>
                <w:rFonts w:ascii="Times New Roman" w:hAnsi="Times New Roman"/>
                <w:color w:val="000000"/>
                <w:sz w:val="24"/>
              </w:rPr>
              <w:t>P19</w:t>
            </w:r>
          </w:p>
        </w:tc>
        <w:tc>
          <w:tcPr>
            <w:tcW w:type="dxa" w:w="1560"/>
          </w:tcPr>
          <w:p>
            <w:pPr>
              <w:jc w:val="center"/>
            </w:pPr>
            <w:r>
              <w:rPr>
                <w:rFonts w:ascii="Times New Roman" w:hAnsi="Times New Roman"/>
                <w:color w:val="000000"/>
                <w:sz w:val="24"/>
              </w:rPr>
              <w:t>53</w:t>
            </w:r>
          </w:p>
        </w:tc>
        <w:tc>
          <w:tcPr>
            <w:tcW w:type="dxa" w:w="1560"/>
          </w:tcPr>
          <w:p>
            <w:pPr>
              <w:jc w:val="center"/>
            </w:pPr>
            <w:r>
              <w:rPr>
                <w:rFonts w:ascii="Times New Roman" w:hAnsi="Times New Roman"/>
                <w:color w:val="000000"/>
                <w:sz w:val="24"/>
              </w:rPr>
              <w:t>175</w:t>
            </w:r>
          </w:p>
        </w:tc>
        <w:tc>
          <w:tcPr>
            <w:tcW w:type="dxa" w:w="1560"/>
          </w:tcPr>
          <w:p>
            <w:pPr>
              <w:jc w:val="center"/>
            </w:pPr>
            <w:r>
              <w:rPr>
                <w:rFonts w:ascii="Times New Roman" w:hAnsi="Times New Roman"/>
                <w:color w:val="000000"/>
                <w:sz w:val="24"/>
              </w:rPr>
              <w:t>144</w:t>
            </w:r>
          </w:p>
        </w:tc>
        <w:tc>
          <w:tcPr>
            <w:tcW w:type="dxa" w:w="1560"/>
          </w:tcPr>
          <w:p>
            <w:pPr>
              <w:jc w:val="center"/>
            </w:pPr>
            <w:r>
              <w:rPr>
                <w:rFonts w:ascii="Times New Roman" w:hAnsi="Times New Roman"/>
                <w:color w:val="000000"/>
                <w:sz w:val="24"/>
              </w:rPr>
              <w:t>31</w:t>
            </w:r>
          </w:p>
        </w:tc>
        <w:tc>
          <w:tcPr>
            <w:tcW w:type="dxa" w:w="1560"/>
          </w:tcPr>
          <w:p>
            <w:pPr>
              <w:jc w:val="center"/>
            </w:pPr>
            <w:r>
              <w:rPr>
                <w:rFonts w:ascii="Times New Roman" w:hAnsi="Times New Roman"/>
                <w:color w:val="000000"/>
                <w:sz w:val="24"/>
              </w:rPr>
              <w:t>Yes</w:t>
            </w:r>
          </w:p>
        </w:tc>
      </w:tr>
      <w:tr>
        <w:tc>
          <w:tcPr>
            <w:tcW w:type="dxa" w:w="1560"/>
          </w:tcPr>
          <w:p>
            <w:pPr>
              <w:jc w:val="center"/>
            </w:pPr>
            <w:r>
              <w:rPr>
                <w:rFonts w:ascii="Times New Roman" w:hAnsi="Times New Roman"/>
                <w:color w:val="000000"/>
                <w:sz w:val="24"/>
              </w:rPr>
              <w:t>P20</w:t>
            </w:r>
          </w:p>
        </w:tc>
        <w:tc>
          <w:tcPr>
            <w:tcW w:type="dxa" w:w="1560"/>
          </w:tcPr>
          <w:p>
            <w:pPr>
              <w:jc w:val="center"/>
            </w:pPr>
            <w:r>
              <w:rPr>
                <w:rFonts w:ascii="Times New Roman" w:hAnsi="Times New Roman"/>
                <w:color w:val="000000"/>
                <w:sz w:val="24"/>
              </w:rPr>
              <w:t>29</w:t>
            </w:r>
          </w:p>
        </w:tc>
        <w:tc>
          <w:tcPr>
            <w:tcW w:type="dxa" w:w="1560"/>
          </w:tcPr>
          <w:p>
            <w:pPr>
              <w:jc w:val="center"/>
            </w:pPr>
            <w:r>
              <w:rPr>
                <w:rFonts w:ascii="Times New Roman" w:hAnsi="Times New Roman"/>
                <w:color w:val="000000"/>
                <w:sz w:val="24"/>
              </w:rPr>
              <w:t>92</w:t>
            </w:r>
          </w:p>
        </w:tc>
        <w:tc>
          <w:tcPr>
            <w:tcW w:type="dxa" w:w="1560"/>
          </w:tcPr>
          <w:p>
            <w:pPr>
              <w:jc w:val="center"/>
            </w:pPr>
            <w:r>
              <w:rPr>
                <w:rFonts w:ascii="Times New Roman" w:hAnsi="Times New Roman"/>
                <w:color w:val="000000"/>
                <w:sz w:val="24"/>
              </w:rPr>
              <w:t>112</w:t>
            </w:r>
          </w:p>
        </w:tc>
        <w:tc>
          <w:tcPr>
            <w:tcW w:type="dxa" w:w="1560"/>
          </w:tcPr>
          <w:p>
            <w:pPr>
              <w:jc w:val="center"/>
            </w:pPr>
            <w:r>
              <w:rPr>
                <w:rFonts w:ascii="Times New Roman" w:hAnsi="Times New Roman"/>
                <w:color w:val="000000"/>
                <w:sz w:val="24"/>
              </w:rPr>
              <w:t>22</w:t>
            </w:r>
          </w:p>
        </w:tc>
        <w:tc>
          <w:tcPr>
            <w:tcW w:type="dxa" w:w="1560"/>
          </w:tcPr>
          <w:p>
            <w:pPr>
              <w:jc w:val="center"/>
            </w:pPr>
            <w:r>
              <w:rPr>
                <w:rFonts w:ascii="Times New Roman" w:hAnsi="Times New Roman"/>
                <w:color w:val="000000"/>
                <w:sz w:val="24"/>
              </w:rPr>
              <w:t>No</w:t>
            </w:r>
          </w:p>
        </w:tc>
      </w:tr>
    </w:tbl>
    <w:p>
      <w:pPr>
        <w:spacing w:line="360" w:lineRule="auto" w:after="120" w:before="0"/>
        <w:jc w:val="both"/>
      </w:pPr>
      <w:r>
        <w:rPr>
          <w:rFonts w:ascii="Times New Roman" w:hAnsi="Times New Roman"/>
          <w:b/>
          <w:color w:val="000000"/>
          <w:sz w:val="28"/>
        </w:rPr>
        <w:t>2. Dataset Description, Purpose, and Significance</w:t>
      </w:r>
    </w:p>
    <w:p>
      <w:pPr>
        <w:spacing w:line="360" w:lineRule="auto" w:after="120" w:before="0"/>
        <w:jc w:val="both"/>
      </w:pPr>
      <w:r>
        <w:rPr>
          <w:rFonts w:ascii="Times New Roman" w:hAnsi="Times New Roman"/>
          <w:b w:val="0"/>
          <w:color w:val="000000"/>
          <w:sz w:val="24"/>
        </w:rPr>
        <w:t>This dataset contains exactly 20 individual records and 6 features. The attributes consist of Patient_ID (categorical text identifier), Age (numerical continuous integer), Sugar_Level (numerical continuous integer), BP (numerical blood pressure integer), BMI (numerical body mass index integer), and Disease_Status (categorical nominal label displaying Yes or No outcomes). The explicit purpose of compiling this medical data matrix is to discover metabolic and physiological health markers that heavily influence chronic disease manifestation. Identifying these profiles helps hospital teams build early clinical diagnostics and predictive healthcare frameworks long before acute cardiovascular or diabetic events arrive.</w:t>
      </w:r>
    </w:p>
    <w:p>
      <w:pPr>
        <w:spacing w:line="360" w:lineRule="auto" w:after="120" w:before="0"/>
        <w:jc w:val="both"/>
      </w:pPr>
      <w:r>
        <w:rPr>
          <w:rFonts w:ascii="Times New Roman" w:hAnsi="Times New Roman"/>
          <w:b/>
          <w:color w:val="000000"/>
          <w:sz w:val="28"/>
        </w:rPr>
        <w:t>3. Data Auditing, Cleaning, and Preprocessing</w:t>
      </w:r>
    </w:p>
    <w:p>
      <w:pPr>
        <w:spacing w:line="360" w:lineRule="auto" w:after="120" w:before="0"/>
        <w:jc w:val="both"/>
      </w:pPr>
      <w:r>
        <w:rPr>
          <w:rFonts w:ascii="Times New Roman" w:hAnsi="Times New Roman"/>
          <w:b w:val="0"/>
          <w:color w:val="000000"/>
          <w:sz w:val="24"/>
        </w:rPr>
        <w:t>A rigorous data validation pipeline was carried out to guarantee structural integrity before applying mathematical equations. A systematic programmatic scan confirmed that zero missing values exist across all six metrics. Additionally, row uniqueness evaluation returned no duplicated patient entries, confirming that every record represents a distinct tracking point. The ranges for physiological metrics align properly with standard epidemiological indicators, meaning no structural inconsistencies are present.</w:t>
      </w:r>
    </w:p>
    <w:p>
      <w:pPr>
        <w:spacing w:line="360" w:lineRule="auto" w:after="120" w:before="0"/>
        <w:jc w:val="both"/>
      </w:pPr>
      <w:r>
        <w:rPr>
          <w:rFonts w:ascii="Times New Roman" w:hAnsi="Times New Roman"/>
          <w:b/>
          <w:color w:val="000000"/>
          <w:sz w:val="28"/>
        </w:rPr>
        <w:t>4. Descriptive Statistics and Feature Analysis</w:t>
      </w:r>
    </w:p>
    <w:p>
      <w:pPr>
        <w:spacing w:line="360" w:lineRule="auto" w:after="120" w:before="0"/>
        <w:jc w:val="both"/>
      </w:pPr>
      <w:r>
        <w:rPr>
          <w:rFonts w:ascii="Times New Roman" w:hAnsi="Times New Roman"/>
          <w:b w:val="0"/>
          <w:color w:val="000000"/>
          <w:sz w:val="24"/>
        </w:rPr>
        <w:t>The dataset shows a balanced diagnostic layout across the sample: 10 patients are diagnosed with the condition (50.0 percent) and 10 patients are free of the disease (50.0 percent). Across the entire cohort, the mean age sits at 43.20 years with a standard deviation of 11.32 years, while blood sugar levels average 138.65. When splitting the clinical metrics by the final disease outcome, distinct medical realities become clear: diagnosed patients maintain a high average age of 52.90 years, record an elevated mean blood sugar level of 174.00, show an average blood pressure of 142.10, and reach an average body mass index of 30.90. In comparison, healthy individuals average just 33.50 years of age, fall to a normal blood sugar average of 103.30, register a mean blood pressure of 117.40, and hold a safe body mass index average of 23.70.</w:t>
      </w:r>
    </w:p>
    <w:p>
      <w:pPr>
        <w:spacing w:line="360" w:lineRule="auto" w:after="120" w:before="0"/>
        <w:jc w:val="both"/>
      </w:pPr>
      <w:r>
        <w:rPr>
          <w:rFonts w:ascii="Times New Roman" w:hAnsi="Times New Roman"/>
          <w:b/>
          <w:color w:val="000000"/>
          <w:sz w:val="28"/>
        </w:rPr>
        <w:t>5. Analytical Trends, Distributions, and Relationships</w:t>
      </w:r>
    </w:p>
    <w:p>
      <w:pPr>
        <w:spacing w:line="360" w:lineRule="auto" w:after="120" w:before="0"/>
        <w:jc w:val="both"/>
      </w:pPr>
      <w:r>
        <w:rPr>
          <w:rFonts w:ascii="Times New Roman" w:hAnsi="Times New Roman"/>
          <w:b w:val="0"/>
          <w:color w:val="000000"/>
          <w:sz w:val="24"/>
        </w:rPr>
        <w:t>Calculating correlation metrics shows an exceptionally high level of positive linear relationships among the continuous metrics. The link between age progression and body mass index stands at an almost absolute value of r = 0.996, while the relationship between age and blood sugar escalation is similarly high at r = 0.994. This demonstrates that physiological decline markers scale entirely together: advancing age acts as a proxy for systemic increases in body mass index, blood pressure, and metabolic glucose markers. A clear health threshold is evident: every single patient who crossed an age threshold of 45 years or a blood sugar level of 140 was classified with a positive disease status, whereas younger patients below these parameters showed no pathology.</w:t>
      </w:r>
    </w:p>
    <w:p>
      <w:pPr>
        <w:spacing w:line="360" w:lineRule="auto" w:after="120" w:before="0"/>
        <w:jc w:val="both"/>
      </w:pPr>
      <w:r>
        <w:rPr>
          <w:rFonts w:ascii="Times New Roman" w:hAnsi="Times New Roman"/>
          <w:b/>
          <w:color w:val="000000"/>
          <w:sz w:val="28"/>
        </w:rPr>
        <w:t>6. Clean Programmatic Analysis Source Code</w:t>
      </w:r>
    </w:p>
    <w:p>
      <w:pPr>
        <w:spacing w:line="276" w:lineRule="auto" w:after="120"/>
        <w:jc w:val="left"/>
      </w:pPr>
      <w:r>
        <w:rPr>
          <w:rFonts w:ascii="Consolas" w:hAnsi="Consolas"/>
          <w:color w:val="000000"/>
          <w:sz w:val="20"/>
        </w:rPr>
        <w:t>import pandas as pd</w:t>
        <w:br/>
        <w:t>import numpy as np</w:t>
        <w:br/>
        <w:t>import matplotlib.pyplot as plt</w:t>
        <w:br/>
        <w:t>import seaborn as sns</w:t>
        <w:br/>
        <w:br/>
        <w:t>data_dict = {</w:t>
        <w:br/>
        <w:t xml:space="preserve">    'Patient_ID': ['P01', 'P02', 'P03', 'P04', 'P05', 'P06', 'P07', 'P08', 'P09', 'P10', </w:t>
        <w:br/>
        <w:t xml:space="preserve">                   'P11', 'P12', 'P13', 'P14', 'P15', 'P16', 'P17', 'P18', 'P19', 'P20'],</w:t>
        <w:br/>
        <w:t xml:space="preserve">    'Age': [45, 32, 55, 28, 60, 40, 52, 35, 48, 30, 62, 38, 50, 27, 58, 42, 46, 34, 53, 29],</w:t>
        <w:br/>
        <w:t xml:space="preserve">    'Sugar_Level': [145, 98, 180, 90, 200, 120, 165, 105, 155, 95, 210, 115, 170, 88, 190, 130, 150, 100, 175, 92],</w:t>
        <w:br/>
        <w:t xml:space="preserve">    'BP': [130, 118, 145, 110, 150, 125, 140, 120, 135, 115, 155, 122, 142, 108, 148, 128, 132, 116, 144, 112],</w:t>
        <w:br/>
        <w:t xml:space="preserve">    'BMI': [28, 23, 31, 22, 34, 26, 30, 24, 29, 23, 35, 25, 30, 21, 33, 27, 28, 24, 31, 22],</w:t>
        <w:br/>
        <w:t xml:space="preserve">    'Disease_Status': ['Yes', 'No', 'Yes', 'No', 'Yes', 'No', 'Yes', 'No', 'Yes', 'No', 'Yes', 'No', 'Yes', 'No', 'Yes', 'No', 'Yes', 'No', 'Yes', 'No']</w:t>
        <w:br/>
        <w:t>}</w:t>
        <w:br/>
        <w:t>df = pd.DataFrame(data_dict)</w:t>
        <w:br/>
        <w:br/>
        <w:t>print(df.isnull().sum())</w:t>
        <w:br/>
        <w:t>print(df.duplicated().sum())</w:t>
        <w:br/>
        <w:t>print(df.groupby('Disease_Status').mean(numeric_only=True))</w:t>
        <w:br/>
        <w:t>print(df.corr(numeric_only=True))</w:t>
        <w:br/>
        <w:br/>
        <w:t>sns.set_theme(style="whitegrid")</w:t>
        <w:br/>
        <w:t>fig, axes = plt.subplots(2, 2, figsize=(14, 10))</w:t>
        <w:br/>
        <w:t>sns.boxplot(x='Disease_Status', y='Sugar_Level', data=df, ax=axes[0, 0], palette='Set2')</w:t>
        <w:br/>
        <w:t>sns.boxplot(x='Disease_Status', y='Age', data=df, ax=axes[0, 1], palette='Set2')</w:t>
        <w:br/>
        <w:t>sns.scatterplot(x='Age', y='Sugar_Level', hue='Disease_Status', style='Disease_Status', data=df, s=120, ax=axes[1, 0], palette='Set1')</w:t>
        <w:br/>
        <w:t>sns.heatmap(df.corr(numeric_only=True), annot=True, cmap='coolwarm', fmt=".3f", ax=axes[1, 1])</w:t>
        <w:br/>
        <w:t>plt.tight_layout()</w:t>
        <w:br/>
        <w:t>plt.savefig('healthcare_eda_plots.png', dpi=300)</w:t>
        <w:br/>
        <w:t>plt.show()</w:t>
      </w:r>
    </w:p>
    <w:p>
      <w:pPr>
        <w:spacing w:line="360" w:lineRule="auto" w:after="120" w:before="0"/>
        <w:jc w:val="both"/>
      </w:pPr>
      <w:r>
        <w:rPr>
          <w:rFonts w:ascii="Times New Roman" w:hAnsi="Times New Roman"/>
          <w:b/>
          <w:color w:val="000000"/>
          <w:sz w:val="28"/>
        </w:rPr>
        <w:t>7. Integrated Exploratory Data Analysis Output Images</w:t>
      </w:r>
    </w:p>
    <w:p>
      <w:pPr>
        <w:jc w:val="center"/>
      </w:pPr>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healthcare_eda_plots.png"/>
                    <pic:cNvPicPr/>
                  </pic:nvPicPr>
                  <pic:blipFill>
                    <a:blip r:embed="rId9"/>
                    <a:stretch>
                      <a:fillRect/>
                    </a:stretch>
                  </pic:blipFill>
                  <pic:spPr>
                    <a:xfrm>
                      <a:off x="0" y="0"/>
                      <a:ext cx="5486400" cy="3918857"/>
                    </a:xfrm>
                    <a:prstGeom prst="rect"/>
                  </pic:spPr>
                </pic:pic>
              </a:graphicData>
            </a:graphic>
          </wp:inline>
        </w:drawing>
      </w:r>
    </w:p>
    <w:p>
      <w:pPr>
        <w:spacing w:line="360" w:lineRule="auto" w:after="120" w:before="0"/>
        <w:jc w:val="both"/>
      </w:pPr>
      <w:r>
        <w:rPr>
          <w:rFonts w:ascii="Times New Roman" w:hAnsi="Times New Roman"/>
          <w:b/>
          <w:color w:val="000000"/>
          <w:sz w:val="28"/>
        </w:rPr>
        <w:t>8. Key Findings, Meaningful Insights, and Strategic Conclusions</w:t>
      </w:r>
    </w:p>
    <w:p>
      <w:pPr>
        <w:spacing w:line="360" w:lineRule="auto" w:after="120" w:before="0"/>
        <w:jc w:val="both"/>
      </w:pPr>
      <w:r>
        <w:rPr>
          <w:rFonts w:ascii="Times New Roman" w:hAnsi="Times New Roman"/>
          <w:b w:val="0"/>
          <w:color w:val="000000"/>
          <w:sz w:val="24"/>
        </w:rPr>
        <w:t>The visual and statistical outputs present clear rules governing patient outcomes. Box plots show a total structural gap between disease-positive and healthy patient regions, with no overlapping values. The scatter plot confirms a clear division line at an age marker of 45 years and a blood glucose level of 140. Pathological risk follows a direct, deterministic pattern: a patient's advanced age maps directly to a high level of physiological and metabolic strain indicators.</w:t>
      </w:r>
    </w:p>
    <w:p>
      <w:pPr>
        <w:spacing w:line="360" w:lineRule="auto" w:after="120" w:before="0"/>
        <w:jc w:val="both"/>
      </w:pPr>
      <w:r>
        <w:rPr>
          <w:rFonts w:ascii="Times New Roman" w:hAnsi="Times New Roman"/>
          <w:b/>
          <w:color w:val="000000"/>
          <w:sz w:val="28"/>
        </w:rPr>
        <w:t>9. Data-Driven Decision Support for Hospital Administration</w:t>
      </w:r>
    </w:p>
    <w:p>
      <w:pPr>
        <w:spacing w:line="360" w:lineRule="auto" w:after="120" w:before="0"/>
        <w:jc w:val="both"/>
      </w:pPr>
      <w:r>
        <w:rPr>
          <w:rFonts w:ascii="Times New Roman" w:hAnsi="Times New Roman"/>
          <w:b w:val="0"/>
          <w:color w:val="000000"/>
          <w:sz w:val="24"/>
        </w:rPr>
        <w:t>These insights translate directly into operational strategies for the hospital administration. First, electronic health software can be set to automatically place patients into high-risk preventative paths the moment their clinical metrics cross an age milestone of 45 years or blood pressure tracks over 130. Hospital teams do not need to wait for full pathology evaluations; the near-perfect correlation structure shows that basic tracking metrics signal chronic condition risks immediately. Second, because diagnosed individuals average a body mass index of 30.90 compared to the safe 23.70 baseline of healthy individuals, preventative medical investments should focus heavily on early programmatic weight management paths.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