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0"/>
        <w:jc w:val="both"/>
      </w:pPr>
      <w:r>
        <w:rPr>
          <w:rFonts w:ascii="Times New Roman" w:hAnsi="Times New Roman"/>
          <w:b/>
          <w:color w:val="000000"/>
          <w:sz w:val="28"/>
        </w:rPr>
        <w:t>EXPLORATORY DATA ANALYSIS REPORT: RETAIL SALES ANALYTICS</w:t>
      </w:r>
    </w:p>
    <w:p>
      <w:pPr>
        <w:spacing w:line="360" w:lineRule="auto" w:after="120" w:before="0"/>
        <w:jc w:val="both"/>
      </w:pPr>
      <w:r>
        <w:rPr>
          <w:rFonts w:ascii="Times New Roman" w:hAnsi="Times New Roman"/>
          <w:b/>
          <w:color w:val="000000"/>
          <w:sz w:val="28"/>
        </w:rPr>
        <w:t>1. Raw Dataset Presentation</w:t>
      </w:r>
    </w:p>
    <w:p>
      <w:pPr>
        <w:spacing w:line="360" w:lineRule="auto" w:after="120" w:before="0"/>
        <w:jc w:val="both"/>
      </w:pPr>
      <w:r>
        <w:rPr>
          <w:rFonts w:ascii="Times New Roman" w:hAnsi="Times New Roman"/>
          <w:b w:val="0"/>
          <w:color w:val="000000"/>
          <w:sz w:val="24"/>
        </w:rPr>
        <w:t>The following table represents the complete source dataset collected by the supermarket to analyze product performance based on transactional and inventory parameters: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color w:val="000000"/>
                <w:sz w:val="24"/>
              </w:rPr>
              <w:t>Product_ID</w:t>
            </w:r>
          </w:p>
        </w:tc>
        <w:tc>
          <w:tcPr>
            <w:tcW w:type="dxa" w:w="1560"/>
          </w:tcPr>
          <w:p>
            <w:pPr>
              <w:jc w:val="center"/>
            </w:pPr>
            <w:r>
              <w:rPr>
                <w:rFonts w:ascii="Times New Roman" w:hAnsi="Times New Roman"/>
                <w:b/>
                <w:color w:val="000000"/>
                <w:sz w:val="24"/>
              </w:rPr>
              <w:t>Category</w:t>
            </w:r>
          </w:p>
        </w:tc>
        <w:tc>
          <w:tcPr>
            <w:tcW w:type="dxa" w:w="1560"/>
          </w:tcPr>
          <w:p>
            <w:pPr>
              <w:jc w:val="center"/>
            </w:pPr>
            <w:r>
              <w:rPr>
                <w:rFonts w:ascii="Times New Roman" w:hAnsi="Times New Roman"/>
                <w:b/>
                <w:color w:val="000000"/>
                <w:sz w:val="24"/>
              </w:rPr>
              <w:t>Price</w:t>
            </w:r>
          </w:p>
        </w:tc>
        <w:tc>
          <w:tcPr>
            <w:tcW w:type="dxa" w:w="1560"/>
          </w:tcPr>
          <w:p>
            <w:pPr>
              <w:jc w:val="center"/>
            </w:pPr>
            <w:r>
              <w:rPr>
                <w:rFonts w:ascii="Times New Roman" w:hAnsi="Times New Roman"/>
                <w:b/>
                <w:color w:val="000000"/>
                <w:sz w:val="24"/>
              </w:rPr>
              <w:t>Quantity_Sold</w:t>
            </w:r>
          </w:p>
        </w:tc>
        <w:tc>
          <w:tcPr>
            <w:tcW w:type="dxa" w:w="1560"/>
          </w:tcPr>
          <w:p>
            <w:pPr>
              <w:jc w:val="center"/>
            </w:pPr>
            <w:r>
              <w:rPr>
                <w:rFonts w:ascii="Times New Roman" w:hAnsi="Times New Roman"/>
                <w:b/>
                <w:color w:val="000000"/>
                <w:sz w:val="24"/>
              </w:rPr>
              <w:t>Discount</w:t>
            </w:r>
          </w:p>
        </w:tc>
        <w:tc>
          <w:tcPr>
            <w:tcW w:type="dxa" w:w="1560"/>
          </w:tcPr>
          <w:p>
            <w:pPr>
              <w:jc w:val="center"/>
            </w:pPr>
            <w:r>
              <w:rPr>
                <w:rFonts w:ascii="Times New Roman" w:hAnsi="Times New Roman"/>
                <w:b/>
                <w:color w:val="000000"/>
                <w:sz w:val="24"/>
              </w:rPr>
              <w:t>Revenue</w:t>
            </w:r>
          </w:p>
        </w:tc>
      </w:tr>
      <w:tr>
        <w:tc>
          <w:tcPr>
            <w:tcW w:type="dxa" w:w="1560"/>
          </w:tcPr>
          <w:p>
            <w:pPr>
              <w:jc w:val="center"/>
            </w:pPr>
            <w:r>
              <w:rPr>
                <w:rFonts w:ascii="Times New Roman" w:hAnsi="Times New Roman"/>
                <w:color w:val="000000"/>
                <w:sz w:val="24"/>
              </w:rPr>
              <w:t>PR01</w:t>
            </w:r>
          </w:p>
        </w:tc>
        <w:tc>
          <w:tcPr>
            <w:tcW w:type="dxa" w:w="1560"/>
          </w:tcPr>
          <w:p>
            <w:pPr>
              <w:jc w:val="center"/>
            </w:pPr>
            <w:r>
              <w:rPr>
                <w:rFonts w:ascii="Times New Roman" w:hAnsi="Times New Roman"/>
                <w:color w:val="000000"/>
                <w:sz w:val="24"/>
              </w:rPr>
              <w:t>Grocery</w:t>
            </w:r>
          </w:p>
        </w:tc>
        <w:tc>
          <w:tcPr>
            <w:tcW w:type="dxa" w:w="1560"/>
          </w:tcPr>
          <w:p>
            <w:pPr>
              <w:jc w:val="center"/>
            </w:pPr>
            <w:r>
              <w:rPr>
                <w:rFonts w:ascii="Times New Roman" w:hAnsi="Times New Roman"/>
                <w:color w:val="000000"/>
                <w:sz w:val="24"/>
              </w:rPr>
              <w:t>50</w:t>
            </w:r>
          </w:p>
        </w:tc>
        <w:tc>
          <w:tcPr>
            <w:tcW w:type="dxa" w:w="1560"/>
          </w:tcPr>
          <w:p>
            <w:pPr>
              <w:jc w:val="center"/>
            </w:pPr>
            <w:r>
              <w:rPr>
                <w:rFonts w:ascii="Times New Roman" w:hAnsi="Times New Roman"/>
                <w:color w:val="000000"/>
                <w:sz w:val="24"/>
              </w:rPr>
              <w:t>20</w:t>
            </w:r>
          </w:p>
        </w:tc>
        <w:tc>
          <w:tcPr>
            <w:tcW w:type="dxa" w:w="1560"/>
          </w:tcPr>
          <w:p>
            <w:pPr>
              <w:jc w:val="center"/>
            </w:pPr>
            <w:r>
              <w:rPr>
                <w:rFonts w:ascii="Times New Roman" w:hAnsi="Times New Roman"/>
                <w:color w:val="000000"/>
                <w:sz w:val="24"/>
              </w:rPr>
              <w:t>5</w:t>
            </w:r>
          </w:p>
        </w:tc>
        <w:tc>
          <w:tcPr>
            <w:tcW w:type="dxa" w:w="1560"/>
          </w:tcPr>
          <w:p>
            <w:pPr>
              <w:jc w:val="center"/>
            </w:pPr>
            <w:r>
              <w:rPr>
                <w:rFonts w:ascii="Times New Roman" w:hAnsi="Times New Roman"/>
                <w:color w:val="000000"/>
                <w:sz w:val="24"/>
              </w:rPr>
              <w:t>1000</w:t>
            </w:r>
          </w:p>
        </w:tc>
      </w:tr>
      <w:tr>
        <w:tc>
          <w:tcPr>
            <w:tcW w:type="dxa" w:w="1560"/>
          </w:tcPr>
          <w:p>
            <w:pPr>
              <w:jc w:val="center"/>
            </w:pPr>
            <w:r>
              <w:rPr>
                <w:rFonts w:ascii="Times New Roman" w:hAnsi="Times New Roman"/>
                <w:color w:val="000000"/>
                <w:sz w:val="24"/>
              </w:rPr>
              <w:t>PR02</w:t>
            </w:r>
          </w:p>
        </w:tc>
        <w:tc>
          <w:tcPr>
            <w:tcW w:type="dxa" w:w="1560"/>
          </w:tcPr>
          <w:p>
            <w:pPr>
              <w:jc w:val="center"/>
            </w:pPr>
            <w:r>
              <w:rPr>
                <w:rFonts w:ascii="Times New Roman" w:hAnsi="Times New Roman"/>
                <w:color w:val="000000"/>
                <w:sz w:val="24"/>
              </w:rPr>
              <w:t>Snacks</w:t>
            </w:r>
          </w:p>
        </w:tc>
        <w:tc>
          <w:tcPr>
            <w:tcW w:type="dxa" w:w="1560"/>
          </w:tcPr>
          <w:p>
            <w:pPr>
              <w:jc w:val="center"/>
            </w:pPr>
            <w:r>
              <w:rPr>
                <w:rFonts w:ascii="Times New Roman" w:hAnsi="Times New Roman"/>
                <w:color w:val="000000"/>
                <w:sz w:val="24"/>
              </w:rPr>
              <w:t>30</w:t>
            </w:r>
          </w:p>
        </w:tc>
        <w:tc>
          <w:tcPr>
            <w:tcW w:type="dxa" w:w="1560"/>
          </w:tcPr>
          <w:p>
            <w:pPr>
              <w:jc w:val="center"/>
            </w:pPr>
            <w:r>
              <w:rPr>
                <w:rFonts w:ascii="Times New Roman" w:hAnsi="Times New Roman"/>
                <w:color w:val="000000"/>
                <w:sz w:val="24"/>
              </w:rPr>
              <w:t>35</w:t>
            </w:r>
          </w:p>
        </w:tc>
        <w:tc>
          <w:tcPr>
            <w:tcW w:type="dxa" w:w="1560"/>
          </w:tcPr>
          <w:p>
            <w:pPr>
              <w:jc w:val="center"/>
            </w:pPr>
            <w:r>
              <w:rPr>
                <w:rFonts w:ascii="Times New Roman" w:hAnsi="Times New Roman"/>
                <w:color w:val="000000"/>
                <w:sz w:val="24"/>
              </w:rPr>
              <w:t>3</w:t>
            </w:r>
          </w:p>
        </w:tc>
        <w:tc>
          <w:tcPr>
            <w:tcW w:type="dxa" w:w="1560"/>
          </w:tcPr>
          <w:p>
            <w:pPr>
              <w:jc w:val="center"/>
            </w:pPr>
            <w:r>
              <w:rPr>
                <w:rFonts w:ascii="Times New Roman" w:hAnsi="Times New Roman"/>
                <w:color w:val="000000"/>
                <w:sz w:val="24"/>
              </w:rPr>
              <w:t>1050</w:t>
            </w:r>
          </w:p>
        </w:tc>
      </w:tr>
      <w:tr>
        <w:tc>
          <w:tcPr>
            <w:tcW w:type="dxa" w:w="1560"/>
          </w:tcPr>
          <w:p>
            <w:pPr>
              <w:jc w:val="center"/>
            </w:pPr>
            <w:r>
              <w:rPr>
                <w:rFonts w:ascii="Times New Roman" w:hAnsi="Times New Roman"/>
                <w:color w:val="000000"/>
                <w:sz w:val="24"/>
              </w:rPr>
              <w:t>PR03</w:t>
            </w:r>
          </w:p>
        </w:tc>
        <w:tc>
          <w:tcPr>
            <w:tcW w:type="dxa" w:w="1560"/>
          </w:tcPr>
          <w:p>
            <w:pPr>
              <w:jc w:val="center"/>
            </w:pPr>
            <w:r>
              <w:rPr>
                <w:rFonts w:ascii="Times New Roman" w:hAnsi="Times New Roman"/>
                <w:color w:val="000000"/>
                <w:sz w:val="24"/>
              </w:rPr>
              <w:t>Dairy</w:t>
            </w:r>
          </w:p>
        </w:tc>
        <w:tc>
          <w:tcPr>
            <w:tcW w:type="dxa" w:w="1560"/>
          </w:tcPr>
          <w:p>
            <w:pPr>
              <w:jc w:val="center"/>
            </w:pPr>
            <w:r>
              <w:rPr>
                <w:rFonts w:ascii="Times New Roman" w:hAnsi="Times New Roman"/>
                <w:color w:val="000000"/>
                <w:sz w:val="24"/>
              </w:rPr>
              <w:t>45</w:t>
            </w:r>
          </w:p>
        </w:tc>
        <w:tc>
          <w:tcPr>
            <w:tcW w:type="dxa" w:w="1560"/>
          </w:tcPr>
          <w:p>
            <w:pPr>
              <w:jc w:val="center"/>
            </w:pPr>
            <w:r>
              <w:rPr>
                <w:rFonts w:ascii="Times New Roman" w:hAnsi="Times New Roman"/>
                <w:color w:val="000000"/>
                <w:sz w:val="24"/>
              </w:rPr>
              <w:t>18</w:t>
            </w:r>
          </w:p>
        </w:tc>
        <w:tc>
          <w:tcPr>
            <w:tcW w:type="dxa" w:w="1560"/>
          </w:tcPr>
          <w:p>
            <w:pPr>
              <w:jc w:val="center"/>
            </w:pPr>
            <w:r>
              <w:rPr>
                <w:rFonts w:ascii="Times New Roman" w:hAnsi="Times New Roman"/>
                <w:color w:val="000000"/>
                <w:sz w:val="24"/>
              </w:rPr>
              <w:t>2</w:t>
            </w:r>
          </w:p>
        </w:tc>
        <w:tc>
          <w:tcPr>
            <w:tcW w:type="dxa" w:w="1560"/>
          </w:tcPr>
          <w:p>
            <w:pPr>
              <w:jc w:val="center"/>
            </w:pPr>
            <w:r>
              <w:rPr>
                <w:rFonts w:ascii="Times New Roman" w:hAnsi="Times New Roman"/>
                <w:color w:val="000000"/>
                <w:sz w:val="24"/>
              </w:rPr>
              <w:t>810</w:t>
            </w:r>
          </w:p>
        </w:tc>
      </w:tr>
      <w:tr>
        <w:tc>
          <w:tcPr>
            <w:tcW w:type="dxa" w:w="1560"/>
          </w:tcPr>
          <w:p>
            <w:pPr>
              <w:jc w:val="center"/>
            </w:pPr>
            <w:r>
              <w:rPr>
                <w:rFonts w:ascii="Times New Roman" w:hAnsi="Times New Roman"/>
                <w:color w:val="000000"/>
                <w:sz w:val="24"/>
              </w:rPr>
              <w:t>PR04</w:t>
            </w:r>
          </w:p>
        </w:tc>
        <w:tc>
          <w:tcPr>
            <w:tcW w:type="dxa" w:w="1560"/>
          </w:tcPr>
          <w:p>
            <w:pPr>
              <w:jc w:val="center"/>
            </w:pPr>
            <w:r>
              <w:rPr>
                <w:rFonts w:ascii="Times New Roman" w:hAnsi="Times New Roman"/>
                <w:color w:val="000000"/>
                <w:sz w:val="24"/>
              </w:rPr>
              <w:t>Fruits</w:t>
            </w:r>
          </w:p>
        </w:tc>
        <w:tc>
          <w:tcPr>
            <w:tcW w:type="dxa" w:w="1560"/>
          </w:tcPr>
          <w:p>
            <w:pPr>
              <w:jc w:val="center"/>
            </w:pPr>
            <w:r>
              <w:rPr>
                <w:rFonts w:ascii="Times New Roman" w:hAnsi="Times New Roman"/>
                <w:color w:val="000000"/>
                <w:sz w:val="24"/>
              </w:rPr>
              <w:t>60</w:t>
            </w:r>
          </w:p>
        </w:tc>
        <w:tc>
          <w:tcPr>
            <w:tcW w:type="dxa" w:w="1560"/>
          </w:tcPr>
          <w:p>
            <w:pPr>
              <w:jc w:val="center"/>
            </w:pPr>
            <w:r>
              <w:rPr>
                <w:rFonts w:ascii="Times New Roman" w:hAnsi="Times New Roman"/>
                <w:color w:val="000000"/>
                <w:sz w:val="24"/>
              </w:rPr>
              <w:t>25</w:t>
            </w:r>
          </w:p>
        </w:tc>
        <w:tc>
          <w:tcPr>
            <w:tcW w:type="dxa" w:w="1560"/>
          </w:tcPr>
          <w:p>
            <w:pPr>
              <w:jc w:val="center"/>
            </w:pPr>
            <w:r>
              <w:rPr>
                <w:rFonts w:ascii="Times New Roman" w:hAnsi="Times New Roman"/>
                <w:color w:val="000000"/>
                <w:sz w:val="24"/>
              </w:rPr>
              <w:t>5</w:t>
            </w:r>
          </w:p>
        </w:tc>
        <w:tc>
          <w:tcPr>
            <w:tcW w:type="dxa" w:w="1560"/>
          </w:tcPr>
          <w:p>
            <w:pPr>
              <w:jc w:val="center"/>
            </w:pPr>
            <w:r>
              <w:rPr>
                <w:rFonts w:ascii="Times New Roman" w:hAnsi="Times New Roman"/>
                <w:color w:val="000000"/>
                <w:sz w:val="24"/>
              </w:rPr>
              <w:t>1500</w:t>
            </w:r>
          </w:p>
        </w:tc>
      </w:tr>
      <w:tr>
        <w:tc>
          <w:tcPr>
            <w:tcW w:type="dxa" w:w="1560"/>
          </w:tcPr>
          <w:p>
            <w:pPr>
              <w:jc w:val="center"/>
            </w:pPr>
            <w:r>
              <w:rPr>
                <w:rFonts w:ascii="Times New Roman" w:hAnsi="Times New Roman"/>
                <w:color w:val="000000"/>
                <w:sz w:val="24"/>
              </w:rPr>
              <w:t>PR05</w:t>
            </w:r>
          </w:p>
        </w:tc>
        <w:tc>
          <w:tcPr>
            <w:tcW w:type="dxa" w:w="1560"/>
          </w:tcPr>
          <w:p>
            <w:pPr>
              <w:jc w:val="center"/>
            </w:pPr>
            <w:r>
              <w:rPr>
                <w:rFonts w:ascii="Times New Roman" w:hAnsi="Times New Roman"/>
                <w:color w:val="000000"/>
                <w:sz w:val="24"/>
              </w:rPr>
              <w:t>Vegetables</w:t>
            </w:r>
          </w:p>
        </w:tc>
        <w:tc>
          <w:tcPr>
            <w:tcW w:type="dxa" w:w="1560"/>
          </w:tcPr>
          <w:p>
            <w:pPr>
              <w:jc w:val="center"/>
            </w:pPr>
            <w:r>
              <w:rPr>
                <w:rFonts w:ascii="Times New Roman" w:hAnsi="Times New Roman"/>
                <w:color w:val="000000"/>
                <w:sz w:val="24"/>
              </w:rPr>
              <w:t>40</w:t>
            </w:r>
          </w:p>
        </w:tc>
        <w:tc>
          <w:tcPr>
            <w:tcW w:type="dxa" w:w="1560"/>
          </w:tcPr>
          <w:p>
            <w:pPr>
              <w:jc w:val="center"/>
            </w:pPr>
            <w:r>
              <w:rPr>
                <w:rFonts w:ascii="Times New Roman" w:hAnsi="Times New Roman"/>
                <w:color w:val="000000"/>
                <w:sz w:val="24"/>
              </w:rPr>
              <w:t>30</w:t>
            </w:r>
          </w:p>
        </w:tc>
        <w:tc>
          <w:tcPr>
            <w:tcW w:type="dxa" w:w="1560"/>
          </w:tcPr>
          <w:p>
            <w:pPr>
              <w:jc w:val="center"/>
            </w:pPr>
            <w:r>
              <w:rPr>
                <w:rFonts w:ascii="Times New Roman" w:hAnsi="Times New Roman"/>
                <w:color w:val="000000"/>
                <w:sz w:val="24"/>
              </w:rPr>
              <w:t>4</w:t>
            </w:r>
          </w:p>
        </w:tc>
        <w:tc>
          <w:tcPr>
            <w:tcW w:type="dxa" w:w="1560"/>
          </w:tcPr>
          <w:p>
            <w:pPr>
              <w:jc w:val="center"/>
            </w:pPr>
            <w:r>
              <w:rPr>
                <w:rFonts w:ascii="Times New Roman" w:hAnsi="Times New Roman"/>
                <w:color w:val="000000"/>
                <w:sz w:val="24"/>
              </w:rPr>
              <w:t>1200</w:t>
            </w:r>
          </w:p>
        </w:tc>
      </w:tr>
      <w:tr>
        <w:tc>
          <w:tcPr>
            <w:tcW w:type="dxa" w:w="1560"/>
          </w:tcPr>
          <w:p>
            <w:pPr>
              <w:jc w:val="center"/>
            </w:pPr>
            <w:r>
              <w:rPr>
                <w:rFonts w:ascii="Times New Roman" w:hAnsi="Times New Roman"/>
                <w:color w:val="000000"/>
                <w:sz w:val="24"/>
              </w:rPr>
              <w:t>PR06</w:t>
            </w:r>
          </w:p>
        </w:tc>
        <w:tc>
          <w:tcPr>
            <w:tcW w:type="dxa" w:w="1560"/>
          </w:tcPr>
          <w:p>
            <w:pPr>
              <w:jc w:val="center"/>
            </w:pPr>
            <w:r>
              <w:rPr>
                <w:rFonts w:ascii="Times New Roman" w:hAnsi="Times New Roman"/>
                <w:color w:val="000000"/>
                <w:sz w:val="24"/>
              </w:rPr>
              <w:t>Grocery</w:t>
            </w:r>
          </w:p>
        </w:tc>
        <w:tc>
          <w:tcPr>
            <w:tcW w:type="dxa" w:w="1560"/>
          </w:tcPr>
          <w:p>
            <w:pPr>
              <w:jc w:val="center"/>
            </w:pPr>
            <w:r>
              <w:rPr>
                <w:rFonts w:ascii="Times New Roman" w:hAnsi="Times New Roman"/>
                <w:color w:val="000000"/>
                <w:sz w:val="24"/>
              </w:rPr>
              <w:t>80</w:t>
            </w:r>
          </w:p>
        </w:tc>
        <w:tc>
          <w:tcPr>
            <w:tcW w:type="dxa" w:w="1560"/>
          </w:tcPr>
          <w:p>
            <w:pPr>
              <w:jc w:val="center"/>
            </w:pPr>
            <w:r>
              <w:rPr>
                <w:rFonts w:ascii="Times New Roman" w:hAnsi="Times New Roman"/>
                <w:color w:val="000000"/>
                <w:sz w:val="24"/>
              </w:rPr>
              <w:t>15</w:t>
            </w:r>
          </w:p>
        </w:tc>
        <w:tc>
          <w:tcPr>
            <w:tcW w:type="dxa" w:w="1560"/>
          </w:tcPr>
          <w:p>
            <w:pPr>
              <w:jc w:val="center"/>
            </w:pPr>
            <w:r>
              <w:rPr>
                <w:rFonts w:ascii="Times New Roman" w:hAnsi="Times New Roman"/>
                <w:color w:val="000000"/>
                <w:sz w:val="24"/>
              </w:rPr>
              <w:t>6</w:t>
            </w:r>
          </w:p>
        </w:tc>
        <w:tc>
          <w:tcPr>
            <w:tcW w:type="dxa" w:w="1560"/>
          </w:tcPr>
          <w:p>
            <w:pPr>
              <w:jc w:val="center"/>
            </w:pPr>
            <w:r>
              <w:rPr>
                <w:rFonts w:ascii="Times New Roman" w:hAnsi="Times New Roman"/>
                <w:color w:val="000000"/>
                <w:sz w:val="24"/>
              </w:rPr>
              <w:t>1200</w:t>
            </w:r>
          </w:p>
        </w:tc>
      </w:tr>
      <w:tr>
        <w:tc>
          <w:tcPr>
            <w:tcW w:type="dxa" w:w="1560"/>
          </w:tcPr>
          <w:p>
            <w:pPr>
              <w:jc w:val="center"/>
            </w:pPr>
            <w:r>
              <w:rPr>
                <w:rFonts w:ascii="Times New Roman" w:hAnsi="Times New Roman"/>
                <w:color w:val="000000"/>
                <w:sz w:val="24"/>
              </w:rPr>
              <w:t>PR07</w:t>
            </w:r>
          </w:p>
        </w:tc>
        <w:tc>
          <w:tcPr>
            <w:tcW w:type="dxa" w:w="1560"/>
          </w:tcPr>
          <w:p>
            <w:pPr>
              <w:jc w:val="center"/>
            </w:pPr>
            <w:r>
              <w:rPr>
                <w:rFonts w:ascii="Times New Roman" w:hAnsi="Times New Roman"/>
                <w:color w:val="000000"/>
                <w:sz w:val="24"/>
              </w:rPr>
              <w:t>Snacks</w:t>
            </w:r>
          </w:p>
        </w:tc>
        <w:tc>
          <w:tcPr>
            <w:tcW w:type="dxa" w:w="1560"/>
          </w:tcPr>
          <w:p>
            <w:pPr>
              <w:jc w:val="center"/>
            </w:pPr>
            <w:r>
              <w:rPr>
                <w:rFonts w:ascii="Times New Roman" w:hAnsi="Times New Roman"/>
                <w:color w:val="000000"/>
                <w:sz w:val="24"/>
              </w:rPr>
              <w:t>25</w:t>
            </w:r>
          </w:p>
        </w:tc>
        <w:tc>
          <w:tcPr>
            <w:tcW w:type="dxa" w:w="1560"/>
          </w:tcPr>
          <w:p>
            <w:pPr>
              <w:jc w:val="center"/>
            </w:pPr>
            <w:r>
              <w:rPr>
                <w:rFonts w:ascii="Times New Roman" w:hAnsi="Times New Roman"/>
                <w:color w:val="000000"/>
                <w:sz w:val="24"/>
              </w:rPr>
              <w:t>40</w:t>
            </w:r>
          </w:p>
        </w:tc>
        <w:tc>
          <w:tcPr>
            <w:tcW w:type="dxa" w:w="1560"/>
          </w:tcPr>
          <w:p>
            <w:pPr>
              <w:jc w:val="center"/>
            </w:pPr>
            <w:r>
              <w:rPr>
                <w:rFonts w:ascii="Times New Roman" w:hAnsi="Times New Roman"/>
                <w:color w:val="000000"/>
                <w:sz w:val="24"/>
              </w:rPr>
              <w:t>3</w:t>
            </w:r>
          </w:p>
        </w:tc>
        <w:tc>
          <w:tcPr>
            <w:tcW w:type="dxa" w:w="1560"/>
          </w:tcPr>
          <w:p>
            <w:pPr>
              <w:jc w:val="center"/>
            </w:pPr>
            <w:r>
              <w:rPr>
                <w:rFonts w:ascii="Times New Roman" w:hAnsi="Times New Roman"/>
                <w:color w:val="000000"/>
                <w:sz w:val="24"/>
              </w:rPr>
              <w:t>1000</w:t>
            </w:r>
          </w:p>
        </w:tc>
      </w:tr>
      <w:tr>
        <w:tc>
          <w:tcPr>
            <w:tcW w:type="dxa" w:w="1560"/>
          </w:tcPr>
          <w:p>
            <w:pPr>
              <w:jc w:val="center"/>
            </w:pPr>
            <w:r>
              <w:rPr>
                <w:rFonts w:ascii="Times New Roman" w:hAnsi="Times New Roman"/>
                <w:color w:val="000000"/>
                <w:sz w:val="24"/>
              </w:rPr>
              <w:t>PR08</w:t>
            </w:r>
          </w:p>
        </w:tc>
        <w:tc>
          <w:tcPr>
            <w:tcW w:type="dxa" w:w="1560"/>
          </w:tcPr>
          <w:p>
            <w:pPr>
              <w:jc w:val="center"/>
            </w:pPr>
            <w:r>
              <w:rPr>
                <w:rFonts w:ascii="Times New Roman" w:hAnsi="Times New Roman"/>
                <w:color w:val="000000"/>
                <w:sz w:val="24"/>
              </w:rPr>
              <w:t>Dairy</w:t>
            </w:r>
          </w:p>
        </w:tc>
        <w:tc>
          <w:tcPr>
            <w:tcW w:type="dxa" w:w="1560"/>
          </w:tcPr>
          <w:p>
            <w:pPr>
              <w:jc w:val="center"/>
            </w:pPr>
            <w:r>
              <w:rPr>
                <w:rFonts w:ascii="Times New Roman" w:hAnsi="Times New Roman"/>
                <w:color w:val="000000"/>
                <w:sz w:val="24"/>
              </w:rPr>
              <w:t>55</w:t>
            </w:r>
          </w:p>
        </w:tc>
        <w:tc>
          <w:tcPr>
            <w:tcW w:type="dxa" w:w="1560"/>
          </w:tcPr>
          <w:p>
            <w:pPr>
              <w:jc w:val="center"/>
            </w:pPr>
            <w:r>
              <w:rPr>
                <w:rFonts w:ascii="Times New Roman" w:hAnsi="Times New Roman"/>
                <w:color w:val="000000"/>
                <w:sz w:val="24"/>
              </w:rPr>
              <w:t>16</w:t>
            </w:r>
          </w:p>
        </w:tc>
        <w:tc>
          <w:tcPr>
            <w:tcW w:type="dxa" w:w="1560"/>
          </w:tcPr>
          <w:p>
            <w:pPr>
              <w:jc w:val="center"/>
            </w:pPr>
            <w:r>
              <w:rPr>
                <w:rFonts w:ascii="Times New Roman" w:hAnsi="Times New Roman"/>
                <w:color w:val="000000"/>
                <w:sz w:val="24"/>
              </w:rPr>
              <w:t>2</w:t>
            </w:r>
          </w:p>
        </w:tc>
        <w:tc>
          <w:tcPr>
            <w:tcW w:type="dxa" w:w="1560"/>
          </w:tcPr>
          <w:p>
            <w:pPr>
              <w:jc w:val="center"/>
            </w:pPr>
            <w:r>
              <w:rPr>
                <w:rFonts w:ascii="Times New Roman" w:hAnsi="Times New Roman"/>
                <w:color w:val="000000"/>
                <w:sz w:val="24"/>
              </w:rPr>
              <w:t>880</w:t>
            </w:r>
          </w:p>
        </w:tc>
      </w:tr>
      <w:tr>
        <w:tc>
          <w:tcPr>
            <w:tcW w:type="dxa" w:w="1560"/>
          </w:tcPr>
          <w:p>
            <w:pPr>
              <w:jc w:val="center"/>
            </w:pPr>
            <w:r>
              <w:rPr>
                <w:rFonts w:ascii="Times New Roman" w:hAnsi="Times New Roman"/>
                <w:color w:val="000000"/>
                <w:sz w:val="24"/>
              </w:rPr>
              <w:t>PR09</w:t>
            </w:r>
          </w:p>
        </w:tc>
        <w:tc>
          <w:tcPr>
            <w:tcW w:type="dxa" w:w="1560"/>
          </w:tcPr>
          <w:p>
            <w:pPr>
              <w:jc w:val="center"/>
            </w:pPr>
            <w:r>
              <w:rPr>
                <w:rFonts w:ascii="Times New Roman" w:hAnsi="Times New Roman"/>
                <w:color w:val="000000"/>
                <w:sz w:val="24"/>
              </w:rPr>
              <w:t>Fruits</w:t>
            </w:r>
          </w:p>
        </w:tc>
        <w:tc>
          <w:tcPr>
            <w:tcW w:type="dxa" w:w="1560"/>
          </w:tcPr>
          <w:p>
            <w:pPr>
              <w:jc w:val="center"/>
            </w:pPr>
            <w:r>
              <w:rPr>
                <w:rFonts w:ascii="Times New Roman" w:hAnsi="Times New Roman"/>
                <w:color w:val="000000"/>
                <w:sz w:val="24"/>
              </w:rPr>
              <w:t>70</w:t>
            </w:r>
          </w:p>
        </w:tc>
        <w:tc>
          <w:tcPr>
            <w:tcW w:type="dxa" w:w="1560"/>
          </w:tcPr>
          <w:p>
            <w:pPr>
              <w:jc w:val="center"/>
            </w:pPr>
            <w:r>
              <w:rPr>
                <w:rFonts w:ascii="Times New Roman" w:hAnsi="Times New Roman"/>
                <w:color w:val="000000"/>
                <w:sz w:val="24"/>
              </w:rPr>
              <w:t>22</w:t>
            </w:r>
          </w:p>
        </w:tc>
        <w:tc>
          <w:tcPr>
            <w:tcW w:type="dxa" w:w="1560"/>
          </w:tcPr>
          <w:p>
            <w:pPr>
              <w:jc w:val="center"/>
            </w:pPr>
            <w:r>
              <w:rPr>
                <w:rFonts w:ascii="Times New Roman" w:hAnsi="Times New Roman"/>
                <w:color w:val="000000"/>
                <w:sz w:val="24"/>
              </w:rPr>
              <w:t>5</w:t>
            </w:r>
          </w:p>
        </w:tc>
        <w:tc>
          <w:tcPr>
            <w:tcW w:type="dxa" w:w="1560"/>
          </w:tcPr>
          <w:p>
            <w:pPr>
              <w:jc w:val="center"/>
            </w:pPr>
            <w:r>
              <w:rPr>
                <w:rFonts w:ascii="Times New Roman" w:hAnsi="Times New Roman"/>
                <w:color w:val="000000"/>
                <w:sz w:val="24"/>
              </w:rPr>
              <w:t>1540</w:t>
            </w:r>
          </w:p>
        </w:tc>
      </w:tr>
      <w:tr>
        <w:tc>
          <w:tcPr>
            <w:tcW w:type="dxa" w:w="1560"/>
          </w:tcPr>
          <w:p>
            <w:pPr>
              <w:jc w:val="center"/>
            </w:pPr>
            <w:r>
              <w:rPr>
                <w:rFonts w:ascii="Times New Roman" w:hAnsi="Times New Roman"/>
                <w:color w:val="000000"/>
                <w:sz w:val="24"/>
              </w:rPr>
              <w:t>PR10</w:t>
            </w:r>
          </w:p>
        </w:tc>
        <w:tc>
          <w:tcPr>
            <w:tcW w:type="dxa" w:w="1560"/>
          </w:tcPr>
          <w:p>
            <w:pPr>
              <w:jc w:val="center"/>
            </w:pPr>
            <w:r>
              <w:rPr>
                <w:rFonts w:ascii="Times New Roman" w:hAnsi="Times New Roman"/>
                <w:color w:val="000000"/>
                <w:sz w:val="24"/>
              </w:rPr>
              <w:t>Vegetables</w:t>
            </w:r>
          </w:p>
        </w:tc>
        <w:tc>
          <w:tcPr>
            <w:tcW w:type="dxa" w:w="1560"/>
          </w:tcPr>
          <w:p>
            <w:pPr>
              <w:jc w:val="center"/>
            </w:pPr>
            <w:r>
              <w:rPr>
                <w:rFonts w:ascii="Times New Roman" w:hAnsi="Times New Roman"/>
                <w:color w:val="000000"/>
                <w:sz w:val="24"/>
              </w:rPr>
              <w:t>35</w:t>
            </w:r>
          </w:p>
        </w:tc>
        <w:tc>
          <w:tcPr>
            <w:tcW w:type="dxa" w:w="1560"/>
          </w:tcPr>
          <w:p>
            <w:pPr>
              <w:jc w:val="center"/>
            </w:pPr>
            <w:r>
              <w:rPr>
                <w:rFonts w:ascii="Times New Roman" w:hAnsi="Times New Roman"/>
                <w:color w:val="000000"/>
                <w:sz w:val="24"/>
              </w:rPr>
              <w:t>28</w:t>
            </w:r>
          </w:p>
        </w:tc>
        <w:tc>
          <w:tcPr>
            <w:tcW w:type="dxa" w:w="1560"/>
          </w:tcPr>
          <w:p>
            <w:pPr>
              <w:jc w:val="center"/>
            </w:pPr>
            <w:r>
              <w:rPr>
                <w:rFonts w:ascii="Times New Roman" w:hAnsi="Times New Roman"/>
                <w:color w:val="000000"/>
                <w:sz w:val="24"/>
              </w:rPr>
              <w:t>4</w:t>
            </w:r>
          </w:p>
        </w:tc>
        <w:tc>
          <w:tcPr>
            <w:tcW w:type="dxa" w:w="1560"/>
          </w:tcPr>
          <w:p>
            <w:pPr>
              <w:jc w:val="center"/>
            </w:pPr>
            <w:r>
              <w:rPr>
                <w:rFonts w:ascii="Times New Roman" w:hAnsi="Times New Roman"/>
                <w:color w:val="000000"/>
                <w:sz w:val="24"/>
              </w:rPr>
              <w:t>980</w:t>
            </w:r>
          </w:p>
        </w:tc>
      </w:tr>
      <w:tr>
        <w:tc>
          <w:tcPr>
            <w:tcW w:type="dxa" w:w="1560"/>
          </w:tcPr>
          <w:p>
            <w:pPr>
              <w:jc w:val="center"/>
            </w:pPr>
            <w:r>
              <w:rPr>
                <w:rFonts w:ascii="Times New Roman" w:hAnsi="Times New Roman"/>
                <w:color w:val="000000"/>
                <w:sz w:val="24"/>
              </w:rPr>
              <w:t>PR11</w:t>
            </w:r>
          </w:p>
        </w:tc>
        <w:tc>
          <w:tcPr>
            <w:tcW w:type="dxa" w:w="1560"/>
          </w:tcPr>
          <w:p>
            <w:pPr>
              <w:jc w:val="center"/>
            </w:pPr>
            <w:r>
              <w:rPr>
                <w:rFonts w:ascii="Times New Roman" w:hAnsi="Times New Roman"/>
                <w:color w:val="000000"/>
                <w:sz w:val="24"/>
              </w:rPr>
              <w:t>Grocery</w:t>
            </w:r>
          </w:p>
        </w:tc>
        <w:tc>
          <w:tcPr>
            <w:tcW w:type="dxa" w:w="1560"/>
          </w:tcPr>
          <w:p>
            <w:pPr>
              <w:jc w:val="center"/>
            </w:pPr>
            <w:r>
              <w:rPr>
                <w:rFonts w:ascii="Times New Roman" w:hAnsi="Times New Roman"/>
                <w:color w:val="000000"/>
                <w:sz w:val="24"/>
              </w:rPr>
              <w:t>90</w:t>
            </w:r>
          </w:p>
        </w:tc>
        <w:tc>
          <w:tcPr>
            <w:tcW w:type="dxa" w:w="1560"/>
          </w:tcPr>
          <w:p>
            <w:pPr>
              <w:jc w:val="center"/>
            </w:pPr>
            <w:r>
              <w:rPr>
                <w:rFonts w:ascii="Times New Roman" w:hAnsi="Times New Roman"/>
                <w:color w:val="000000"/>
                <w:sz w:val="24"/>
              </w:rPr>
              <w:t>12</w:t>
            </w:r>
          </w:p>
        </w:tc>
        <w:tc>
          <w:tcPr>
            <w:tcW w:type="dxa" w:w="1560"/>
          </w:tcPr>
          <w:p>
            <w:pPr>
              <w:jc w:val="center"/>
            </w:pPr>
            <w:r>
              <w:rPr>
                <w:rFonts w:ascii="Times New Roman" w:hAnsi="Times New Roman"/>
                <w:color w:val="000000"/>
                <w:sz w:val="24"/>
              </w:rPr>
              <w:t>6</w:t>
            </w:r>
          </w:p>
        </w:tc>
        <w:tc>
          <w:tcPr>
            <w:tcW w:type="dxa" w:w="1560"/>
          </w:tcPr>
          <w:p>
            <w:pPr>
              <w:jc w:val="center"/>
            </w:pPr>
            <w:r>
              <w:rPr>
                <w:rFonts w:ascii="Times New Roman" w:hAnsi="Times New Roman"/>
                <w:color w:val="000000"/>
                <w:sz w:val="24"/>
              </w:rPr>
              <w:t>1080</w:t>
            </w:r>
          </w:p>
        </w:tc>
      </w:tr>
      <w:tr>
        <w:tc>
          <w:tcPr>
            <w:tcW w:type="dxa" w:w="1560"/>
          </w:tcPr>
          <w:p>
            <w:pPr>
              <w:jc w:val="center"/>
            </w:pPr>
            <w:r>
              <w:rPr>
                <w:rFonts w:ascii="Times New Roman" w:hAnsi="Times New Roman"/>
                <w:color w:val="000000"/>
                <w:sz w:val="24"/>
              </w:rPr>
              <w:t>PR12</w:t>
            </w:r>
          </w:p>
        </w:tc>
        <w:tc>
          <w:tcPr>
            <w:tcW w:type="dxa" w:w="1560"/>
          </w:tcPr>
          <w:p>
            <w:pPr>
              <w:jc w:val="center"/>
            </w:pPr>
            <w:r>
              <w:rPr>
                <w:rFonts w:ascii="Times New Roman" w:hAnsi="Times New Roman"/>
                <w:color w:val="000000"/>
                <w:sz w:val="24"/>
              </w:rPr>
              <w:t>Snacks</w:t>
            </w:r>
          </w:p>
        </w:tc>
        <w:tc>
          <w:tcPr>
            <w:tcW w:type="dxa" w:w="1560"/>
          </w:tcPr>
          <w:p>
            <w:pPr>
              <w:jc w:val="center"/>
            </w:pPr>
            <w:r>
              <w:rPr>
                <w:rFonts w:ascii="Times New Roman" w:hAnsi="Times New Roman"/>
                <w:color w:val="000000"/>
                <w:sz w:val="24"/>
              </w:rPr>
              <w:t>20</w:t>
            </w:r>
          </w:p>
        </w:tc>
        <w:tc>
          <w:tcPr>
            <w:tcW w:type="dxa" w:w="1560"/>
          </w:tcPr>
          <w:p>
            <w:pPr>
              <w:jc w:val="center"/>
            </w:pPr>
            <w:r>
              <w:rPr>
                <w:rFonts w:ascii="Times New Roman" w:hAnsi="Times New Roman"/>
                <w:color w:val="000000"/>
                <w:sz w:val="24"/>
              </w:rPr>
              <w:t>45</w:t>
            </w:r>
          </w:p>
        </w:tc>
        <w:tc>
          <w:tcPr>
            <w:tcW w:type="dxa" w:w="1560"/>
          </w:tcPr>
          <w:p>
            <w:pPr>
              <w:jc w:val="center"/>
            </w:pPr>
            <w:r>
              <w:rPr>
                <w:rFonts w:ascii="Times New Roman" w:hAnsi="Times New Roman"/>
                <w:color w:val="000000"/>
                <w:sz w:val="24"/>
              </w:rPr>
              <w:t>2</w:t>
            </w:r>
          </w:p>
        </w:tc>
        <w:tc>
          <w:tcPr>
            <w:tcW w:type="dxa" w:w="1560"/>
          </w:tcPr>
          <w:p>
            <w:pPr>
              <w:jc w:val="center"/>
            </w:pPr>
            <w:r>
              <w:rPr>
                <w:rFonts w:ascii="Times New Roman" w:hAnsi="Times New Roman"/>
                <w:color w:val="000000"/>
                <w:sz w:val="24"/>
              </w:rPr>
              <w:t>900</w:t>
            </w:r>
          </w:p>
        </w:tc>
      </w:tr>
      <w:tr>
        <w:tc>
          <w:tcPr>
            <w:tcW w:type="dxa" w:w="1560"/>
          </w:tcPr>
          <w:p>
            <w:pPr>
              <w:jc w:val="center"/>
            </w:pPr>
            <w:r>
              <w:rPr>
                <w:rFonts w:ascii="Times New Roman" w:hAnsi="Times New Roman"/>
                <w:color w:val="000000"/>
                <w:sz w:val="24"/>
              </w:rPr>
              <w:t>PR13</w:t>
            </w:r>
          </w:p>
        </w:tc>
        <w:tc>
          <w:tcPr>
            <w:tcW w:type="dxa" w:w="1560"/>
          </w:tcPr>
          <w:p>
            <w:pPr>
              <w:jc w:val="center"/>
            </w:pPr>
            <w:r>
              <w:rPr>
                <w:rFonts w:ascii="Times New Roman" w:hAnsi="Times New Roman"/>
                <w:color w:val="000000"/>
                <w:sz w:val="24"/>
              </w:rPr>
              <w:t>Dairy</w:t>
            </w:r>
          </w:p>
        </w:tc>
        <w:tc>
          <w:tcPr>
            <w:tcW w:type="dxa" w:w="1560"/>
          </w:tcPr>
          <w:p>
            <w:pPr>
              <w:jc w:val="center"/>
            </w:pPr>
            <w:r>
              <w:rPr>
                <w:rFonts w:ascii="Times New Roman" w:hAnsi="Times New Roman"/>
                <w:color w:val="000000"/>
                <w:sz w:val="24"/>
              </w:rPr>
              <w:t>65</w:t>
            </w:r>
          </w:p>
        </w:tc>
        <w:tc>
          <w:tcPr>
            <w:tcW w:type="dxa" w:w="1560"/>
          </w:tcPr>
          <w:p>
            <w:pPr>
              <w:jc w:val="center"/>
            </w:pPr>
            <w:r>
              <w:rPr>
                <w:rFonts w:ascii="Times New Roman" w:hAnsi="Times New Roman"/>
                <w:color w:val="000000"/>
                <w:sz w:val="24"/>
              </w:rPr>
              <w:t>14</w:t>
            </w:r>
          </w:p>
        </w:tc>
        <w:tc>
          <w:tcPr>
            <w:tcW w:type="dxa" w:w="1560"/>
          </w:tcPr>
          <w:p>
            <w:pPr>
              <w:jc w:val="center"/>
            </w:pPr>
            <w:r>
              <w:rPr>
                <w:rFonts w:ascii="Times New Roman" w:hAnsi="Times New Roman"/>
                <w:color w:val="000000"/>
                <w:sz w:val="24"/>
              </w:rPr>
              <w:t>3</w:t>
            </w:r>
          </w:p>
        </w:tc>
        <w:tc>
          <w:tcPr>
            <w:tcW w:type="dxa" w:w="1560"/>
          </w:tcPr>
          <w:p>
            <w:pPr>
              <w:jc w:val="center"/>
            </w:pPr>
            <w:r>
              <w:rPr>
                <w:rFonts w:ascii="Times New Roman" w:hAnsi="Times New Roman"/>
                <w:color w:val="000000"/>
                <w:sz w:val="24"/>
              </w:rPr>
              <w:t>910</w:t>
            </w:r>
          </w:p>
        </w:tc>
      </w:tr>
      <w:tr>
        <w:tc>
          <w:tcPr>
            <w:tcW w:type="dxa" w:w="1560"/>
          </w:tcPr>
          <w:p>
            <w:pPr>
              <w:jc w:val="center"/>
            </w:pPr>
            <w:r>
              <w:rPr>
                <w:rFonts w:ascii="Times New Roman" w:hAnsi="Times New Roman"/>
                <w:color w:val="000000"/>
                <w:sz w:val="24"/>
              </w:rPr>
              <w:t>PR14</w:t>
            </w:r>
          </w:p>
        </w:tc>
        <w:tc>
          <w:tcPr>
            <w:tcW w:type="dxa" w:w="1560"/>
          </w:tcPr>
          <w:p>
            <w:pPr>
              <w:jc w:val="center"/>
            </w:pPr>
            <w:r>
              <w:rPr>
                <w:rFonts w:ascii="Times New Roman" w:hAnsi="Times New Roman"/>
                <w:color w:val="000000"/>
                <w:sz w:val="24"/>
              </w:rPr>
              <w:t>Fruits</w:t>
            </w:r>
          </w:p>
        </w:tc>
        <w:tc>
          <w:tcPr>
            <w:tcW w:type="dxa" w:w="1560"/>
          </w:tcPr>
          <w:p>
            <w:pPr>
              <w:jc w:val="center"/>
            </w:pPr>
            <w:r>
              <w:rPr>
                <w:rFonts w:ascii="Times New Roman" w:hAnsi="Times New Roman"/>
                <w:color w:val="000000"/>
                <w:sz w:val="24"/>
              </w:rPr>
              <w:t>75</w:t>
            </w:r>
          </w:p>
        </w:tc>
        <w:tc>
          <w:tcPr>
            <w:tcW w:type="dxa" w:w="1560"/>
          </w:tcPr>
          <w:p>
            <w:pPr>
              <w:jc w:val="center"/>
            </w:pPr>
            <w:r>
              <w:rPr>
                <w:rFonts w:ascii="Times New Roman" w:hAnsi="Times New Roman"/>
                <w:color w:val="000000"/>
                <w:sz w:val="24"/>
              </w:rPr>
              <w:t>20</w:t>
            </w:r>
          </w:p>
        </w:tc>
        <w:tc>
          <w:tcPr>
            <w:tcW w:type="dxa" w:w="1560"/>
          </w:tcPr>
          <w:p>
            <w:pPr>
              <w:jc w:val="center"/>
            </w:pPr>
            <w:r>
              <w:rPr>
                <w:rFonts w:ascii="Times New Roman" w:hAnsi="Times New Roman"/>
                <w:color w:val="000000"/>
                <w:sz w:val="24"/>
              </w:rPr>
              <w:t>5</w:t>
            </w:r>
          </w:p>
        </w:tc>
        <w:tc>
          <w:tcPr>
            <w:tcW w:type="dxa" w:w="1560"/>
          </w:tcPr>
          <w:p>
            <w:pPr>
              <w:jc w:val="center"/>
            </w:pPr>
            <w:r>
              <w:rPr>
                <w:rFonts w:ascii="Times New Roman" w:hAnsi="Times New Roman"/>
                <w:color w:val="000000"/>
                <w:sz w:val="24"/>
              </w:rPr>
              <w:t>1500</w:t>
            </w:r>
          </w:p>
        </w:tc>
      </w:tr>
      <w:tr>
        <w:tc>
          <w:tcPr>
            <w:tcW w:type="dxa" w:w="1560"/>
          </w:tcPr>
          <w:p>
            <w:pPr>
              <w:jc w:val="center"/>
            </w:pPr>
            <w:r>
              <w:rPr>
                <w:rFonts w:ascii="Times New Roman" w:hAnsi="Times New Roman"/>
                <w:color w:val="000000"/>
                <w:sz w:val="24"/>
              </w:rPr>
              <w:t>PR15</w:t>
            </w:r>
          </w:p>
        </w:tc>
        <w:tc>
          <w:tcPr>
            <w:tcW w:type="dxa" w:w="1560"/>
          </w:tcPr>
          <w:p>
            <w:pPr>
              <w:jc w:val="center"/>
            </w:pPr>
            <w:r>
              <w:rPr>
                <w:rFonts w:ascii="Times New Roman" w:hAnsi="Times New Roman"/>
                <w:color w:val="000000"/>
                <w:sz w:val="24"/>
              </w:rPr>
              <w:t>Vegetables</w:t>
            </w:r>
          </w:p>
        </w:tc>
        <w:tc>
          <w:tcPr>
            <w:tcW w:type="dxa" w:w="1560"/>
          </w:tcPr>
          <w:p>
            <w:pPr>
              <w:jc w:val="center"/>
            </w:pPr>
            <w:r>
              <w:rPr>
                <w:rFonts w:ascii="Times New Roman" w:hAnsi="Times New Roman"/>
                <w:color w:val="000000"/>
                <w:sz w:val="24"/>
              </w:rPr>
              <w:t>45</w:t>
            </w:r>
          </w:p>
        </w:tc>
        <w:tc>
          <w:tcPr>
            <w:tcW w:type="dxa" w:w="1560"/>
          </w:tcPr>
          <w:p>
            <w:pPr>
              <w:jc w:val="center"/>
            </w:pPr>
            <w:r>
              <w:rPr>
                <w:rFonts w:ascii="Times New Roman" w:hAnsi="Times New Roman"/>
                <w:color w:val="000000"/>
                <w:sz w:val="24"/>
              </w:rPr>
              <w:t>26</w:t>
            </w:r>
          </w:p>
        </w:tc>
        <w:tc>
          <w:tcPr>
            <w:tcW w:type="dxa" w:w="1560"/>
          </w:tcPr>
          <w:p>
            <w:pPr>
              <w:jc w:val="center"/>
            </w:pPr>
            <w:r>
              <w:rPr>
                <w:rFonts w:ascii="Times New Roman" w:hAnsi="Times New Roman"/>
                <w:color w:val="000000"/>
                <w:sz w:val="24"/>
              </w:rPr>
              <w:t>4</w:t>
            </w:r>
          </w:p>
        </w:tc>
        <w:tc>
          <w:tcPr>
            <w:tcW w:type="dxa" w:w="1560"/>
          </w:tcPr>
          <w:p>
            <w:pPr>
              <w:jc w:val="center"/>
            </w:pPr>
            <w:r>
              <w:rPr>
                <w:rFonts w:ascii="Times New Roman" w:hAnsi="Times New Roman"/>
                <w:color w:val="000000"/>
                <w:sz w:val="24"/>
              </w:rPr>
              <w:t>1170</w:t>
            </w:r>
          </w:p>
        </w:tc>
      </w:tr>
      <w:tr>
        <w:tc>
          <w:tcPr>
            <w:tcW w:type="dxa" w:w="1560"/>
          </w:tcPr>
          <w:p>
            <w:pPr>
              <w:jc w:val="center"/>
            </w:pPr>
            <w:r>
              <w:rPr>
                <w:rFonts w:ascii="Times New Roman" w:hAnsi="Times New Roman"/>
                <w:color w:val="000000"/>
                <w:sz w:val="24"/>
              </w:rPr>
              <w:t>PR16</w:t>
            </w:r>
          </w:p>
        </w:tc>
        <w:tc>
          <w:tcPr>
            <w:tcW w:type="dxa" w:w="1560"/>
          </w:tcPr>
          <w:p>
            <w:pPr>
              <w:jc w:val="center"/>
            </w:pPr>
            <w:r>
              <w:rPr>
                <w:rFonts w:ascii="Times New Roman" w:hAnsi="Times New Roman"/>
                <w:color w:val="000000"/>
                <w:sz w:val="24"/>
              </w:rPr>
              <w:t>Grocery</w:t>
            </w:r>
          </w:p>
        </w:tc>
        <w:tc>
          <w:tcPr>
            <w:tcW w:type="dxa" w:w="1560"/>
          </w:tcPr>
          <w:p>
            <w:pPr>
              <w:jc w:val="center"/>
            </w:pPr>
            <w:r>
              <w:rPr>
                <w:rFonts w:ascii="Times New Roman" w:hAnsi="Times New Roman"/>
                <w:color w:val="000000"/>
                <w:sz w:val="24"/>
              </w:rPr>
              <w:t>100</w:t>
            </w:r>
          </w:p>
        </w:tc>
        <w:tc>
          <w:tcPr>
            <w:tcW w:type="dxa" w:w="1560"/>
          </w:tcPr>
          <w:p>
            <w:pPr>
              <w:jc w:val="center"/>
            </w:pPr>
            <w:r>
              <w:rPr>
                <w:rFonts w:ascii="Times New Roman" w:hAnsi="Times New Roman"/>
                <w:color w:val="000000"/>
                <w:sz w:val="24"/>
              </w:rPr>
              <w:t>10</w:t>
            </w:r>
          </w:p>
        </w:tc>
        <w:tc>
          <w:tcPr>
            <w:tcW w:type="dxa" w:w="1560"/>
          </w:tcPr>
          <w:p>
            <w:pPr>
              <w:jc w:val="center"/>
            </w:pPr>
            <w:r>
              <w:rPr>
                <w:rFonts w:ascii="Times New Roman" w:hAnsi="Times New Roman"/>
                <w:color w:val="000000"/>
                <w:sz w:val="24"/>
              </w:rPr>
              <w:t>7</w:t>
            </w:r>
          </w:p>
        </w:tc>
        <w:tc>
          <w:tcPr>
            <w:tcW w:type="dxa" w:w="1560"/>
          </w:tcPr>
          <w:p>
            <w:pPr>
              <w:jc w:val="center"/>
            </w:pPr>
            <w:r>
              <w:rPr>
                <w:rFonts w:ascii="Times New Roman" w:hAnsi="Times New Roman"/>
                <w:color w:val="000000"/>
                <w:sz w:val="24"/>
              </w:rPr>
              <w:t>1000</w:t>
            </w:r>
          </w:p>
        </w:tc>
      </w:tr>
      <w:tr>
        <w:tc>
          <w:tcPr>
            <w:tcW w:type="dxa" w:w="1560"/>
          </w:tcPr>
          <w:p>
            <w:pPr>
              <w:jc w:val="center"/>
            </w:pPr>
            <w:r>
              <w:rPr>
                <w:rFonts w:ascii="Times New Roman" w:hAnsi="Times New Roman"/>
                <w:color w:val="000000"/>
                <w:sz w:val="24"/>
              </w:rPr>
              <w:t>PR17</w:t>
            </w:r>
          </w:p>
        </w:tc>
        <w:tc>
          <w:tcPr>
            <w:tcW w:type="dxa" w:w="1560"/>
          </w:tcPr>
          <w:p>
            <w:pPr>
              <w:jc w:val="center"/>
            </w:pPr>
            <w:r>
              <w:rPr>
                <w:rFonts w:ascii="Times New Roman" w:hAnsi="Times New Roman"/>
                <w:color w:val="000000"/>
                <w:sz w:val="24"/>
              </w:rPr>
              <w:t>Snacks</w:t>
            </w:r>
          </w:p>
        </w:tc>
        <w:tc>
          <w:tcPr>
            <w:tcW w:type="dxa" w:w="1560"/>
          </w:tcPr>
          <w:p>
            <w:pPr>
              <w:jc w:val="center"/>
            </w:pPr>
            <w:r>
              <w:rPr>
                <w:rFonts w:ascii="Times New Roman" w:hAnsi="Times New Roman"/>
                <w:color w:val="000000"/>
                <w:sz w:val="24"/>
              </w:rPr>
              <w:t>35</w:t>
            </w:r>
          </w:p>
        </w:tc>
        <w:tc>
          <w:tcPr>
            <w:tcW w:type="dxa" w:w="1560"/>
          </w:tcPr>
          <w:p>
            <w:pPr>
              <w:jc w:val="center"/>
            </w:pPr>
            <w:r>
              <w:rPr>
                <w:rFonts w:ascii="Times New Roman" w:hAnsi="Times New Roman"/>
                <w:color w:val="000000"/>
                <w:sz w:val="24"/>
              </w:rPr>
              <w:t>32</w:t>
            </w:r>
          </w:p>
        </w:tc>
        <w:tc>
          <w:tcPr>
            <w:tcW w:type="dxa" w:w="1560"/>
          </w:tcPr>
          <w:p>
            <w:pPr>
              <w:jc w:val="center"/>
            </w:pPr>
            <w:r>
              <w:rPr>
                <w:rFonts w:ascii="Times New Roman" w:hAnsi="Times New Roman"/>
                <w:color w:val="000000"/>
                <w:sz w:val="24"/>
              </w:rPr>
              <w:t>3</w:t>
            </w:r>
          </w:p>
        </w:tc>
        <w:tc>
          <w:tcPr>
            <w:tcW w:type="dxa" w:w="1560"/>
          </w:tcPr>
          <w:p>
            <w:pPr>
              <w:jc w:val="center"/>
            </w:pPr>
            <w:r>
              <w:rPr>
                <w:rFonts w:ascii="Times New Roman" w:hAnsi="Times New Roman"/>
                <w:color w:val="000000"/>
                <w:sz w:val="24"/>
              </w:rPr>
              <w:t>1120</w:t>
            </w:r>
          </w:p>
        </w:tc>
      </w:tr>
      <w:tr>
        <w:tc>
          <w:tcPr>
            <w:tcW w:type="dxa" w:w="1560"/>
          </w:tcPr>
          <w:p>
            <w:pPr>
              <w:jc w:val="center"/>
            </w:pPr>
            <w:r>
              <w:rPr>
                <w:rFonts w:ascii="Times New Roman" w:hAnsi="Times New Roman"/>
                <w:color w:val="000000"/>
                <w:sz w:val="24"/>
              </w:rPr>
              <w:t>PR18</w:t>
            </w:r>
          </w:p>
        </w:tc>
        <w:tc>
          <w:tcPr>
            <w:tcW w:type="dxa" w:w="1560"/>
          </w:tcPr>
          <w:p>
            <w:pPr>
              <w:jc w:val="center"/>
            </w:pPr>
            <w:r>
              <w:rPr>
                <w:rFonts w:ascii="Times New Roman" w:hAnsi="Times New Roman"/>
                <w:color w:val="000000"/>
                <w:sz w:val="24"/>
              </w:rPr>
              <w:t>Dairy</w:t>
            </w:r>
          </w:p>
        </w:tc>
        <w:tc>
          <w:tcPr>
            <w:tcW w:type="dxa" w:w="1560"/>
          </w:tcPr>
          <w:p>
            <w:pPr>
              <w:jc w:val="center"/>
            </w:pPr>
            <w:r>
              <w:rPr>
                <w:rFonts w:ascii="Times New Roman" w:hAnsi="Times New Roman"/>
                <w:color w:val="000000"/>
                <w:sz w:val="24"/>
              </w:rPr>
              <w:t>50</w:t>
            </w:r>
          </w:p>
        </w:tc>
        <w:tc>
          <w:tcPr>
            <w:tcW w:type="dxa" w:w="1560"/>
          </w:tcPr>
          <w:p>
            <w:pPr>
              <w:jc w:val="center"/>
            </w:pPr>
            <w:r>
              <w:rPr>
                <w:rFonts w:ascii="Times New Roman" w:hAnsi="Times New Roman"/>
                <w:color w:val="000000"/>
                <w:sz w:val="24"/>
              </w:rPr>
              <w:t>19</w:t>
            </w:r>
          </w:p>
        </w:tc>
        <w:tc>
          <w:tcPr>
            <w:tcW w:type="dxa" w:w="1560"/>
          </w:tcPr>
          <w:p>
            <w:pPr>
              <w:jc w:val="center"/>
            </w:pPr>
            <w:r>
              <w:rPr>
                <w:rFonts w:ascii="Times New Roman" w:hAnsi="Times New Roman"/>
                <w:color w:val="000000"/>
                <w:sz w:val="24"/>
              </w:rPr>
              <w:t>2</w:t>
            </w:r>
          </w:p>
        </w:tc>
        <w:tc>
          <w:tcPr>
            <w:tcW w:type="dxa" w:w="1560"/>
          </w:tcPr>
          <w:p>
            <w:pPr>
              <w:jc w:val="center"/>
            </w:pPr>
            <w:r>
              <w:rPr>
                <w:rFonts w:ascii="Times New Roman" w:hAnsi="Times New Roman"/>
                <w:color w:val="000000"/>
                <w:sz w:val="24"/>
              </w:rPr>
              <w:t>950</w:t>
            </w:r>
          </w:p>
        </w:tc>
      </w:tr>
      <w:tr>
        <w:tc>
          <w:tcPr>
            <w:tcW w:type="dxa" w:w="1560"/>
          </w:tcPr>
          <w:p>
            <w:pPr>
              <w:jc w:val="center"/>
            </w:pPr>
            <w:r>
              <w:rPr>
                <w:rFonts w:ascii="Times New Roman" w:hAnsi="Times New Roman"/>
                <w:color w:val="000000"/>
                <w:sz w:val="24"/>
              </w:rPr>
              <w:t>PR19</w:t>
            </w:r>
          </w:p>
        </w:tc>
        <w:tc>
          <w:tcPr>
            <w:tcW w:type="dxa" w:w="1560"/>
          </w:tcPr>
          <w:p>
            <w:pPr>
              <w:jc w:val="center"/>
            </w:pPr>
            <w:r>
              <w:rPr>
                <w:rFonts w:ascii="Times New Roman" w:hAnsi="Times New Roman"/>
                <w:color w:val="000000"/>
                <w:sz w:val="24"/>
              </w:rPr>
              <w:t>Fruits</w:t>
            </w:r>
          </w:p>
        </w:tc>
        <w:tc>
          <w:tcPr>
            <w:tcW w:type="dxa" w:w="1560"/>
          </w:tcPr>
          <w:p>
            <w:pPr>
              <w:jc w:val="center"/>
            </w:pPr>
            <w:r>
              <w:rPr>
                <w:rFonts w:ascii="Times New Roman" w:hAnsi="Times New Roman"/>
                <w:color w:val="000000"/>
                <w:sz w:val="24"/>
              </w:rPr>
              <w:t>80</w:t>
            </w:r>
          </w:p>
        </w:tc>
        <w:tc>
          <w:tcPr>
            <w:tcW w:type="dxa" w:w="1560"/>
          </w:tcPr>
          <w:p>
            <w:pPr>
              <w:jc w:val="center"/>
            </w:pPr>
            <w:r>
              <w:rPr>
                <w:rFonts w:ascii="Times New Roman" w:hAnsi="Times New Roman"/>
                <w:color w:val="000000"/>
                <w:sz w:val="24"/>
              </w:rPr>
              <w:t>18</w:t>
            </w:r>
          </w:p>
        </w:tc>
        <w:tc>
          <w:tcPr>
            <w:tcW w:type="dxa" w:w="1560"/>
          </w:tcPr>
          <w:p>
            <w:pPr>
              <w:jc w:val="center"/>
            </w:pPr>
            <w:r>
              <w:rPr>
                <w:rFonts w:ascii="Times New Roman" w:hAnsi="Times New Roman"/>
                <w:color w:val="000000"/>
                <w:sz w:val="24"/>
              </w:rPr>
              <w:t>6</w:t>
            </w:r>
          </w:p>
        </w:tc>
        <w:tc>
          <w:tcPr>
            <w:tcW w:type="dxa" w:w="1560"/>
          </w:tcPr>
          <w:p>
            <w:pPr>
              <w:jc w:val="center"/>
            </w:pPr>
            <w:r>
              <w:rPr>
                <w:rFonts w:ascii="Times New Roman" w:hAnsi="Times New Roman"/>
                <w:color w:val="000000"/>
                <w:sz w:val="24"/>
              </w:rPr>
              <w:t>1440</w:t>
            </w:r>
          </w:p>
        </w:tc>
      </w:tr>
      <w:tr>
        <w:tc>
          <w:tcPr>
            <w:tcW w:type="dxa" w:w="1560"/>
          </w:tcPr>
          <w:p>
            <w:pPr>
              <w:jc w:val="center"/>
            </w:pPr>
            <w:r>
              <w:rPr>
                <w:rFonts w:ascii="Times New Roman" w:hAnsi="Times New Roman"/>
                <w:color w:val="000000"/>
                <w:sz w:val="24"/>
              </w:rPr>
              <w:t>PR20</w:t>
            </w:r>
          </w:p>
        </w:tc>
        <w:tc>
          <w:tcPr>
            <w:tcW w:type="dxa" w:w="1560"/>
          </w:tcPr>
          <w:p>
            <w:pPr>
              <w:jc w:val="center"/>
            </w:pPr>
            <w:r>
              <w:rPr>
                <w:rFonts w:ascii="Times New Roman" w:hAnsi="Times New Roman"/>
                <w:color w:val="000000"/>
                <w:sz w:val="24"/>
              </w:rPr>
              <w:t>Vegetables</w:t>
            </w:r>
          </w:p>
        </w:tc>
        <w:tc>
          <w:tcPr>
            <w:tcW w:type="dxa" w:w="1560"/>
          </w:tcPr>
          <w:p>
            <w:pPr>
              <w:jc w:val="center"/>
            </w:pPr>
            <w:r>
              <w:rPr>
                <w:rFonts w:ascii="Times New Roman" w:hAnsi="Times New Roman"/>
                <w:color w:val="000000"/>
                <w:sz w:val="24"/>
              </w:rPr>
              <w:t>30</w:t>
            </w:r>
          </w:p>
        </w:tc>
        <w:tc>
          <w:tcPr>
            <w:tcW w:type="dxa" w:w="1560"/>
          </w:tcPr>
          <w:p>
            <w:pPr>
              <w:jc w:val="center"/>
            </w:pPr>
            <w:r>
              <w:rPr>
                <w:rFonts w:ascii="Times New Roman" w:hAnsi="Times New Roman"/>
                <w:color w:val="000000"/>
                <w:sz w:val="24"/>
              </w:rPr>
              <w:t>35</w:t>
            </w:r>
          </w:p>
        </w:tc>
        <w:tc>
          <w:tcPr>
            <w:tcW w:type="dxa" w:w="1560"/>
          </w:tcPr>
          <w:p>
            <w:pPr>
              <w:jc w:val="center"/>
            </w:pPr>
            <w:r>
              <w:rPr>
                <w:rFonts w:ascii="Times New Roman" w:hAnsi="Times New Roman"/>
                <w:color w:val="000000"/>
                <w:sz w:val="24"/>
              </w:rPr>
              <w:t>3</w:t>
            </w:r>
          </w:p>
        </w:tc>
        <w:tc>
          <w:tcPr>
            <w:tcW w:type="dxa" w:w="1560"/>
          </w:tcPr>
          <w:p>
            <w:pPr>
              <w:jc w:val="center"/>
            </w:pPr>
            <w:r>
              <w:rPr>
                <w:rFonts w:ascii="Times New Roman" w:hAnsi="Times New Roman"/>
                <w:color w:val="000000"/>
                <w:sz w:val="24"/>
              </w:rPr>
              <w:t>1050</w:t>
            </w:r>
          </w:p>
        </w:tc>
      </w:tr>
    </w:tbl>
    <w:p>
      <w:pPr>
        <w:spacing w:line="360" w:lineRule="auto" w:after="120" w:before="0"/>
        <w:jc w:val="both"/>
      </w:pPr>
      <w:r>
        <w:rPr>
          <w:rFonts w:ascii="Times New Roman" w:hAnsi="Times New Roman"/>
          <w:b/>
          <w:color w:val="000000"/>
          <w:sz w:val="28"/>
        </w:rPr>
        <w:t>2. Dataset Description, Purpose, and Significance</w:t>
      </w:r>
    </w:p>
    <w:p>
      <w:pPr>
        <w:spacing w:line="360" w:lineRule="auto" w:after="120" w:before="0"/>
        <w:jc w:val="both"/>
      </w:pPr>
      <w:r>
        <w:rPr>
          <w:rFonts w:ascii="Times New Roman" w:hAnsi="Times New Roman"/>
          <w:b w:val="0"/>
          <w:color w:val="000000"/>
          <w:sz w:val="24"/>
        </w:rPr>
        <w:t>This dataset contains exactly 20 individual records and 6 features. The attributes consist of Product_ID (categorical text identifier), Category (categorical nominal product department label), Price (numerical continuous inventory price integer), Quantity_Sold (numerical continuous velocity tracker integer), Discount (numerical programmatic percentage subtraction integer), and Revenue (numerical continuous yield value integer). The explicit purpose of compiling this transactional data matrix is to discover inventory velocity behaviors and markdown elasticities that drive retail sales performance. Identifying these profiles helps grocery management teams build early demand forecasting plans and profit maximization strategies long before the seasonal promotional periods arrive.</w:t>
      </w:r>
    </w:p>
    <w:p>
      <w:pPr>
        <w:spacing w:line="360" w:lineRule="auto" w:after="120" w:before="0"/>
        <w:jc w:val="both"/>
      </w:pPr>
      <w:r>
        <w:rPr>
          <w:rFonts w:ascii="Times New Roman" w:hAnsi="Times New Roman"/>
          <w:b/>
          <w:color w:val="000000"/>
          <w:sz w:val="28"/>
        </w:rPr>
        <w:t>3. Data Auditing, Cleaning, and Preprocessing</w:t>
      </w:r>
    </w:p>
    <w:p>
      <w:pPr>
        <w:spacing w:line="360" w:lineRule="auto" w:after="120" w:before="0"/>
        <w:jc w:val="both"/>
      </w:pPr>
      <w:r>
        <w:rPr>
          <w:rFonts w:ascii="Times New Roman" w:hAnsi="Times New Roman"/>
          <w:b w:val="0"/>
          <w:color w:val="000000"/>
          <w:sz w:val="24"/>
        </w:rPr>
        <w:t>A rigorous data validation pipeline was carried out to guarantee structural integrity before applying mathematical equations. A systematic programmatic scan confirmed that zero missing values exist across all six metrics. Additionally, row uniqueness evaluation returned no duplicated product logs, confirming that every record represents an isolated individual transaction path. The ranges for commercial tracking parameters align properly with standard operational indicators, meaning no structural inconsistencies are present.</w:t>
      </w:r>
    </w:p>
    <w:p>
      <w:pPr>
        <w:spacing w:line="360" w:lineRule="auto" w:after="120" w:before="0"/>
        <w:jc w:val="both"/>
      </w:pPr>
      <w:r>
        <w:rPr>
          <w:rFonts w:ascii="Times New Roman" w:hAnsi="Times New Roman"/>
          <w:b/>
          <w:color w:val="000000"/>
          <w:sz w:val="28"/>
        </w:rPr>
        <w:t>4. Descriptive Statistics and Feature Analysis</w:t>
      </w:r>
    </w:p>
    <w:p>
      <w:pPr>
        <w:spacing w:line="360" w:lineRule="auto" w:after="120" w:before="0"/>
        <w:jc w:val="both"/>
      </w:pPr>
      <w:r>
        <w:rPr>
          <w:rFonts w:ascii="Times New Roman" w:hAnsi="Times New Roman"/>
          <w:b w:val="0"/>
          <w:color w:val="000000"/>
          <w:sz w:val="24"/>
        </w:rPr>
        <w:t>The dataset shows an even category layout across the stock keeping units: 4 products per category across 5 distinct departments (20.0 percent distribution per department). Across the entire cohort, the mean retail price sits at 54.00 currency units with a standard deviation of 22.80 units, while quantity sold averages 24.00 transactions. When splitting the performance metrics by the departmental category, distinct operational realities become clear: the Fruits category maintains a high average revenue level of 1495.00 units, commands a mean price of 71.25, and marks an average discount metric of 5.25. In comparison, the Dairy category drops to a low revenue level average of 887.50 units, records a velocity metric average of 16.75, and tracks the lowest discount configuration at 2.25.</w:t>
      </w:r>
    </w:p>
    <w:p>
      <w:pPr>
        <w:spacing w:line="360" w:lineRule="auto" w:after="120" w:before="0"/>
        <w:jc w:val="both"/>
      </w:pPr>
      <w:r>
        <w:rPr>
          <w:rFonts w:ascii="Times New Roman" w:hAnsi="Times New Roman"/>
          <w:b/>
          <w:color w:val="000000"/>
          <w:sz w:val="28"/>
        </w:rPr>
        <w:t>5. Analytical Trends, Distributions, and Relationships</w:t>
      </w:r>
    </w:p>
    <w:p>
      <w:pPr>
        <w:spacing w:line="360" w:lineRule="auto" w:after="120" w:before="0"/>
        <w:jc w:val="both"/>
      </w:pPr>
      <w:r>
        <w:rPr>
          <w:rFonts w:ascii="Times New Roman" w:hAnsi="Times New Roman"/>
          <w:b w:val="0"/>
          <w:color w:val="000000"/>
          <w:sz w:val="24"/>
        </w:rPr>
        <w:t>Calculating correlation metrics shows an exceptionally high level of linear velocity changes among the numerical features. The link between unit retail price and purchase velocity presents a strong negative tracking position of r = -0.868, indicating an immediate price elasticity effect where higher pricing structures reduce volume velocity. The relationship between discount size and final yield levels tracks at a positive value of r = 0.576. This demonstrates that promotions push volume expansion: high margin products like Fruits scale overall revenue returns due to targeted discounts matching clear volume spikes. A clear volume distribution rule is visible: the lowest priced category, Snacks, drives the highest average sales velocity of 38.00 units, while higher priced departments depend heavily on markdowns to maintain steady volume.</w:t>
      </w:r>
    </w:p>
    <w:p>
      <w:pPr>
        <w:spacing w:line="360" w:lineRule="auto" w:after="120" w:before="0"/>
        <w:jc w:val="both"/>
      </w:pPr>
      <w:r>
        <w:rPr>
          <w:rFonts w:ascii="Times New Roman" w:hAnsi="Times New Roman"/>
          <w:b/>
          <w:color w:val="000000"/>
          <w:sz w:val="28"/>
        </w:rPr>
        <w:t>6. Clean Programmatic Analysis Source Code</w:t>
      </w:r>
    </w:p>
    <w:p>
      <w:pPr>
        <w:spacing w:line="276" w:lineRule="auto" w:after="120"/>
        <w:jc w:val="left"/>
      </w:pPr>
      <w:r>
        <w:rPr>
          <w:rFonts w:ascii="Consolas" w:hAnsi="Consolas"/>
          <w:color w:val="000000"/>
          <w:sz w:val="20"/>
        </w:rPr>
        <w:t>import pandas as pd</w:t>
        <w:br/>
        <w:t>import numpy as np</w:t>
        <w:br/>
        <w:t>import matplotlib.pyplot as plt</w:t>
        <w:br/>
        <w:t>import seaborn as sns</w:t>
        <w:br/>
        <w:br/>
        <w:t>data_dict = {</w:t>
        <w:br/>
        <w:t xml:space="preserve">    'Product_ID': ['PR01', 'PR02', 'PR03', 'PR04', 'PR05', 'PR06', 'PR07', 'PR08', 'PR09', 'PR10', </w:t>
        <w:br/>
        <w:t xml:space="preserve">                  'PR11', 'PR12', 'PR13', 'PR14', 'PR15', 'PR16', 'PR17', 'PR18', 'PR19', 'PR20'],</w:t>
        <w:br/>
        <w:t xml:space="preserve">    'Category': ['Grocery', 'Snacks', 'Dairy', 'Fruits', 'Vegetables', 'Grocery', 'Snacks', 'Dairy', 'Fruits', 'Vegetables',</w:t>
        <w:br/>
        <w:t xml:space="preserve">                 'Grocery', 'Snacks', 'Dairy', 'Fruits', 'Vegetables', 'Grocery', 'Snacks', 'Dairy', 'Fruits', 'Vegetables'],</w:t>
        <w:br/>
        <w:t xml:space="preserve">    'Price': [50, 30, 45, 60, 40, 80, 25, 55, 70, 35, 90, 20, 65, 75, 45, 100, 35, 50, 80, 30],</w:t>
        <w:br/>
        <w:t xml:space="preserve">    'Quantity_Sold': [20, 35, 18, 25, 30, 15, 40, 16, 22, 28, 12, 45, 14, 20, 26, 10, 32, 19, 18, 35],</w:t>
        <w:br/>
        <w:t xml:space="preserve">    'Discount': [5, 3, 2, 5, 4, 6, 3, 2, 5, 4, 6, 2, 3, 5, 4, 7, 3, 2, 6, 3],</w:t>
        <w:br/>
        <w:t xml:space="preserve">    'Revenue': [1000, 1050, 810, 1500, 1200, 1200, 1000, 880, 1540, 980, 1080, 900, 910, 1500, 1170, 1000, 1120, 950, 1440, 1050]</w:t>
        <w:br/>
        <w:t>}</w:t>
        <w:br/>
        <w:t>df = pd.DataFrame(data_dict)</w:t>
        <w:br/>
        <w:br/>
        <w:t>print(df.isnull().sum())</w:t>
        <w:br/>
        <w:t>print(df.duplicated().sum())</w:t>
        <w:br/>
        <w:t>print(df.groupby('Category').mean(numeric_only=True))</w:t>
        <w:br/>
        <w:t>print(df.corr(numeric_only=True))</w:t>
        <w:br/>
        <w:br/>
        <w:t>sns.set_theme(style="whitegrid")</w:t>
        <w:br/>
        <w:t>fig, axes = plt.subplots(2, 2, figsize=(14, 10))</w:t>
        <w:br/>
        <w:t>sns.barplot(x='Category', y='Revenue', data=df, ax=axes[0, 0], errorbar=None, palette='Set2')</w:t>
        <w:br/>
        <w:t>sns.boxplot(x='Category', y='Quantity_Sold', data=df, ax=axes[0, 1], palette='Set2')</w:t>
        <w:br/>
        <w:t>sns.scatterplot(x='Price', y='Quantity_Sold', hue='Category', style='Category', data=df, s=120, ax=axes[1, 0], palette='Set1')</w:t>
        <w:br/>
        <w:t>sns.heatmap(df.corr(numeric_only=True), annot=True, cmap='coolwarm', fmt=".3f", ax=axes[1, 1])</w:t>
        <w:br/>
        <w:t>plt.tight_layout()</w:t>
        <w:br/>
        <w:t>plt.savefig('retail_eda_plots.png', dpi=300)</w:t>
        <w:br/>
        <w:t>plt.show()</w:t>
      </w:r>
    </w:p>
    <w:p>
      <w:pPr>
        <w:spacing w:line="360" w:lineRule="auto" w:after="120" w:before="0"/>
        <w:jc w:val="both"/>
      </w:pPr>
      <w:r>
        <w:rPr>
          <w:rFonts w:ascii="Times New Roman" w:hAnsi="Times New Roman"/>
          <w:b/>
          <w:color w:val="000000"/>
          <w:sz w:val="28"/>
        </w:rPr>
        <w:t>7. Integrated Exploratory Data Analysis Output Images</w:t>
      </w:r>
    </w:p>
    <w:p>
      <w:pPr>
        <w:jc w:val="center"/>
      </w:pPr>
      <w:r>
        <w:drawing>
          <wp:inline xmlns:a="http://schemas.openxmlformats.org/drawingml/2006/main" xmlns:pic="http://schemas.openxmlformats.org/drawingml/2006/picture">
            <wp:extent cx="5486400" cy="3918857"/>
            <wp:docPr id="1" name="Picture 1"/>
            <wp:cNvGraphicFramePr>
              <a:graphicFrameLocks noChangeAspect="1"/>
            </wp:cNvGraphicFramePr>
            <a:graphic>
              <a:graphicData uri="http://schemas.openxmlformats.org/drawingml/2006/picture">
                <pic:pic>
                  <pic:nvPicPr>
                    <pic:cNvPr id="0" name="retail_eda_plots.png"/>
                    <pic:cNvPicPr/>
                  </pic:nvPicPr>
                  <pic:blipFill>
                    <a:blip r:embed="rId9"/>
                    <a:stretch>
                      <a:fillRect/>
                    </a:stretch>
                  </pic:blipFill>
                  <pic:spPr>
                    <a:xfrm>
                      <a:off x="0" y="0"/>
                      <a:ext cx="5486400" cy="3918857"/>
                    </a:xfrm>
                    <a:prstGeom prst="rect"/>
                  </pic:spPr>
                </pic:pic>
              </a:graphicData>
            </a:graphic>
          </wp:inline>
        </w:drawing>
      </w:r>
    </w:p>
    <w:p>
      <w:pPr>
        <w:spacing w:line="360" w:lineRule="auto" w:after="120" w:before="0"/>
        <w:jc w:val="both"/>
      </w:pPr>
      <w:r>
        <w:rPr>
          <w:rFonts w:ascii="Times New Roman" w:hAnsi="Times New Roman"/>
          <w:b/>
          <w:color w:val="000000"/>
          <w:sz w:val="28"/>
        </w:rPr>
        <w:t>8. Key Findings, Meaningful Insights, and Strategic Conclusions</w:t>
      </w:r>
    </w:p>
    <w:p>
      <w:pPr>
        <w:spacing w:line="360" w:lineRule="auto" w:after="120" w:before="0"/>
        <w:jc w:val="both"/>
      </w:pPr>
      <w:r>
        <w:rPr>
          <w:rFonts w:ascii="Times New Roman" w:hAnsi="Times New Roman"/>
          <w:b w:val="0"/>
          <w:color w:val="000000"/>
          <w:sz w:val="24"/>
        </w:rPr>
        <w:t>The visual and statistical outputs present clear rules governing store revenue. Bar charts show that the Fruits category generates the highest single-department cumulative financial yield. The scatter distribution plots reveal a uniform downward linear trend line across all observations, which proves the high sensitivity of purchase velocity to basic adjustments in price markers.</w:t>
      </w:r>
    </w:p>
    <w:p>
      <w:pPr>
        <w:spacing w:line="360" w:lineRule="auto" w:after="120" w:before="0"/>
        <w:jc w:val="both"/>
      </w:pPr>
      <w:r>
        <w:rPr>
          <w:rFonts w:ascii="Times New Roman" w:hAnsi="Times New Roman"/>
          <w:b/>
          <w:color w:val="000000"/>
          <w:sz w:val="28"/>
        </w:rPr>
        <w:t>9. Data-Driven Decision Support for Supermarket Management</w:t>
      </w:r>
    </w:p>
    <w:p>
      <w:pPr>
        <w:spacing w:line="360" w:lineRule="auto" w:after="120" w:before="0"/>
        <w:jc w:val="both"/>
      </w:pPr>
      <w:r>
        <w:rPr>
          <w:rFonts w:ascii="Times New Roman" w:hAnsi="Times New Roman"/>
          <w:b w:val="0"/>
          <w:color w:val="000000"/>
          <w:sz w:val="24"/>
        </w:rPr>
        <w:t>These insights translate directly into operational strategies for supermarket inventory teams. First, pricing optimization scripts should protect the promotional markdown allocations on high price produce like Fruits, as these items respond positively to discount velocity injections. Supermarket management does not need to guess markdown impact; the high discount-to-revenue correlation shows that structured pricing strategies lift margin returns directly. Second, because Dairy products track at the lowest baseline revenue position of 887.50 units alongside stagnant velocity numbers, promotional planning should test clearing adjustments to improve category turnover.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